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97660B" w:rsidP="00C82B6B" w14:paraId="5AB662C4" w14:textId="36312044">
      <w:pPr>
        <w:jc w:val="right"/>
        <w:rPr>
          <w:b/>
          <w:szCs w:val="22"/>
        </w:rPr>
      </w:pPr>
      <w:r w:rsidRPr="0097660B">
        <w:rPr>
          <w:b/>
          <w:szCs w:val="22"/>
        </w:rPr>
        <w:t>DA 19-</w:t>
      </w:r>
      <w:r w:rsidR="00165421">
        <w:rPr>
          <w:b/>
          <w:szCs w:val="22"/>
        </w:rPr>
        <w:t>484</w:t>
      </w:r>
    </w:p>
    <w:p w:rsidR="00C82B6B" w:rsidRPr="0097660B" w:rsidP="00C82B6B" w14:paraId="21F7CFBF" w14:textId="3B0503A2">
      <w:pPr>
        <w:spacing w:before="60"/>
        <w:jc w:val="right"/>
        <w:rPr>
          <w:b/>
          <w:szCs w:val="22"/>
        </w:rPr>
      </w:pPr>
      <w:r>
        <w:rPr>
          <w:b/>
          <w:szCs w:val="22"/>
        </w:rPr>
        <w:t xml:space="preserve">June </w:t>
      </w:r>
      <w:r w:rsidR="00AF27A5">
        <w:rPr>
          <w:b/>
          <w:szCs w:val="22"/>
        </w:rPr>
        <w:t>3</w:t>
      </w:r>
      <w:r w:rsidRPr="0097660B" w:rsidR="00050061">
        <w:rPr>
          <w:b/>
          <w:szCs w:val="22"/>
        </w:rPr>
        <w:t>, 2019</w:t>
      </w:r>
    </w:p>
    <w:p w:rsidR="00C82B6B" w:rsidRPr="0097660B" w:rsidP="00C82B6B" w14:paraId="3AE9A45C" w14:textId="77777777">
      <w:pPr>
        <w:jc w:val="right"/>
        <w:rPr>
          <w:b/>
          <w:szCs w:val="22"/>
        </w:rPr>
      </w:pPr>
    </w:p>
    <w:p w:rsidR="00C82B6B" w:rsidRPr="0097660B" w:rsidP="00C82B6B" w14:paraId="30532C53" w14:textId="2BCEB437">
      <w:pPr>
        <w:spacing w:after="240"/>
        <w:jc w:val="center"/>
        <w:rPr>
          <w:b/>
          <w:szCs w:val="22"/>
        </w:rPr>
      </w:pPr>
      <w:r>
        <w:rPr>
          <w:b/>
          <w:szCs w:val="22"/>
        </w:rPr>
        <w:t xml:space="preserve">WINNING BIDDERS </w:t>
      </w:r>
      <w:r w:rsidRPr="0097660B">
        <w:rPr>
          <w:b/>
          <w:szCs w:val="22"/>
        </w:rPr>
        <w:t>ANNOUNCE</w:t>
      </w:r>
      <w:r>
        <w:rPr>
          <w:b/>
          <w:szCs w:val="22"/>
        </w:rPr>
        <w:t>D</w:t>
      </w:r>
      <w:r w:rsidRPr="0097660B">
        <w:rPr>
          <w:b/>
          <w:szCs w:val="22"/>
        </w:rPr>
        <w:t xml:space="preserve"> </w:t>
      </w:r>
      <w:r>
        <w:rPr>
          <w:b/>
          <w:szCs w:val="22"/>
        </w:rPr>
        <w:t xml:space="preserve">FOR </w:t>
      </w:r>
      <w:r w:rsidRPr="0097660B" w:rsidR="00050061">
        <w:rPr>
          <w:b/>
          <w:szCs w:val="22"/>
        </w:rPr>
        <w:t>AUCTION OF 28 GH</w:t>
      </w:r>
      <w:r w:rsidR="00D5695D">
        <w:rPr>
          <w:b/>
          <w:szCs w:val="22"/>
        </w:rPr>
        <w:t>z</w:t>
      </w:r>
      <w:r w:rsidRPr="0097660B" w:rsidR="00050061">
        <w:rPr>
          <w:b/>
          <w:szCs w:val="22"/>
        </w:rPr>
        <w:t xml:space="preserve"> UPPER MICROWAVE FLEXIBLE USE SERVICE LICENSES </w:t>
      </w:r>
      <w:r>
        <w:rPr>
          <w:b/>
          <w:szCs w:val="22"/>
        </w:rPr>
        <w:t>(AUCTION 101)</w:t>
      </w:r>
    </w:p>
    <w:p w:rsidR="00C82B6B" w:rsidRPr="00050061" w:rsidP="00C82B6B" w14:paraId="5CCC0371" w14:textId="47977F5B">
      <w:pPr>
        <w:jc w:val="center"/>
        <w:rPr>
          <w:b/>
          <w:szCs w:val="22"/>
        </w:rPr>
      </w:pPr>
      <w:r w:rsidRPr="00050061">
        <w:rPr>
          <w:b/>
          <w:szCs w:val="22"/>
        </w:rPr>
        <w:t>AU D</w:t>
      </w:r>
      <w:r w:rsidR="00D5695D">
        <w:rPr>
          <w:b/>
          <w:szCs w:val="22"/>
        </w:rPr>
        <w:t>ocket</w:t>
      </w:r>
      <w:r w:rsidRPr="00050061">
        <w:rPr>
          <w:b/>
          <w:szCs w:val="22"/>
        </w:rPr>
        <w:t xml:space="preserve"> No. 18-85</w:t>
      </w:r>
    </w:p>
    <w:p w:rsidR="00C82B6B" w:rsidP="00C82B6B" w14:paraId="19ACEA4F" w14:textId="77777777">
      <w:pPr>
        <w:jc w:val="center"/>
        <w:rPr>
          <w:sz w:val="24"/>
        </w:rPr>
      </w:pPr>
    </w:p>
    <w:p w:rsidR="00074D3A" w:rsidRPr="00074D3A" w:rsidP="00F90E61" w14:paraId="41934633" w14:textId="0F6D3087">
      <w:pPr>
        <w:pStyle w:val="Heading1"/>
      </w:pPr>
      <w:r>
        <w:t>Introduction</w:t>
      </w:r>
    </w:p>
    <w:p w:rsidR="00F90E61" w:rsidP="00017698" w14:paraId="12D77908" w14:textId="09A4FF37">
      <w:pPr>
        <w:widowControl/>
        <w:numPr>
          <w:ilvl w:val="0"/>
          <w:numId w:val="2"/>
        </w:numPr>
        <w:tabs>
          <w:tab w:val="clear" w:pos="1080"/>
          <w:tab w:val="num" w:pos="1440"/>
        </w:tabs>
        <w:spacing w:after="120"/>
      </w:pPr>
      <w:r w:rsidRPr="003608B6">
        <w:t>By</w:t>
      </w:r>
      <w:r w:rsidRPr="0098619F">
        <w:t xml:space="preserve"> </w:t>
      </w:r>
      <w:r w:rsidRPr="003608B6">
        <w:t>this</w:t>
      </w:r>
      <w:r w:rsidRPr="0098619F">
        <w:t xml:space="preserve"> Public Notice</w:t>
      </w:r>
      <w:r w:rsidR="00A055D9">
        <w:t>, the</w:t>
      </w:r>
      <w:r w:rsidRPr="00A055D9" w:rsidR="00A055D9">
        <w:rPr>
          <w:szCs w:val="22"/>
        </w:rPr>
        <w:t xml:space="preserve"> </w:t>
      </w:r>
      <w:r w:rsidR="00A055D9">
        <w:rPr>
          <w:szCs w:val="22"/>
        </w:rPr>
        <w:t>Office of Economics and Analytics (OEA)</w:t>
      </w:r>
      <w:r w:rsidR="00D5695D">
        <w:rPr>
          <w:szCs w:val="22"/>
        </w:rPr>
        <w:t>,</w:t>
      </w:r>
      <w:r w:rsidR="00A055D9">
        <w:rPr>
          <w:szCs w:val="22"/>
        </w:rPr>
        <w:t xml:space="preserve"> in conjunction with the Wireless Telecommunications Bureau (WTB)</w:t>
      </w:r>
      <w:r w:rsidR="00D5695D">
        <w:rPr>
          <w:szCs w:val="22"/>
        </w:rPr>
        <w:t>,</w:t>
      </w:r>
      <w:r w:rsidR="00A055D9">
        <w:rPr>
          <w:szCs w:val="22"/>
        </w:rPr>
        <w:t xml:space="preserve"> </w:t>
      </w:r>
      <w:r w:rsidRPr="0098619F">
        <w:t>announce</w:t>
      </w:r>
      <w:r w:rsidR="00D5695D">
        <w:t>s</w:t>
      </w:r>
      <w:r w:rsidRPr="0098619F">
        <w:t xml:space="preserve"> </w:t>
      </w:r>
      <w:r>
        <w:t xml:space="preserve">the </w:t>
      </w:r>
      <w:r w:rsidRPr="0098619F">
        <w:t xml:space="preserve">results </w:t>
      </w:r>
      <w:r w:rsidR="00301A53">
        <w:t xml:space="preserve">of </w:t>
      </w:r>
      <w:r>
        <w:t xml:space="preserve">the auction of 28 GHz Upper Microwave Flexible Use Service licenses (Auction 101).  Auction 101 </w:t>
      </w:r>
      <w:r w:rsidRPr="00195766">
        <w:t xml:space="preserve">raised </w:t>
      </w:r>
      <w:r w:rsidRPr="00195766" w:rsidR="00FA07CC">
        <w:t>a total of $</w:t>
      </w:r>
      <w:r w:rsidR="00FA07CC">
        <w:t>700,309,809</w:t>
      </w:r>
      <w:r w:rsidRPr="00195766" w:rsidR="00FA07CC">
        <w:t xml:space="preserve"> </w:t>
      </w:r>
      <w:r w:rsidRPr="00195766">
        <w:t>in net bids</w:t>
      </w:r>
      <w:r w:rsidR="00FA07CC">
        <w:t xml:space="preserve"> (</w:t>
      </w:r>
      <w:r w:rsidRPr="00FA07CC" w:rsidR="00FA07CC">
        <w:t>$702,572,410</w:t>
      </w:r>
      <w:r w:rsidR="00FA07CC">
        <w:t xml:space="preserve"> </w:t>
      </w:r>
      <w:r w:rsidR="00AF27A5">
        <w:t xml:space="preserve">in </w:t>
      </w:r>
      <w:r w:rsidR="00FA07CC">
        <w:t>gross</w:t>
      </w:r>
      <w:r w:rsidR="00AF27A5">
        <w:t xml:space="preserve"> bids</w:t>
      </w:r>
      <w:r w:rsidR="00FA07CC">
        <w:t>)</w:t>
      </w:r>
      <w:r>
        <w:t>,</w:t>
      </w:r>
      <w:r w:rsidRPr="00195766">
        <w:t xml:space="preserve"> with </w:t>
      </w:r>
      <w:r w:rsidR="007E723B">
        <w:t>33</w:t>
      </w:r>
      <w:r w:rsidRPr="00195766">
        <w:t xml:space="preserve"> bidder</w:t>
      </w:r>
      <w:r>
        <w:t>s</w:t>
      </w:r>
      <w:r w:rsidRPr="00195766">
        <w:t xml:space="preserve"> winning </w:t>
      </w:r>
      <w:r>
        <w:t xml:space="preserve">a total of </w:t>
      </w:r>
      <w:r w:rsidR="00A055D9">
        <w:t>2,965</w:t>
      </w:r>
      <w:r w:rsidRPr="00195766">
        <w:t xml:space="preserve"> </w:t>
      </w:r>
      <w:r>
        <w:t>licenses</w:t>
      </w:r>
      <w:r w:rsidRPr="00195766">
        <w:t>.</w:t>
      </w:r>
      <w:r>
        <w:rPr>
          <w:rStyle w:val="FootnoteReference"/>
        </w:rPr>
        <w:footnoteReference w:id="3"/>
      </w:r>
      <w:r w:rsidRPr="00195766">
        <w:t xml:space="preserve">  </w:t>
      </w:r>
      <w:r w:rsidRPr="00F90E61">
        <w:t xml:space="preserve"> </w:t>
      </w:r>
    </w:p>
    <w:p w:rsidR="00CE5011" w:rsidRPr="000236A9" w:rsidP="00CE5011" w14:paraId="6A335C5C" w14:textId="19FDA166">
      <w:pPr>
        <w:keepNext/>
        <w:widowControl/>
        <w:numPr>
          <w:ilvl w:val="0"/>
          <w:numId w:val="3"/>
        </w:numPr>
        <w:suppressAutoHyphens/>
        <w:spacing w:after="120"/>
        <w:outlineLvl w:val="0"/>
        <w:rPr>
          <w:rFonts w:ascii="Times New Roman Bold" w:hAnsi="Times New Roman Bold"/>
          <w:caps/>
        </w:rPr>
      </w:pPr>
      <w:r w:rsidRPr="00CE5011">
        <w:rPr>
          <w:rFonts w:ascii="Times New Roman Bold" w:hAnsi="Times New Roman Bold"/>
          <w:b/>
          <w:caps/>
        </w:rPr>
        <w:t>Auction 101 Results</w:t>
      </w:r>
    </w:p>
    <w:p w:rsidR="00E46923" w:rsidRPr="00E46923" w:rsidP="00017698" w14:paraId="422AB52D" w14:textId="6A648012">
      <w:pPr>
        <w:widowControl/>
        <w:numPr>
          <w:ilvl w:val="0"/>
          <w:numId w:val="2"/>
        </w:numPr>
        <w:tabs>
          <w:tab w:val="clear" w:pos="1080"/>
          <w:tab w:val="num" w:pos="1440"/>
        </w:tabs>
        <w:spacing w:after="120"/>
      </w:pPr>
      <w:r>
        <w:t xml:space="preserve">Bidding in Auction 101 concluded on January 24, 2019, and </w:t>
      </w:r>
      <w:r w:rsidR="00C070D9">
        <w:t>certain bidding results data, including gross winning bids for each license, w</w:t>
      </w:r>
      <w:r w:rsidR="006C27F7">
        <w:t>ere</w:t>
      </w:r>
      <w:r w:rsidR="00C070D9">
        <w:t xml:space="preserve"> made available shortly thereafter</w:t>
      </w:r>
      <w:r>
        <w:t>.</w:t>
      </w:r>
      <w:r>
        <w:rPr>
          <w:rStyle w:val="FootnoteReference"/>
        </w:rPr>
        <w:footnoteReference w:id="4"/>
      </w:r>
      <w:r>
        <w:t xml:space="preserve">  </w:t>
      </w:r>
      <w:r w:rsidR="00C070D9">
        <w:t xml:space="preserve">Under the limited information procedures established for Auctions 101 and 102, </w:t>
      </w:r>
      <w:r>
        <w:rPr>
          <w:szCs w:val="22"/>
        </w:rPr>
        <w:t>certain detailed Auction 101 results data</w:t>
      </w:r>
      <w:r w:rsidR="00C070D9">
        <w:rPr>
          <w:szCs w:val="22"/>
        </w:rPr>
        <w:t xml:space="preserve"> remained non-public until after the close of bidding in Auction 102.</w:t>
      </w:r>
      <w:r>
        <w:rPr>
          <w:rStyle w:val="FootnoteReference"/>
          <w:szCs w:val="22"/>
        </w:rPr>
        <w:footnoteReference w:id="5"/>
      </w:r>
      <w:r w:rsidR="00C070D9">
        <w:rPr>
          <w:szCs w:val="22"/>
        </w:rPr>
        <w:t xml:space="preserve"> </w:t>
      </w:r>
      <w:r>
        <w:rPr>
          <w:szCs w:val="22"/>
        </w:rPr>
        <w:t xml:space="preserve"> </w:t>
      </w:r>
      <w:r w:rsidR="00D55DF8">
        <w:rPr>
          <w:szCs w:val="22"/>
        </w:rPr>
        <w:t xml:space="preserve">With </w:t>
      </w:r>
      <w:r w:rsidR="00D55DF8">
        <w:t xml:space="preserve">the close of </w:t>
      </w:r>
      <w:r w:rsidRPr="00202FBB" w:rsidR="00D55DF8">
        <w:t xml:space="preserve">bidding </w:t>
      </w:r>
      <w:r w:rsidR="00D55DF8">
        <w:t xml:space="preserve">in the assignment phase of Auction 102 on May </w:t>
      </w:r>
      <w:r w:rsidR="007E723B">
        <w:t>28</w:t>
      </w:r>
      <w:r w:rsidR="00D55DF8">
        <w:t>, 2019,</w:t>
      </w:r>
      <w:r>
        <w:rPr>
          <w:rStyle w:val="FootnoteReference"/>
        </w:rPr>
        <w:footnoteReference w:id="6"/>
      </w:r>
      <w:r w:rsidR="00D55DF8">
        <w:t xml:space="preserve"> we now announce the availability of detailed Auction 101 </w:t>
      </w:r>
      <w:r w:rsidR="004C0503">
        <w:t>application and bidding information</w:t>
      </w:r>
      <w:r w:rsidR="00B874F6">
        <w:t xml:space="preserve"> that w</w:t>
      </w:r>
      <w:r w:rsidR="00952760">
        <w:t>as</w:t>
      </w:r>
      <w:r w:rsidR="00B874F6">
        <w:t xml:space="preserve"> previously withheld</w:t>
      </w:r>
      <w:r w:rsidR="00D55DF8">
        <w:t xml:space="preserve">, including </w:t>
      </w:r>
      <w:r w:rsidRPr="005712E5" w:rsidR="00D55DF8">
        <w:rPr>
          <w:szCs w:val="22"/>
        </w:rPr>
        <w:t>bidders’ license selections, upfront payment amounts, bidding eligibility, bids, and other bidding-related actions</w:t>
      </w:r>
      <w:r w:rsidR="00D55DF8">
        <w:rPr>
          <w:szCs w:val="22"/>
        </w:rPr>
        <w:t xml:space="preserve">.  </w:t>
      </w:r>
      <w:r w:rsidR="00D55DF8">
        <w:t xml:space="preserve"> </w:t>
      </w:r>
    </w:p>
    <w:p w:rsidR="00832A1C" w:rsidRPr="00832A1C" w:rsidP="00017698" w14:paraId="50B1B6AA" w14:textId="04412032">
      <w:pPr>
        <w:widowControl/>
        <w:numPr>
          <w:ilvl w:val="0"/>
          <w:numId w:val="2"/>
        </w:numPr>
        <w:tabs>
          <w:tab w:val="clear" w:pos="1080"/>
          <w:tab w:val="num" w:pos="1440"/>
        </w:tabs>
        <w:spacing w:after="120"/>
        <w:rPr>
          <w:b/>
        </w:rPr>
      </w:pPr>
      <w:r w:rsidRPr="00CE5011">
        <w:t xml:space="preserve">This section </w:t>
      </w:r>
      <w:r w:rsidR="00D55DF8">
        <w:t xml:space="preserve">of this Public Notice </w:t>
      </w:r>
      <w:r w:rsidRPr="00CE5011">
        <w:t xml:space="preserve">highlights important </w:t>
      </w:r>
      <w:r w:rsidR="00F86BAD">
        <w:t xml:space="preserve">information </w:t>
      </w:r>
      <w:r w:rsidR="003C4948">
        <w:t>regarding the</w:t>
      </w:r>
      <w:r w:rsidRPr="00CE5011">
        <w:t xml:space="preserve"> </w:t>
      </w:r>
      <w:r w:rsidR="003C4948">
        <w:t>Auction 101</w:t>
      </w:r>
      <w:r w:rsidR="00F86BAD">
        <w:t xml:space="preserve"> results data</w:t>
      </w:r>
      <w:r w:rsidR="003C4948">
        <w:t xml:space="preserve">.  More detailed bidding results and </w:t>
      </w:r>
      <w:r w:rsidRPr="00CE5011">
        <w:t>information</w:t>
      </w:r>
      <w:bookmarkStart w:id="0" w:name="_Toc475702716"/>
      <w:bookmarkStart w:id="1" w:name="_Toc475702812"/>
      <w:bookmarkStart w:id="2" w:name="_Toc476846393"/>
      <w:bookmarkStart w:id="3" w:name="_Toc477156530"/>
      <w:bookmarkStart w:id="4" w:name="_Toc477249782"/>
      <w:bookmarkStart w:id="5" w:name="_Toc477251082"/>
      <w:bookmarkStart w:id="6" w:name="_Toc477271845"/>
      <w:bookmarkStart w:id="7" w:name="_Toc478997524"/>
      <w:r w:rsidR="003C4948">
        <w:t xml:space="preserve"> are available </w:t>
      </w:r>
      <w:r w:rsidR="00F86BAD">
        <w:t xml:space="preserve">in </w:t>
      </w:r>
      <w:r w:rsidR="003C4948">
        <w:t>the “Results” section of the Auction 101 website (</w:t>
      </w:r>
      <w:hyperlink r:id="rId5" w:history="1">
        <w:r w:rsidRPr="009D25C4" w:rsidR="003C4948">
          <w:rPr>
            <w:rStyle w:val="Hyperlink"/>
          </w:rPr>
          <w:t>www.fcc.gov/auction/101</w:t>
        </w:r>
      </w:hyperlink>
      <w:r w:rsidR="003C4948">
        <w:t>)</w:t>
      </w:r>
      <w:r w:rsidR="00952760">
        <w:t>, and</w:t>
      </w:r>
      <w:r w:rsidR="00FC493B">
        <w:t xml:space="preserve"> </w:t>
      </w:r>
      <w:r w:rsidR="00952760">
        <w:t>a</w:t>
      </w:r>
      <w:r w:rsidR="00C35ACB">
        <w:t>ttach</w:t>
      </w:r>
      <w:r w:rsidR="00952760">
        <w:t>ments</w:t>
      </w:r>
      <w:r w:rsidR="00C35ACB">
        <w:t xml:space="preserve"> to this Public Notice summari</w:t>
      </w:r>
      <w:r w:rsidR="00952760">
        <w:t>ze</w:t>
      </w:r>
      <w:r w:rsidR="00C35ACB">
        <w:t xml:space="preserve"> the results, </w:t>
      </w:r>
      <w:r w:rsidR="00E87DA6">
        <w:t xml:space="preserve">as </w:t>
      </w:r>
      <w:r w:rsidR="00C35ACB">
        <w:t xml:space="preserve">described below.  </w:t>
      </w:r>
    </w:p>
    <w:p w:rsidR="00832A1C" w:rsidRPr="00CE5011" w:rsidP="0078638E" w14:paraId="32A7E842" w14:textId="10FCE389">
      <w:pPr>
        <w:pStyle w:val="Heading2"/>
      </w:pPr>
      <w:r w:rsidRPr="00CE5011">
        <w:t>Results by License</w:t>
      </w:r>
      <w:bookmarkEnd w:id="0"/>
      <w:bookmarkEnd w:id="1"/>
      <w:bookmarkEnd w:id="2"/>
      <w:bookmarkEnd w:id="3"/>
      <w:bookmarkEnd w:id="4"/>
      <w:bookmarkEnd w:id="5"/>
      <w:bookmarkEnd w:id="6"/>
      <w:bookmarkEnd w:id="7"/>
    </w:p>
    <w:p w:rsidR="00832A1C" w:rsidP="007D39CA" w14:paraId="6E860B22" w14:textId="20D4E6A2">
      <w:pPr>
        <w:widowControl/>
        <w:numPr>
          <w:ilvl w:val="0"/>
          <w:numId w:val="2"/>
        </w:numPr>
        <w:tabs>
          <w:tab w:val="clear" w:pos="1080"/>
          <w:tab w:val="num" w:pos="1440"/>
        </w:tabs>
        <w:spacing w:after="120"/>
      </w:pPr>
      <w:r>
        <w:t xml:space="preserve">Files containing </w:t>
      </w:r>
      <w:r w:rsidR="00B874F6">
        <w:t>Auction 101 r</w:t>
      </w:r>
      <w:r w:rsidRPr="00CE5011">
        <w:t>esults are now available in the Public Reporting System (PRS)</w:t>
      </w:r>
      <w:r>
        <w:t xml:space="preserve">, including </w:t>
      </w:r>
      <w:r w:rsidRPr="00A06914">
        <w:t>the identities of bidders and the net amounts of bids</w:t>
      </w:r>
      <w:r w:rsidRPr="00CE5011">
        <w:t>.</w:t>
      </w:r>
      <w:r>
        <w:rPr>
          <w:vertAlign w:val="superscript"/>
        </w:rPr>
        <w:footnoteReference w:id="7"/>
      </w:r>
      <w:r w:rsidRPr="00CE5011">
        <w:t xml:space="preserve">  </w:t>
      </w:r>
      <w:r>
        <w:rPr>
          <w:szCs w:val="22"/>
        </w:rPr>
        <w:t>This information may be viewed on screen or downloaded as a c</w:t>
      </w:r>
      <w:r w:rsidRPr="00F230BF">
        <w:rPr>
          <w:szCs w:val="22"/>
        </w:rPr>
        <w:t xml:space="preserve">omma-separated values </w:t>
      </w:r>
      <w:r>
        <w:rPr>
          <w:szCs w:val="22"/>
        </w:rPr>
        <w:t xml:space="preserve">(CSV) file.  </w:t>
      </w:r>
      <w:r w:rsidRPr="00CE5011">
        <w:t xml:space="preserve">Additionally, the publicly available applications to participate in the auction (FCC Forms 175) now display the licenses that were selected by each applicant.  The applications are viewable via the Auction Application Search </w:t>
      </w:r>
      <w:r w:rsidR="004F188A">
        <w:t xml:space="preserve">at </w:t>
      </w:r>
      <w:hyperlink r:id="rId6" w:history="1">
        <w:r w:rsidRPr="00CE5011">
          <w:rPr>
            <w:color w:val="0000FF"/>
            <w:u w:val="single"/>
          </w:rPr>
          <w:t>https://auctionfiling.fcc.gov/form175/search175/index.htm</w:t>
        </w:r>
      </w:hyperlink>
      <w:r w:rsidRPr="00CE5011">
        <w:t xml:space="preserve">.  </w:t>
      </w:r>
    </w:p>
    <w:p w:rsidR="009C6A84" w:rsidP="0078638E" w14:paraId="25A4D928" w14:textId="77777777">
      <w:pPr>
        <w:pStyle w:val="Heading2"/>
      </w:pPr>
      <w:bookmarkStart w:id="8" w:name="_Toc475702715"/>
      <w:bookmarkStart w:id="9" w:name="_Toc475702811"/>
      <w:bookmarkStart w:id="10" w:name="_Toc476846392"/>
      <w:bookmarkStart w:id="11" w:name="_Toc477156529"/>
      <w:bookmarkStart w:id="12" w:name="_Toc477249781"/>
      <w:bookmarkStart w:id="13" w:name="_Toc477251081"/>
      <w:bookmarkStart w:id="14" w:name="_Toc477271844"/>
      <w:bookmarkStart w:id="15" w:name="_Toc478997523"/>
      <w:r>
        <w:t xml:space="preserve">Summary of Auction Results by Bidder </w:t>
      </w:r>
    </w:p>
    <w:p w:rsidR="009C6A84" w:rsidP="009C6A84" w14:paraId="402B94E8" w14:textId="0760A4BD">
      <w:pPr>
        <w:pStyle w:val="ParaNum"/>
        <w:tabs>
          <w:tab w:val="clear" w:pos="1080"/>
          <w:tab w:val="num" w:pos="1440"/>
        </w:tabs>
        <w:rPr>
          <w:szCs w:val="22"/>
        </w:rPr>
      </w:pPr>
      <w:r>
        <w:rPr>
          <w:szCs w:val="22"/>
        </w:rPr>
        <w:t>Attachment</w:t>
      </w:r>
      <w:r>
        <w:rPr>
          <w:szCs w:val="22"/>
        </w:rPr>
        <w:t xml:space="preserve"> A list</w:t>
      </w:r>
      <w:r w:rsidR="00FB6632">
        <w:rPr>
          <w:szCs w:val="22"/>
        </w:rPr>
        <w:t>s</w:t>
      </w:r>
      <w:r>
        <w:rPr>
          <w:szCs w:val="22"/>
        </w:rPr>
        <w:t xml:space="preserve"> each </w:t>
      </w:r>
      <w:r w:rsidR="0080733C">
        <w:rPr>
          <w:szCs w:val="22"/>
        </w:rPr>
        <w:t xml:space="preserve">winning </w:t>
      </w:r>
      <w:r>
        <w:rPr>
          <w:szCs w:val="22"/>
        </w:rPr>
        <w:t>bidder and summariz</w:t>
      </w:r>
      <w:r w:rsidR="00FB6632">
        <w:rPr>
          <w:szCs w:val="22"/>
        </w:rPr>
        <w:t>es</w:t>
      </w:r>
      <w:r>
        <w:rPr>
          <w:szCs w:val="22"/>
        </w:rPr>
        <w:t xml:space="preserve"> each bidder’s auction results.  </w:t>
      </w:r>
      <w:r>
        <w:rPr>
          <w:szCs w:val="22"/>
        </w:rPr>
        <w:t xml:space="preserve">Attachment </w:t>
      </w:r>
      <w:r>
        <w:rPr>
          <w:szCs w:val="22"/>
        </w:rPr>
        <w:t>A provides the following information</w:t>
      </w:r>
      <w:r w:rsidR="00B874F6">
        <w:rPr>
          <w:szCs w:val="22"/>
        </w:rPr>
        <w:t xml:space="preserve"> for each </w:t>
      </w:r>
      <w:r w:rsidR="00282098">
        <w:rPr>
          <w:szCs w:val="22"/>
        </w:rPr>
        <w:t xml:space="preserve">winning </w:t>
      </w:r>
      <w:r w:rsidR="00B874F6">
        <w:rPr>
          <w:szCs w:val="22"/>
        </w:rPr>
        <w:t>bidder</w:t>
      </w:r>
      <w:r>
        <w:rPr>
          <w:szCs w:val="22"/>
        </w:rPr>
        <w:t>:</w:t>
      </w:r>
    </w:p>
    <w:p w:rsidR="009C6A84" w:rsidP="009C6A84" w14:paraId="62FC6168" w14:textId="43D81342">
      <w:pPr>
        <w:numPr>
          <w:ilvl w:val="0"/>
          <w:numId w:val="7"/>
        </w:numPr>
        <w:spacing w:after="120"/>
        <w:ind w:left="1440"/>
        <w:rPr>
          <w:szCs w:val="22"/>
        </w:rPr>
      </w:pPr>
      <w:r>
        <w:rPr>
          <w:szCs w:val="22"/>
        </w:rPr>
        <w:t xml:space="preserve">Bidder (the name of the </w:t>
      </w:r>
      <w:r w:rsidR="0080733C">
        <w:rPr>
          <w:szCs w:val="22"/>
        </w:rPr>
        <w:t>winning bidder</w:t>
      </w:r>
      <w:r>
        <w:rPr>
          <w:szCs w:val="22"/>
        </w:rPr>
        <w:t xml:space="preserve"> in Auction 101)</w:t>
      </w:r>
    </w:p>
    <w:p w:rsidR="009C6A84" w:rsidP="009C6A84" w14:paraId="0731C221" w14:textId="77777777">
      <w:pPr>
        <w:numPr>
          <w:ilvl w:val="0"/>
          <w:numId w:val="7"/>
        </w:numPr>
        <w:spacing w:after="120"/>
        <w:ind w:left="1440"/>
        <w:rPr>
          <w:szCs w:val="22"/>
        </w:rPr>
      </w:pPr>
      <w:r>
        <w:rPr>
          <w:szCs w:val="22"/>
        </w:rPr>
        <w:t>FRN (bidder’s FCC Registration Number)</w:t>
      </w:r>
    </w:p>
    <w:p w:rsidR="009C6A84" w:rsidP="009C6A84" w14:paraId="1AF11C52" w14:textId="14ABC80D">
      <w:pPr>
        <w:numPr>
          <w:ilvl w:val="0"/>
          <w:numId w:val="7"/>
        </w:numPr>
        <w:spacing w:after="120"/>
        <w:ind w:left="1440"/>
        <w:rPr>
          <w:szCs w:val="22"/>
        </w:rPr>
      </w:pPr>
      <w:r>
        <w:rPr>
          <w:szCs w:val="22"/>
        </w:rPr>
        <w:t>Bidding Credit Type (</w:t>
      </w:r>
      <w:r w:rsidR="003C4948">
        <w:rPr>
          <w:szCs w:val="22"/>
        </w:rPr>
        <w:t xml:space="preserve">small or </w:t>
      </w:r>
      <w:r>
        <w:rPr>
          <w:szCs w:val="22"/>
        </w:rPr>
        <w:t>rural; this is the bidding credit type claimed by the bidder</w:t>
      </w:r>
      <w:r w:rsidR="00FB6632">
        <w:rPr>
          <w:szCs w:val="22"/>
        </w:rPr>
        <w:t xml:space="preserve"> on its FCC Form 175—</w:t>
      </w:r>
      <w:r>
        <w:rPr>
          <w:szCs w:val="22"/>
        </w:rPr>
        <w:t xml:space="preserve">i.e., </w:t>
      </w:r>
      <w:r w:rsidR="002A0EF7">
        <w:rPr>
          <w:szCs w:val="22"/>
        </w:rPr>
        <w:t xml:space="preserve">small business or </w:t>
      </w:r>
      <w:r>
        <w:rPr>
          <w:szCs w:val="22"/>
        </w:rPr>
        <w:t>rural service provider</w:t>
      </w:r>
      <w:r w:rsidR="00FB6632">
        <w:rPr>
          <w:szCs w:val="22"/>
        </w:rPr>
        <w:t>—</w:t>
      </w:r>
      <w:r>
        <w:rPr>
          <w:szCs w:val="22"/>
        </w:rPr>
        <w:t xml:space="preserve">and the associated </w:t>
      </w:r>
      <w:r w:rsidR="00FB6632">
        <w:rPr>
          <w:szCs w:val="22"/>
        </w:rPr>
        <w:t xml:space="preserve">bidding </w:t>
      </w:r>
      <w:r>
        <w:rPr>
          <w:szCs w:val="22"/>
        </w:rPr>
        <w:t xml:space="preserve">credit percentage) </w:t>
      </w:r>
    </w:p>
    <w:p w:rsidR="009C6A84" w:rsidP="009C6A84" w14:paraId="2ED82F56" w14:textId="77777777">
      <w:pPr>
        <w:numPr>
          <w:ilvl w:val="0"/>
          <w:numId w:val="7"/>
        </w:numPr>
        <w:spacing w:after="120"/>
        <w:ind w:left="1440"/>
        <w:rPr>
          <w:szCs w:val="22"/>
        </w:rPr>
      </w:pPr>
      <w:r>
        <w:rPr>
          <w:szCs w:val="22"/>
        </w:rPr>
        <w:t>Number of Licenses Won (total number of licenses won by the bidder)</w:t>
      </w:r>
    </w:p>
    <w:p w:rsidR="009C6A84" w:rsidP="009C6A84" w14:paraId="369CBCE7" w14:textId="6B204F40">
      <w:pPr>
        <w:numPr>
          <w:ilvl w:val="0"/>
          <w:numId w:val="7"/>
        </w:numPr>
        <w:spacing w:after="120"/>
        <w:ind w:left="1440"/>
        <w:rPr>
          <w:szCs w:val="22"/>
        </w:rPr>
      </w:pPr>
      <w:r>
        <w:rPr>
          <w:szCs w:val="22"/>
        </w:rPr>
        <w:t xml:space="preserve">Number of </w:t>
      </w:r>
      <w:r w:rsidR="008C0097">
        <w:rPr>
          <w:szCs w:val="22"/>
        </w:rPr>
        <w:t xml:space="preserve">Markets </w:t>
      </w:r>
      <w:r>
        <w:rPr>
          <w:szCs w:val="22"/>
        </w:rPr>
        <w:t xml:space="preserve">(total number of </w:t>
      </w:r>
      <w:r w:rsidR="008C0097">
        <w:rPr>
          <w:szCs w:val="22"/>
        </w:rPr>
        <w:t xml:space="preserve">markets </w:t>
      </w:r>
      <w:r>
        <w:rPr>
          <w:szCs w:val="22"/>
        </w:rPr>
        <w:t>in which the bidder won licenses)</w:t>
      </w:r>
    </w:p>
    <w:p w:rsidR="009C6A84" w:rsidP="009C6A84" w14:paraId="3607A869" w14:textId="659D9DA4">
      <w:pPr>
        <w:numPr>
          <w:ilvl w:val="0"/>
          <w:numId w:val="7"/>
        </w:numPr>
        <w:spacing w:after="120"/>
        <w:ind w:left="1440"/>
        <w:rPr>
          <w:szCs w:val="22"/>
        </w:rPr>
      </w:pPr>
      <w:r>
        <w:rPr>
          <w:szCs w:val="22"/>
        </w:rPr>
        <w:t>Gross Payment (aggregate amount of all winning bids by the bidder)</w:t>
      </w:r>
    </w:p>
    <w:p w:rsidR="009C6A84" w:rsidRPr="009C6A84" w:rsidP="009C6A84" w14:paraId="49495EE9" w14:textId="08019D91">
      <w:pPr>
        <w:numPr>
          <w:ilvl w:val="0"/>
          <w:numId w:val="7"/>
        </w:numPr>
        <w:spacing w:after="120"/>
        <w:ind w:left="1440"/>
        <w:rPr>
          <w:szCs w:val="22"/>
        </w:rPr>
      </w:pPr>
      <w:r>
        <w:rPr>
          <w:szCs w:val="22"/>
        </w:rPr>
        <w:t>Net Payment (gross payment less applicable discounts for any bidding credit claimed, subject to applicable caps, if any)</w:t>
      </w:r>
    </w:p>
    <w:p w:rsidR="00CE5011" w:rsidRPr="00CE5011" w:rsidP="00CE5011" w14:paraId="5E0C42BC" w14:textId="0C93AB21">
      <w:pPr>
        <w:keepNext/>
        <w:numPr>
          <w:ilvl w:val="1"/>
          <w:numId w:val="3"/>
        </w:numPr>
        <w:spacing w:after="120"/>
        <w:outlineLvl w:val="1"/>
        <w:rPr>
          <w:b/>
        </w:rPr>
      </w:pPr>
      <w:r w:rsidRPr="00CE5011">
        <w:rPr>
          <w:b/>
        </w:rPr>
        <w:t>Bidder</w:t>
      </w:r>
      <w:bookmarkEnd w:id="8"/>
      <w:bookmarkEnd w:id="9"/>
      <w:bookmarkEnd w:id="10"/>
      <w:bookmarkEnd w:id="11"/>
      <w:bookmarkEnd w:id="12"/>
      <w:bookmarkEnd w:id="13"/>
      <w:bookmarkEnd w:id="14"/>
      <w:bookmarkEnd w:id="15"/>
      <w:r w:rsidR="00017698">
        <w:rPr>
          <w:b/>
        </w:rPr>
        <w:t xml:space="preserve"> Payment</w:t>
      </w:r>
      <w:r w:rsidR="002A0EF7">
        <w:rPr>
          <w:b/>
        </w:rPr>
        <w:t>s</w:t>
      </w:r>
      <w:r w:rsidR="000D5C10">
        <w:rPr>
          <w:b/>
        </w:rPr>
        <w:t>/</w:t>
      </w:r>
      <w:r w:rsidR="00017698">
        <w:rPr>
          <w:b/>
        </w:rPr>
        <w:t>Refund</w:t>
      </w:r>
      <w:r w:rsidR="000D5C10">
        <w:rPr>
          <w:b/>
        </w:rPr>
        <w:t xml:space="preserve"> Summary</w:t>
      </w:r>
      <w:r w:rsidRPr="00CE5011">
        <w:rPr>
          <w:b/>
        </w:rPr>
        <w:t xml:space="preserve"> </w:t>
      </w:r>
    </w:p>
    <w:p w:rsidR="00CE5011" w:rsidRPr="00CE5011" w:rsidP="00017698" w14:paraId="613C3087" w14:textId="07CE06B4">
      <w:pPr>
        <w:widowControl/>
        <w:numPr>
          <w:ilvl w:val="0"/>
          <w:numId w:val="2"/>
        </w:numPr>
        <w:tabs>
          <w:tab w:val="clear" w:pos="1080"/>
          <w:tab w:val="num" w:pos="1440"/>
        </w:tabs>
        <w:spacing w:after="120"/>
      </w:pPr>
      <w:r>
        <w:t xml:space="preserve"> </w:t>
      </w:r>
      <w:r w:rsidRPr="00CE5011">
        <w:t>Attachment B list</w:t>
      </w:r>
      <w:r>
        <w:t>s</w:t>
      </w:r>
      <w:r w:rsidRPr="00CE5011">
        <w:t xml:space="preserve"> </w:t>
      </w:r>
      <w:r w:rsidR="006F5DD5">
        <w:t xml:space="preserve">for </w:t>
      </w:r>
      <w:r w:rsidRPr="00CE5011">
        <w:t xml:space="preserve">each qualified bidder </w:t>
      </w:r>
      <w:r w:rsidR="006F5DD5">
        <w:t>th</w:t>
      </w:r>
      <w:r w:rsidR="006C27F7">
        <w:t>e</w:t>
      </w:r>
      <w:r w:rsidR="006F5DD5">
        <w:t xml:space="preserve"> amount of its </w:t>
      </w:r>
      <w:r w:rsidRPr="00CE5011">
        <w:t xml:space="preserve">upfront payment </w:t>
      </w:r>
      <w:r w:rsidR="001640C6">
        <w:t xml:space="preserve">as well as any </w:t>
      </w:r>
      <w:r w:rsidRPr="00CE5011">
        <w:t>post-auction payments or refund</w:t>
      </w:r>
      <w:r w:rsidR="001640C6">
        <w:t>s</w:t>
      </w:r>
      <w:r w:rsidRPr="00CE5011">
        <w:t xml:space="preserve"> </w:t>
      </w:r>
      <w:r w:rsidR="001640C6">
        <w:t>that were due following the close of bidding in</w:t>
      </w:r>
      <w:r w:rsidRPr="00CE5011">
        <w:t xml:space="preserve"> Auction 101.</w:t>
      </w:r>
      <w:r>
        <w:rPr>
          <w:rStyle w:val="FootnoteReference"/>
        </w:rPr>
        <w:footnoteReference w:id="8"/>
      </w:r>
      <w:r w:rsidRPr="00CE5011">
        <w:t xml:space="preserve">  </w:t>
      </w:r>
      <w:bookmarkStart w:id="16" w:name="_Hlk4684012"/>
      <w:r w:rsidRPr="00CE5011">
        <w:t xml:space="preserve">Specifically, for each bidder, </w:t>
      </w:r>
      <w:r w:rsidR="002A0EF7">
        <w:t xml:space="preserve">Attachment </w:t>
      </w:r>
      <w:r w:rsidRPr="00CE5011">
        <w:t>B provide</w:t>
      </w:r>
      <w:r w:rsidR="0078638E">
        <w:t>s</w:t>
      </w:r>
      <w:r w:rsidRPr="00CE5011">
        <w:t xml:space="preserve"> the following information: </w:t>
      </w:r>
    </w:p>
    <w:p w:rsidR="00CE5011" w:rsidRPr="00CE5011" w:rsidP="00CE5011" w14:paraId="5D1EA58D" w14:textId="6EFAE510">
      <w:pPr>
        <w:numPr>
          <w:ilvl w:val="0"/>
          <w:numId w:val="7"/>
        </w:numPr>
        <w:spacing w:after="120"/>
        <w:ind w:left="1440"/>
        <w:rPr>
          <w:szCs w:val="22"/>
        </w:rPr>
      </w:pPr>
      <w:r w:rsidRPr="00CE5011">
        <w:rPr>
          <w:szCs w:val="22"/>
        </w:rPr>
        <w:t xml:space="preserve">Bidder </w:t>
      </w:r>
      <w:r w:rsidR="00ED5B8C">
        <w:rPr>
          <w:szCs w:val="22"/>
        </w:rPr>
        <w:t xml:space="preserve">Name </w:t>
      </w:r>
      <w:r w:rsidRPr="00CE5011">
        <w:rPr>
          <w:szCs w:val="22"/>
        </w:rPr>
        <w:t>(the name of the applicant</w:t>
      </w:r>
      <w:r w:rsidR="00980986">
        <w:rPr>
          <w:szCs w:val="22"/>
        </w:rPr>
        <w:t xml:space="preserve"> qualified</w:t>
      </w:r>
      <w:r w:rsidRPr="00CE5011">
        <w:rPr>
          <w:szCs w:val="22"/>
        </w:rPr>
        <w:t xml:space="preserve"> to participate in Auction 101)</w:t>
      </w:r>
    </w:p>
    <w:p w:rsidR="00CE5011" w:rsidP="00CE5011" w14:paraId="7BC1EB62" w14:textId="1C83190D">
      <w:pPr>
        <w:numPr>
          <w:ilvl w:val="0"/>
          <w:numId w:val="7"/>
        </w:numPr>
        <w:spacing w:after="120"/>
        <w:ind w:left="1440"/>
        <w:rPr>
          <w:szCs w:val="22"/>
        </w:rPr>
      </w:pPr>
      <w:r w:rsidRPr="00CE5011">
        <w:rPr>
          <w:szCs w:val="22"/>
        </w:rPr>
        <w:t>FRN (bidder’s FCC Registration Number)</w:t>
      </w:r>
    </w:p>
    <w:p w:rsidR="00BB145A" w:rsidP="00CE5011" w14:paraId="7B6C0EE5" w14:textId="77777777">
      <w:pPr>
        <w:numPr>
          <w:ilvl w:val="0"/>
          <w:numId w:val="7"/>
        </w:numPr>
        <w:spacing w:after="120"/>
        <w:ind w:left="1440"/>
        <w:rPr>
          <w:szCs w:val="22"/>
        </w:rPr>
      </w:pPr>
      <w:r>
        <w:rPr>
          <w:szCs w:val="22"/>
        </w:rPr>
        <w:t>Upfront Payment Amount</w:t>
      </w:r>
    </w:p>
    <w:p w:rsidR="00195EF4" w:rsidRPr="00CE5011" w:rsidP="00CE5011" w14:paraId="6C64D9C4" w14:textId="1AEC6F07">
      <w:pPr>
        <w:numPr>
          <w:ilvl w:val="0"/>
          <w:numId w:val="7"/>
        </w:numPr>
        <w:spacing w:after="120"/>
        <w:ind w:left="1440"/>
        <w:rPr>
          <w:szCs w:val="22"/>
        </w:rPr>
      </w:pPr>
      <w:r>
        <w:rPr>
          <w:szCs w:val="22"/>
        </w:rPr>
        <w:t>Total Withdrawal Payment Amount</w:t>
      </w:r>
    </w:p>
    <w:p w:rsidR="00CE5011" w:rsidRPr="00CE5011" w:rsidP="00CE5011" w14:paraId="597014A6" w14:textId="31116B44">
      <w:pPr>
        <w:numPr>
          <w:ilvl w:val="0"/>
          <w:numId w:val="7"/>
        </w:numPr>
        <w:spacing w:after="120"/>
        <w:ind w:left="1440"/>
        <w:rPr>
          <w:szCs w:val="22"/>
        </w:rPr>
      </w:pPr>
      <w:r w:rsidRPr="00CE5011">
        <w:rPr>
          <w:szCs w:val="22"/>
        </w:rPr>
        <w:t xml:space="preserve">Upfront Payment </w:t>
      </w:r>
      <w:r w:rsidR="00ED5B8C">
        <w:rPr>
          <w:szCs w:val="22"/>
        </w:rPr>
        <w:t xml:space="preserve">Balance </w:t>
      </w:r>
      <w:r w:rsidR="00195EF4">
        <w:rPr>
          <w:szCs w:val="22"/>
        </w:rPr>
        <w:t xml:space="preserve">Remaining </w:t>
      </w:r>
    </w:p>
    <w:p w:rsidR="00CE5011" w:rsidRPr="00CE5011" w:rsidP="00CE5011" w14:paraId="3BD4FC7F" w14:textId="0EF4A37B">
      <w:pPr>
        <w:numPr>
          <w:ilvl w:val="0"/>
          <w:numId w:val="7"/>
        </w:numPr>
        <w:spacing w:after="120"/>
        <w:ind w:left="1440"/>
        <w:rPr>
          <w:szCs w:val="22"/>
        </w:rPr>
      </w:pPr>
      <w:r>
        <w:rPr>
          <w:szCs w:val="22"/>
        </w:rPr>
        <w:t xml:space="preserve">Total Winning Bid </w:t>
      </w:r>
      <w:r w:rsidRPr="00CE5011">
        <w:rPr>
          <w:szCs w:val="22"/>
        </w:rPr>
        <w:t xml:space="preserve">Net </w:t>
      </w:r>
      <w:r>
        <w:rPr>
          <w:szCs w:val="22"/>
        </w:rPr>
        <w:t xml:space="preserve">Amount </w:t>
      </w:r>
      <w:r w:rsidRPr="00CE5011">
        <w:rPr>
          <w:szCs w:val="22"/>
        </w:rPr>
        <w:t xml:space="preserve">(this is the same figure reported in Attachment </w:t>
      </w:r>
      <w:r w:rsidR="002A0EF7">
        <w:rPr>
          <w:szCs w:val="22"/>
        </w:rPr>
        <w:t>A</w:t>
      </w:r>
      <w:r w:rsidRPr="00CE5011">
        <w:rPr>
          <w:szCs w:val="22"/>
        </w:rPr>
        <w:t>, i.e., gross payment amount for all winning bids less applicable discounts for any bidding credit claimed, subject to applicable caps, if any)</w:t>
      </w:r>
    </w:p>
    <w:p w:rsidR="00CE5011" w:rsidRPr="00CE5011" w:rsidP="00CE5011" w14:paraId="74E765F5" w14:textId="12EC5AA9">
      <w:pPr>
        <w:numPr>
          <w:ilvl w:val="0"/>
          <w:numId w:val="7"/>
        </w:numPr>
        <w:spacing w:after="120"/>
        <w:ind w:left="1440"/>
        <w:rPr>
          <w:szCs w:val="22"/>
        </w:rPr>
      </w:pPr>
      <w:r w:rsidRPr="00CE5011">
        <w:rPr>
          <w:szCs w:val="22"/>
        </w:rPr>
        <w:t xml:space="preserve">Down Payment Amount (20% of Net </w:t>
      </w:r>
      <w:r w:rsidR="00ED5B8C">
        <w:rPr>
          <w:szCs w:val="22"/>
        </w:rPr>
        <w:t>Winning Bids</w:t>
      </w:r>
      <w:r w:rsidRPr="00CE5011">
        <w:rPr>
          <w:szCs w:val="22"/>
        </w:rPr>
        <w:t>)</w:t>
      </w:r>
    </w:p>
    <w:p w:rsidR="00CE5011" w:rsidRPr="00CE5011" w:rsidP="00FD7BAA" w14:paraId="6C3F4F54" w14:textId="7B85ECDF">
      <w:pPr>
        <w:widowControl/>
        <w:numPr>
          <w:ilvl w:val="0"/>
          <w:numId w:val="7"/>
        </w:numPr>
        <w:spacing w:after="120"/>
        <w:ind w:left="1440"/>
        <w:rPr>
          <w:szCs w:val="22"/>
        </w:rPr>
      </w:pPr>
      <w:r w:rsidRPr="00CE5011">
        <w:rPr>
          <w:szCs w:val="22"/>
        </w:rPr>
        <w:t xml:space="preserve">Additional Amount Due </w:t>
      </w:r>
      <w:r w:rsidR="00BB145A">
        <w:rPr>
          <w:szCs w:val="22"/>
        </w:rPr>
        <w:t>a</w:t>
      </w:r>
      <w:r w:rsidRPr="00CE5011">
        <w:rPr>
          <w:szCs w:val="22"/>
        </w:rPr>
        <w:t xml:space="preserve">fter Upfront Payment </w:t>
      </w:r>
      <w:r w:rsidR="00BB145A">
        <w:rPr>
          <w:szCs w:val="22"/>
        </w:rPr>
        <w:t>Balance</w:t>
      </w:r>
      <w:r w:rsidRPr="00CE5011" w:rsidR="00BB145A">
        <w:rPr>
          <w:szCs w:val="22"/>
        </w:rPr>
        <w:t xml:space="preserve"> </w:t>
      </w:r>
      <w:r w:rsidR="00AA75F0">
        <w:rPr>
          <w:szCs w:val="22"/>
        </w:rPr>
        <w:t xml:space="preserve">Applied </w:t>
      </w:r>
      <w:r w:rsidRPr="00CE5011">
        <w:rPr>
          <w:szCs w:val="22"/>
        </w:rPr>
        <w:t>Due by Feb</w:t>
      </w:r>
      <w:bookmarkStart w:id="17" w:name="_GoBack"/>
      <w:bookmarkEnd w:id="17"/>
      <w:r w:rsidRPr="00CE5011">
        <w:rPr>
          <w:szCs w:val="22"/>
        </w:rPr>
        <w:t xml:space="preserve"> 14, 2019</w:t>
      </w:r>
    </w:p>
    <w:p w:rsidR="00CE5011" w:rsidRPr="00CE5011" w:rsidP="00CE5011" w14:paraId="53D335F0" w14:textId="48B1308B">
      <w:pPr>
        <w:numPr>
          <w:ilvl w:val="0"/>
          <w:numId w:val="7"/>
        </w:numPr>
        <w:spacing w:after="120"/>
        <w:ind w:left="1440"/>
        <w:rPr>
          <w:szCs w:val="22"/>
        </w:rPr>
      </w:pPr>
      <w:r w:rsidRPr="00CE5011">
        <w:rPr>
          <w:szCs w:val="22"/>
        </w:rPr>
        <w:t xml:space="preserve">Final Payment Amount (80% of Net </w:t>
      </w:r>
      <w:r w:rsidR="00BB145A">
        <w:rPr>
          <w:szCs w:val="22"/>
        </w:rPr>
        <w:t>Winning Bids</w:t>
      </w:r>
      <w:r w:rsidRPr="00CE5011">
        <w:rPr>
          <w:szCs w:val="22"/>
        </w:rPr>
        <w:t>)</w:t>
      </w:r>
    </w:p>
    <w:p w:rsidR="00CE5011" w:rsidRPr="00CE5011" w:rsidP="007D39CA" w14:paraId="68C90BBB" w14:textId="73D2DD6F">
      <w:pPr>
        <w:widowControl/>
        <w:numPr>
          <w:ilvl w:val="0"/>
          <w:numId w:val="7"/>
        </w:numPr>
        <w:spacing w:after="120"/>
        <w:ind w:left="1440"/>
        <w:rPr>
          <w:szCs w:val="22"/>
        </w:rPr>
      </w:pPr>
      <w:r w:rsidRPr="00CE5011">
        <w:rPr>
          <w:szCs w:val="22"/>
        </w:rPr>
        <w:t xml:space="preserve">Final Balance Due by Mar </w:t>
      </w:r>
      <w:r w:rsidR="007722AF">
        <w:rPr>
          <w:szCs w:val="22"/>
        </w:rPr>
        <w:t>0</w:t>
      </w:r>
      <w:r w:rsidRPr="00CE5011">
        <w:rPr>
          <w:szCs w:val="22"/>
        </w:rPr>
        <w:t xml:space="preserve">1, 2019 or (Refund) (the </w:t>
      </w:r>
      <w:r w:rsidR="00677791">
        <w:rPr>
          <w:szCs w:val="22"/>
        </w:rPr>
        <w:t xml:space="preserve">Total Winning Bid </w:t>
      </w:r>
      <w:r w:rsidRPr="00CE5011">
        <w:rPr>
          <w:szCs w:val="22"/>
        </w:rPr>
        <w:t>Net</w:t>
      </w:r>
      <w:r w:rsidR="000236A9">
        <w:rPr>
          <w:szCs w:val="22"/>
        </w:rPr>
        <w:t xml:space="preserve"> </w:t>
      </w:r>
      <w:r w:rsidR="00677791">
        <w:rPr>
          <w:szCs w:val="22"/>
        </w:rPr>
        <w:t>Amount</w:t>
      </w:r>
      <w:r w:rsidRPr="00CE5011">
        <w:rPr>
          <w:szCs w:val="22"/>
        </w:rPr>
        <w:t xml:space="preserve">, minus the Upfront Payment Amount and any Additional Amount Due </w:t>
      </w:r>
      <w:r w:rsidR="007722AF">
        <w:rPr>
          <w:szCs w:val="22"/>
        </w:rPr>
        <w:t>a</w:t>
      </w:r>
      <w:r w:rsidRPr="00CE5011">
        <w:rPr>
          <w:szCs w:val="22"/>
        </w:rPr>
        <w:t>fter Upfront Payment Applied)</w:t>
      </w:r>
    </w:p>
    <w:bookmarkEnd w:id="16"/>
    <w:p w:rsidR="00017698" w:rsidP="0078638E" w14:paraId="14928CD9" w14:textId="65B0F3C2">
      <w:pPr>
        <w:pStyle w:val="Heading2"/>
      </w:pPr>
      <w:r>
        <w:t>Withdrawal</w:t>
      </w:r>
      <w:r w:rsidR="002A0EF7">
        <w:t>s</w:t>
      </w:r>
      <w:r w:rsidR="00462966">
        <w:t>/</w:t>
      </w:r>
      <w:r>
        <w:t>Payment</w:t>
      </w:r>
      <w:r w:rsidR="00462966">
        <w:t xml:space="preserve"> Summary</w:t>
      </w:r>
    </w:p>
    <w:p w:rsidR="00017698" w:rsidRPr="00CE5011" w:rsidP="00017698" w14:paraId="69109961" w14:textId="2E8FA431">
      <w:pPr>
        <w:widowControl/>
        <w:numPr>
          <w:ilvl w:val="0"/>
          <w:numId w:val="2"/>
        </w:numPr>
        <w:tabs>
          <w:tab w:val="clear" w:pos="1080"/>
          <w:tab w:val="num" w:pos="1440"/>
        </w:tabs>
        <w:spacing w:after="120"/>
      </w:pPr>
      <w:r>
        <w:t>Attachment C list</w:t>
      </w:r>
      <w:r w:rsidR="00957E71">
        <w:t>s</w:t>
      </w:r>
      <w:r>
        <w:t xml:space="preserve"> each </w:t>
      </w:r>
      <w:r w:rsidRPr="00017698">
        <w:t>bid withdrawal</w:t>
      </w:r>
      <w:r>
        <w:t xml:space="preserve"> and </w:t>
      </w:r>
      <w:r w:rsidR="008B4C78">
        <w:t xml:space="preserve">corresponding </w:t>
      </w:r>
      <w:r w:rsidRPr="00017698">
        <w:t xml:space="preserve">payment owed by bidders, if any. </w:t>
      </w:r>
      <w:r w:rsidR="00AA75F0">
        <w:t xml:space="preserve"> </w:t>
      </w:r>
      <w:r w:rsidRPr="00CE5011">
        <w:t xml:space="preserve">Specifically, for each </w:t>
      </w:r>
      <w:r w:rsidR="00A92A76">
        <w:t>bid withdrawal</w:t>
      </w:r>
      <w:r w:rsidRPr="00CE5011">
        <w:t xml:space="preserve">, </w:t>
      </w:r>
      <w:r w:rsidR="002A0EF7">
        <w:t xml:space="preserve">Attachment </w:t>
      </w:r>
      <w:r w:rsidR="002F6D2F">
        <w:t>C</w:t>
      </w:r>
      <w:r w:rsidRPr="00CE5011">
        <w:t xml:space="preserve"> provide</w:t>
      </w:r>
      <w:r w:rsidR="0078638E">
        <w:t>s</w:t>
      </w:r>
      <w:r w:rsidRPr="00CE5011">
        <w:t xml:space="preserve"> the following information: </w:t>
      </w:r>
    </w:p>
    <w:p w:rsidR="00017698" w:rsidRPr="00CE5011" w:rsidP="00017698" w14:paraId="3CD90A10" w14:textId="1ADA7159">
      <w:pPr>
        <w:numPr>
          <w:ilvl w:val="0"/>
          <w:numId w:val="7"/>
        </w:numPr>
        <w:spacing w:after="120"/>
        <w:ind w:left="1440"/>
        <w:rPr>
          <w:szCs w:val="22"/>
        </w:rPr>
      </w:pPr>
      <w:r w:rsidRPr="00CE5011">
        <w:rPr>
          <w:szCs w:val="22"/>
        </w:rPr>
        <w:t xml:space="preserve">Bidder </w:t>
      </w:r>
      <w:r w:rsidR="006C27F7">
        <w:rPr>
          <w:szCs w:val="22"/>
        </w:rPr>
        <w:t xml:space="preserve">Name </w:t>
      </w:r>
      <w:r w:rsidRPr="00CE5011">
        <w:rPr>
          <w:szCs w:val="22"/>
        </w:rPr>
        <w:t xml:space="preserve">(the name of the applicant </w:t>
      </w:r>
      <w:r w:rsidR="00980986">
        <w:rPr>
          <w:szCs w:val="22"/>
        </w:rPr>
        <w:t xml:space="preserve">qualified </w:t>
      </w:r>
      <w:r w:rsidRPr="00CE5011">
        <w:rPr>
          <w:szCs w:val="22"/>
        </w:rPr>
        <w:t>to participate in Auction 101)</w:t>
      </w:r>
    </w:p>
    <w:p w:rsidR="00017698" w:rsidRPr="00CE5011" w:rsidP="00017698" w14:paraId="6D63C9E6" w14:textId="77777777">
      <w:pPr>
        <w:numPr>
          <w:ilvl w:val="0"/>
          <w:numId w:val="7"/>
        </w:numPr>
        <w:spacing w:after="120"/>
        <w:ind w:left="1440"/>
        <w:rPr>
          <w:szCs w:val="22"/>
        </w:rPr>
      </w:pPr>
      <w:r w:rsidRPr="00CE5011">
        <w:rPr>
          <w:szCs w:val="22"/>
        </w:rPr>
        <w:t>FRN (bidder’s FCC Registration Number)</w:t>
      </w:r>
    </w:p>
    <w:p w:rsidR="00017698" w:rsidRPr="00CE5011" w:rsidP="00017698" w14:paraId="28455E56" w14:textId="44A2D3D8">
      <w:pPr>
        <w:numPr>
          <w:ilvl w:val="0"/>
          <w:numId w:val="7"/>
        </w:numPr>
        <w:spacing w:after="120"/>
        <w:ind w:left="1440"/>
        <w:rPr>
          <w:szCs w:val="22"/>
        </w:rPr>
      </w:pPr>
      <w:r>
        <w:rPr>
          <w:szCs w:val="22"/>
        </w:rPr>
        <w:t>License (</w:t>
      </w:r>
      <w:r w:rsidR="002A0EF7">
        <w:rPr>
          <w:szCs w:val="22"/>
        </w:rPr>
        <w:t>u</w:t>
      </w:r>
      <w:r w:rsidR="002308BA">
        <w:rPr>
          <w:szCs w:val="22"/>
        </w:rPr>
        <w:t>nique ID for the license</w:t>
      </w:r>
      <w:r>
        <w:rPr>
          <w:szCs w:val="22"/>
        </w:rPr>
        <w:t>)</w:t>
      </w:r>
    </w:p>
    <w:p w:rsidR="00A92A76" w:rsidP="00017698" w14:paraId="593A422C" w14:textId="35A5EAB3">
      <w:pPr>
        <w:numPr>
          <w:ilvl w:val="0"/>
          <w:numId w:val="7"/>
        </w:numPr>
        <w:spacing w:after="120"/>
        <w:ind w:left="1440"/>
        <w:rPr>
          <w:szCs w:val="22"/>
        </w:rPr>
      </w:pPr>
      <w:r>
        <w:rPr>
          <w:szCs w:val="22"/>
        </w:rPr>
        <w:t>License Description (</w:t>
      </w:r>
      <w:r w:rsidR="002A0EF7">
        <w:rPr>
          <w:szCs w:val="22"/>
        </w:rPr>
        <w:t>d</w:t>
      </w:r>
      <w:r w:rsidR="002308BA">
        <w:rPr>
          <w:szCs w:val="22"/>
        </w:rPr>
        <w:t>escription of the license</w:t>
      </w:r>
      <w:r>
        <w:rPr>
          <w:szCs w:val="22"/>
        </w:rPr>
        <w:t>)</w:t>
      </w:r>
    </w:p>
    <w:p w:rsidR="00A92A76" w:rsidP="00017698" w14:paraId="6882F0AD" w14:textId="47725674">
      <w:pPr>
        <w:numPr>
          <w:ilvl w:val="0"/>
          <w:numId w:val="7"/>
        </w:numPr>
        <w:spacing w:after="120"/>
        <w:ind w:left="1440"/>
        <w:rPr>
          <w:szCs w:val="22"/>
        </w:rPr>
      </w:pPr>
      <w:r>
        <w:rPr>
          <w:szCs w:val="22"/>
        </w:rPr>
        <w:t>Round of PWB (</w:t>
      </w:r>
      <w:r w:rsidR="002A0EF7">
        <w:rPr>
          <w:szCs w:val="22"/>
        </w:rPr>
        <w:t>r</w:t>
      </w:r>
      <w:r w:rsidR="002308BA">
        <w:rPr>
          <w:szCs w:val="22"/>
        </w:rPr>
        <w:t xml:space="preserve">ound </w:t>
      </w:r>
      <w:r w:rsidR="008B4C78">
        <w:rPr>
          <w:szCs w:val="22"/>
        </w:rPr>
        <w:t xml:space="preserve">in which </w:t>
      </w:r>
      <w:r w:rsidR="00957E71">
        <w:rPr>
          <w:szCs w:val="22"/>
        </w:rPr>
        <w:t xml:space="preserve">the bid that </w:t>
      </w:r>
      <w:r w:rsidR="002308BA">
        <w:rPr>
          <w:szCs w:val="22"/>
        </w:rPr>
        <w:t>became the provisionally winning bid</w:t>
      </w:r>
      <w:r w:rsidR="00957E71">
        <w:rPr>
          <w:szCs w:val="22"/>
        </w:rPr>
        <w:t xml:space="preserve"> was placed</w:t>
      </w:r>
      <w:r>
        <w:rPr>
          <w:szCs w:val="22"/>
        </w:rPr>
        <w:t>)</w:t>
      </w:r>
    </w:p>
    <w:p w:rsidR="00A92A76" w:rsidP="00017698" w14:paraId="14883C53" w14:textId="53603882">
      <w:pPr>
        <w:numPr>
          <w:ilvl w:val="0"/>
          <w:numId w:val="7"/>
        </w:numPr>
        <w:spacing w:after="120"/>
        <w:ind w:left="1440"/>
        <w:rPr>
          <w:szCs w:val="22"/>
        </w:rPr>
      </w:pPr>
      <w:r>
        <w:rPr>
          <w:szCs w:val="22"/>
        </w:rPr>
        <w:t xml:space="preserve">Round of </w:t>
      </w:r>
      <w:r w:rsidR="00980986">
        <w:rPr>
          <w:szCs w:val="22"/>
        </w:rPr>
        <w:t>W</w:t>
      </w:r>
      <w:r>
        <w:rPr>
          <w:szCs w:val="22"/>
        </w:rPr>
        <w:t>ithdrawal (</w:t>
      </w:r>
      <w:r w:rsidR="002A0EF7">
        <w:rPr>
          <w:szCs w:val="22"/>
        </w:rPr>
        <w:t>r</w:t>
      </w:r>
      <w:r w:rsidR="002308BA">
        <w:rPr>
          <w:szCs w:val="22"/>
        </w:rPr>
        <w:t xml:space="preserve">ound </w:t>
      </w:r>
      <w:r w:rsidR="008B4C78">
        <w:rPr>
          <w:szCs w:val="22"/>
        </w:rPr>
        <w:t xml:space="preserve">in which </w:t>
      </w:r>
      <w:r w:rsidR="002308BA">
        <w:rPr>
          <w:szCs w:val="22"/>
        </w:rPr>
        <w:t xml:space="preserve">the bidder </w:t>
      </w:r>
      <w:r w:rsidR="00957E71">
        <w:rPr>
          <w:szCs w:val="22"/>
        </w:rPr>
        <w:t>withdrew the provisionally winning bid</w:t>
      </w:r>
      <w:r>
        <w:rPr>
          <w:szCs w:val="22"/>
        </w:rPr>
        <w:t>)</w:t>
      </w:r>
    </w:p>
    <w:p w:rsidR="00A92A76" w:rsidP="00017698" w14:paraId="4DE1369D" w14:textId="304CEEF7">
      <w:pPr>
        <w:numPr>
          <w:ilvl w:val="0"/>
          <w:numId w:val="7"/>
        </w:numPr>
        <w:spacing w:after="120"/>
        <w:ind w:left="1440"/>
        <w:rPr>
          <w:szCs w:val="22"/>
        </w:rPr>
      </w:pPr>
      <w:r>
        <w:rPr>
          <w:szCs w:val="22"/>
        </w:rPr>
        <w:t>Withdrawn Bid Amount (</w:t>
      </w:r>
      <w:r w:rsidR="002A0EF7">
        <w:rPr>
          <w:szCs w:val="22"/>
        </w:rPr>
        <w:t>a</w:t>
      </w:r>
      <w:r w:rsidR="00643A76">
        <w:rPr>
          <w:szCs w:val="22"/>
        </w:rPr>
        <w:t>mount of provisionally winning bi</w:t>
      </w:r>
      <w:r w:rsidR="002308BA">
        <w:rPr>
          <w:szCs w:val="22"/>
        </w:rPr>
        <w:t>d</w:t>
      </w:r>
      <w:r>
        <w:rPr>
          <w:szCs w:val="22"/>
        </w:rPr>
        <w:t>)</w:t>
      </w:r>
    </w:p>
    <w:p w:rsidR="00A92A76" w:rsidP="00017698" w14:paraId="3A1C2306" w14:textId="4528425C">
      <w:pPr>
        <w:numPr>
          <w:ilvl w:val="0"/>
          <w:numId w:val="7"/>
        </w:numPr>
        <w:spacing w:after="120"/>
        <w:ind w:left="1440"/>
        <w:rPr>
          <w:szCs w:val="22"/>
        </w:rPr>
      </w:pPr>
      <w:r>
        <w:rPr>
          <w:szCs w:val="22"/>
        </w:rPr>
        <w:t>Withdrawn Net Bid Amount (</w:t>
      </w:r>
      <w:r w:rsidR="002A0EF7">
        <w:rPr>
          <w:szCs w:val="22"/>
        </w:rPr>
        <w:t>a</w:t>
      </w:r>
      <w:r w:rsidR="00643A76">
        <w:rPr>
          <w:szCs w:val="22"/>
        </w:rPr>
        <w:t xml:space="preserve">mount of provisionally winning bid </w:t>
      </w:r>
      <w:r w:rsidR="00957E71">
        <w:rPr>
          <w:szCs w:val="22"/>
        </w:rPr>
        <w:t>less any applicable bidding credit discount</w:t>
      </w:r>
      <w:r w:rsidR="00643A76">
        <w:rPr>
          <w:szCs w:val="22"/>
        </w:rPr>
        <w:t>)</w:t>
      </w:r>
    </w:p>
    <w:p w:rsidR="00A92A76" w:rsidP="00017698" w14:paraId="2C0C070A" w14:textId="16FC4A23">
      <w:pPr>
        <w:numPr>
          <w:ilvl w:val="0"/>
          <w:numId w:val="7"/>
        </w:numPr>
        <w:spacing w:after="120"/>
        <w:ind w:left="1440"/>
        <w:rPr>
          <w:szCs w:val="22"/>
        </w:rPr>
      </w:pPr>
      <w:r>
        <w:rPr>
          <w:szCs w:val="22"/>
        </w:rPr>
        <w:t>Subsequent Bid Amount (</w:t>
      </w:r>
      <w:r w:rsidR="002A0EF7">
        <w:rPr>
          <w:szCs w:val="22"/>
        </w:rPr>
        <w:t>a</w:t>
      </w:r>
      <w:r w:rsidR="00643A76">
        <w:rPr>
          <w:szCs w:val="22"/>
        </w:rPr>
        <w:t>mount of new bid</w:t>
      </w:r>
      <w:r w:rsidR="00957E71">
        <w:rPr>
          <w:szCs w:val="22"/>
        </w:rPr>
        <w:t>, if any,</w:t>
      </w:r>
      <w:r w:rsidR="00643A76">
        <w:rPr>
          <w:szCs w:val="22"/>
        </w:rPr>
        <w:t xml:space="preserve"> placed on </w:t>
      </w:r>
      <w:r w:rsidR="00957E71">
        <w:rPr>
          <w:szCs w:val="22"/>
        </w:rPr>
        <w:t xml:space="preserve">the </w:t>
      </w:r>
      <w:r w:rsidR="00643A76">
        <w:rPr>
          <w:szCs w:val="22"/>
        </w:rPr>
        <w:t>withdrawn license)</w:t>
      </w:r>
    </w:p>
    <w:p w:rsidR="00A92A76" w:rsidP="00017698" w14:paraId="727BA300" w14:textId="4947684C">
      <w:pPr>
        <w:numPr>
          <w:ilvl w:val="0"/>
          <w:numId w:val="7"/>
        </w:numPr>
        <w:spacing w:after="120"/>
        <w:ind w:left="1440"/>
        <w:rPr>
          <w:szCs w:val="22"/>
        </w:rPr>
      </w:pPr>
      <w:r>
        <w:rPr>
          <w:szCs w:val="22"/>
        </w:rPr>
        <w:t xml:space="preserve">Subsequent Bid </w:t>
      </w:r>
      <w:r w:rsidR="00BB145A">
        <w:rPr>
          <w:szCs w:val="22"/>
        </w:rPr>
        <w:t xml:space="preserve">Net </w:t>
      </w:r>
      <w:r>
        <w:rPr>
          <w:szCs w:val="22"/>
        </w:rPr>
        <w:t>Amount (</w:t>
      </w:r>
      <w:r w:rsidR="002A0EF7">
        <w:rPr>
          <w:szCs w:val="22"/>
        </w:rPr>
        <w:t>a</w:t>
      </w:r>
      <w:r w:rsidR="00643A76">
        <w:rPr>
          <w:szCs w:val="22"/>
        </w:rPr>
        <w:t>mount of new bid</w:t>
      </w:r>
      <w:r w:rsidR="00957E71">
        <w:rPr>
          <w:szCs w:val="22"/>
        </w:rPr>
        <w:t>, if any,</w:t>
      </w:r>
      <w:r w:rsidR="00643A76">
        <w:rPr>
          <w:szCs w:val="22"/>
        </w:rPr>
        <w:t xml:space="preserve"> placed on </w:t>
      </w:r>
      <w:r w:rsidR="00957E71">
        <w:rPr>
          <w:szCs w:val="22"/>
        </w:rPr>
        <w:t xml:space="preserve">the </w:t>
      </w:r>
      <w:r w:rsidR="00643A76">
        <w:rPr>
          <w:szCs w:val="22"/>
        </w:rPr>
        <w:t>withdraw</w:t>
      </w:r>
      <w:r w:rsidR="00EF4545">
        <w:rPr>
          <w:szCs w:val="22"/>
        </w:rPr>
        <w:t>n</w:t>
      </w:r>
      <w:r w:rsidR="00643A76">
        <w:rPr>
          <w:szCs w:val="22"/>
        </w:rPr>
        <w:t xml:space="preserve"> license</w:t>
      </w:r>
      <w:r w:rsidRPr="00957E71" w:rsidR="00957E71">
        <w:rPr>
          <w:szCs w:val="22"/>
        </w:rPr>
        <w:t xml:space="preserve"> </w:t>
      </w:r>
      <w:r w:rsidR="00957E71">
        <w:rPr>
          <w:szCs w:val="22"/>
        </w:rPr>
        <w:t>less any applicable bidding credit discount</w:t>
      </w:r>
      <w:r>
        <w:rPr>
          <w:szCs w:val="22"/>
        </w:rPr>
        <w:t>)</w:t>
      </w:r>
    </w:p>
    <w:p w:rsidR="00A92A76" w:rsidP="00017698" w14:paraId="53EAF858" w14:textId="4A664E61">
      <w:pPr>
        <w:numPr>
          <w:ilvl w:val="0"/>
          <w:numId w:val="7"/>
        </w:numPr>
        <w:spacing w:after="120"/>
        <w:ind w:left="1440"/>
        <w:rPr>
          <w:szCs w:val="22"/>
        </w:rPr>
      </w:pPr>
      <w:r>
        <w:rPr>
          <w:szCs w:val="22"/>
        </w:rPr>
        <w:t>Withdrawal Payment (</w:t>
      </w:r>
      <w:r w:rsidR="002A0EF7">
        <w:rPr>
          <w:szCs w:val="22"/>
        </w:rPr>
        <w:t>withdrawal</w:t>
      </w:r>
      <w:r w:rsidR="00643A76">
        <w:rPr>
          <w:szCs w:val="22"/>
        </w:rPr>
        <w:t xml:space="preserve"> payment amount owed by bidder</w:t>
      </w:r>
      <w:r>
        <w:rPr>
          <w:szCs w:val="22"/>
        </w:rPr>
        <w:t>)</w:t>
      </w:r>
    </w:p>
    <w:p w:rsidR="00F90E61" w:rsidP="0078638E" w14:paraId="1118D43B" w14:textId="5E1B8309">
      <w:pPr>
        <w:pStyle w:val="Heading2"/>
      </w:pPr>
      <w:r>
        <w:t>Contact Information</w:t>
      </w:r>
    </w:p>
    <w:p w:rsidR="00F90E61" w:rsidP="007D39CA" w14:paraId="00929DF9" w14:textId="77777777">
      <w:pPr>
        <w:pStyle w:val="ParaNum"/>
        <w:keepNext/>
        <w:widowControl/>
        <w:tabs>
          <w:tab w:val="clear" w:pos="1080"/>
          <w:tab w:val="num" w:pos="1440"/>
        </w:tabs>
      </w:pPr>
      <w:r>
        <w:t>For further information, contact:</w:t>
      </w:r>
    </w:p>
    <w:tbl>
      <w:tblPr>
        <w:tblW w:w="9917" w:type="dxa"/>
        <w:tblLayout w:type="fixed"/>
        <w:tblLook w:val="0000"/>
      </w:tblPr>
      <w:tblGrid>
        <w:gridCol w:w="4831"/>
        <w:gridCol w:w="5086"/>
      </w:tblGrid>
      <w:tr w14:paraId="4886C9E6" w14:textId="77777777" w:rsidTr="006E74D0">
        <w:tblPrEx>
          <w:tblW w:w="9917" w:type="dxa"/>
          <w:tblLayout w:type="fixed"/>
          <w:tblLook w:val="0000"/>
        </w:tblPrEx>
        <w:trPr>
          <w:cantSplit/>
          <w:trHeight w:val="1324"/>
        </w:trPr>
        <w:tc>
          <w:tcPr>
            <w:tcW w:w="4831" w:type="dxa"/>
          </w:tcPr>
          <w:p w:rsidR="00F90E61" w:rsidRPr="005F7DCE" w:rsidP="006E74D0" w14:paraId="6D215CC7" w14:textId="77777777">
            <w:pPr>
              <w:widowControl/>
              <w:rPr>
                <w:b/>
                <w:i/>
                <w:szCs w:val="22"/>
              </w:rPr>
            </w:pPr>
            <w:r w:rsidRPr="005F7DCE">
              <w:rPr>
                <w:b/>
                <w:szCs w:val="22"/>
              </w:rPr>
              <w:t>Licensing Information</w:t>
            </w:r>
          </w:p>
          <w:p w:rsidR="00F90E61" w:rsidRPr="005F7DCE" w:rsidP="006E74D0" w14:paraId="33F13222" w14:textId="77777777">
            <w:pPr>
              <w:widowControl/>
              <w:ind w:left="360"/>
              <w:rPr>
                <w:szCs w:val="22"/>
              </w:rPr>
            </w:pPr>
            <w:r w:rsidRPr="005F7DCE">
              <w:rPr>
                <w:szCs w:val="22"/>
              </w:rPr>
              <w:t xml:space="preserve">Service Rules, Policies, Regulations </w:t>
            </w:r>
          </w:p>
          <w:p w:rsidR="00F90E61" w:rsidRPr="005F7DCE" w:rsidP="006E74D0" w14:paraId="471D154C" w14:textId="77777777">
            <w:pPr>
              <w:widowControl/>
              <w:ind w:left="360"/>
              <w:rPr>
                <w:szCs w:val="22"/>
              </w:rPr>
            </w:pPr>
            <w:r w:rsidRPr="005F7DCE">
              <w:rPr>
                <w:szCs w:val="22"/>
              </w:rPr>
              <w:t xml:space="preserve">Licensing Issues, Engineering Issues </w:t>
            </w:r>
          </w:p>
          <w:p w:rsidR="00F90E61" w:rsidP="006E74D0" w14:paraId="41C6E15F" w14:textId="77777777">
            <w:pPr>
              <w:widowControl/>
              <w:ind w:left="360"/>
              <w:rPr>
                <w:szCs w:val="22"/>
              </w:rPr>
            </w:pPr>
            <w:r w:rsidRPr="005F7DCE">
              <w:rPr>
                <w:szCs w:val="22"/>
              </w:rPr>
              <w:t>Due Diligence, Incumbency Issues</w:t>
            </w:r>
          </w:p>
          <w:p w:rsidR="00F90E61" w:rsidP="006E74D0" w14:paraId="05C0CE69" w14:textId="77777777">
            <w:pPr>
              <w:widowControl/>
              <w:ind w:left="360"/>
              <w:rPr>
                <w:szCs w:val="22"/>
              </w:rPr>
            </w:pPr>
          </w:p>
          <w:p w:rsidR="00F90E61" w:rsidRPr="005F7DCE" w:rsidP="006E74D0" w14:paraId="50BB3DE7" w14:textId="77777777">
            <w:pPr>
              <w:widowControl/>
              <w:ind w:left="360"/>
              <w:rPr>
                <w:szCs w:val="22"/>
              </w:rPr>
            </w:pPr>
            <w:r>
              <w:rPr>
                <w:szCs w:val="22"/>
              </w:rPr>
              <w:t>Filing Forms 601 and 602</w:t>
            </w:r>
          </w:p>
          <w:p w:rsidR="00F90E61" w:rsidP="006E74D0" w14:paraId="3A42A3C1" w14:textId="77777777">
            <w:pPr>
              <w:widowControl/>
              <w:rPr>
                <w:b/>
                <w:szCs w:val="22"/>
              </w:rPr>
            </w:pPr>
          </w:p>
          <w:p w:rsidR="00F90E61" w:rsidRPr="00805998" w:rsidP="006E74D0" w14:paraId="2990FEFA" w14:textId="77777777">
            <w:pPr>
              <w:tabs>
                <w:tab w:val="left" w:pos="3315"/>
              </w:tabs>
              <w:rPr>
                <w:szCs w:val="22"/>
              </w:rPr>
            </w:pPr>
            <w:r>
              <w:rPr>
                <w:szCs w:val="22"/>
              </w:rPr>
              <w:tab/>
            </w:r>
          </w:p>
        </w:tc>
        <w:tc>
          <w:tcPr>
            <w:tcW w:w="5086" w:type="dxa"/>
          </w:tcPr>
          <w:p w:rsidR="00F90E61" w:rsidRPr="005F7DCE" w:rsidP="006E74D0" w14:paraId="3A928AD2" w14:textId="551A54E5">
            <w:pPr>
              <w:widowControl/>
              <w:rPr>
                <w:b/>
                <w:szCs w:val="22"/>
              </w:rPr>
            </w:pPr>
            <w:r>
              <w:rPr>
                <w:b/>
                <w:szCs w:val="22"/>
              </w:rPr>
              <w:t xml:space="preserve">Broadband </w:t>
            </w:r>
            <w:r w:rsidRPr="005F7DCE">
              <w:rPr>
                <w:b/>
                <w:szCs w:val="22"/>
              </w:rPr>
              <w:t>Division</w:t>
            </w:r>
            <w:r w:rsidR="00AF0BE8">
              <w:rPr>
                <w:b/>
                <w:szCs w:val="22"/>
              </w:rPr>
              <w:t>, WTB</w:t>
            </w:r>
          </w:p>
          <w:p w:rsidR="00F90E61" w:rsidP="006E74D0" w14:paraId="22E47781" w14:textId="5FFCFEF2">
            <w:pPr>
              <w:widowControl/>
              <w:rPr>
                <w:szCs w:val="22"/>
              </w:rPr>
            </w:pPr>
            <w:r>
              <w:rPr>
                <w:szCs w:val="22"/>
              </w:rPr>
              <w:t>Madelaine Maior</w:t>
            </w:r>
            <w:r>
              <w:rPr>
                <w:szCs w:val="22"/>
              </w:rPr>
              <w:t xml:space="preserve"> (Attorney) </w:t>
            </w:r>
            <w:r w:rsidR="00A713F3">
              <w:rPr>
                <w:szCs w:val="22"/>
              </w:rPr>
              <w:t xml:space="preserve">at (202) 418-1466 </w:t>
            </w:r>
            <w:r>
              <w:rPr>
                <w:szCs w:val="22"/>
              </w:rPr>
              <w:t>or</w:t>
            </w:r>
          </w:p>
          <w:p w:rsidR="00F90E61" w:rsidP="006E74D0" w14:paraId="31C941D7" w14:textId="537918EE">
            <w:pPr>
              <w:widowControl/>
              <w:rPr>
                <w:szCs w:val="22"/>
              </w:rPr>
            </w:pPr>
            <w:r>
              <w:rPr>
                <w:szCs w:val="22"/>
              </w:rPr>
              <w:t xml:space="preserve">Tim Hilfiger (Engineer) at </w:t>
            </w:r>
            <w:r w:rsidR="00A713F3">
              <w:rPr>
                <w:szCs w:val="22"/>
              </w:rPr>
              <w:t>(717) 338-2578</w:t>
            </w:r>
          </w:p>
          <w:p w:rsidR="00F90E61" w:rsidP="006E74D0" w14:paraId="10EFB4DE" w14:textId="77777777">
            <w:pPr>
              <w:widowControl/>
              <w:rPr>
                <w:szCs w:val="22"/>
              </w:rPr>
            </w:pPr>
          </w:p>
          <w:p w:rsidR="00F90E61" w:rsidP="006E74D0" w14:paraId="56FA615E" w14:textId="77777777">
            <w:pPr>
              <w:widowControl/>
              <w:rPr>
                <w:szCs w:val="22"/>
              </w:rPr>
            </w:pPr>
          </w:p>
          <w:p w:rsidR="00F90E61" w:rsidP="006E74D0" w14:paraId="5E76403E" w14:textId="5CEE717C">
            <w:pPr>
              <w:widowControl/>
              <w:rPr>
                <w:color w:val="000000"/>
                <w:szCs w:val="22"/>
              </w:rPr>
            </w:pPr>
            <w:r w:rsidRPr="004A59B9">
              <w:rPr>
                <w:b/>
                <w:color w:val="000000"/>
                <w:szCs w:val="22"/>
              </w:rPr>
              <w:t>ULS Support Hotline</w:t>
            </w:r>
            <w:r>
              <w:rPr>
                <w:color w:val="000000"/>
                <w:szCs w:val="22"/>
              </w:rPr>
              <w:t xml:space="preserve"> </w:t>
            </w:r>
          </w:p>
          <w:p w:rsidR="00F90E61" w:rsidP="006E74D0" w14:paraId="798B7658" w14:textId="77777777">
            <w:pPr>
              <w:widowControl/>
              <w:rPr>
                <w:color w:val="000000"/>
                <w:szCs w:val="22"/>
              </w:rPr>
            </w:pPr>
            <w:r>
              <w:rPr>
                <w:color w:val="000000"/>
                <w:szCs w:val="22"/>
              </w:rPr>
              <w:t>(877) 480-3201, option two</w:t>
            </w:r>
          </w:p>
          <w:p w:rsidR="00F90E61" w:rsidP="006E74D0" w14:paraId="7647F66A" w14:textId="77777777">
            <w:pPr>
              <w:widowControl/>
              <w:rPr>
                <w:szCs w:val="22"/>
              </w:rPr>
            </w:pPr>
            <w:r>
              <w:rPr>
                <w:color w:val="000000"/>
                <w:szCs w:val="22"/>
              </w:rPr>
              <w:t>(717) 338-2824 (TTY)</w:t>
            </w:r>
            <w:r>
              <w:rPr>
                <w:szCs w:val="22"/>
              </w:rPr>
              <w:t xml:space="preserve"> </w:t>
            </w:r>
          </w:p>
          <w:p w:rsidR="00F90E61" w:rsidRPr="005F7DCE" w:rsidP="006E74D0" w14:paraId="41C548CD" w14:textId="77777777">
            <w:pPr>
              <w:widowControl/>
              <w:rPr>
                <w:b/>
                <w:szCs w:val="22"/>
              </w:rPr>
            </w:pPr>
          </w:p>
        </w:tc>
      </w:tr>
      <w:tr w14:paraId="53DAB69C" w14:textId="77777777" w:rsidTr="006E74D0">
        <w:tblPrEx>
          <w:tblW w:w="9917" w:type="dxa"/>
          <w:tblLayout w:type="fixed"/>
          <w:tblLook w:val="0000"/>
        </w:tblPrEx>
        <w:trPr>
          <w:cantSplit/>
          <w:trHeight w:val="1533"/>
        </w:trPr>
        <w:tc>
          <w:tcPr>
            <w:tcW w:w="4831" w:type="dxa"/>
          </w:tcPr>
          <w:p w:rsidR="00F90E61" w:rsidRPr="005F7DCE" w:rsidP="006E74D0" w14:paraId="75FC45D5" w14:textId="77777777">
            <w:pPr>
              <w:widowControl/>
              <w:rPr>
                <w:szCs w:val="22"/>
              </w:rPr>
            </w:pPr>
            <w:r w:rsidRPr="005F7DCE">
              <w:rPr>
                <w:b/>
                <w:szCs w:val="22"/>
              </w:rPr>
              <w:t xml:space="preserve">Auction </w:t>
            </w:r>
            <w:r>
              <w:rPr>
                <w:b/>
                <w:szCs w:val="22"/>
              </w:rPr>
              <w:t>101</w:t>
            </w:r>
            <w:r w:rsidRPr="005F7DCE">
              <w:rPr>
                <w:b/>
                <w:szCs w:val="22"/>
              </w:rPr>
              <w:t xml:space="preserve"> Information</w:t>
            </w:r>
          </w:p>
          <w:p w:rsidR="00F90E61" w:rsidRPr="005F7DCE" w:rsidP="006E74D0" w14:paraId="6A0FEEF1" w14:textId="77777777">
            <w:pPr>
              <w:widowControl/>
              <w:ind w:left="360"/>
              <w:rPr>
                <w:szCs w:val="22"/>
              </w:rPr>
            </w:pPr>
            <w:r w:rsidRPr="005F7DCE">
              <w:rPr>
                <w:szCs w:val="22"/>
              </w:rPr>
              <w:t>General Auction Information, Process, and Procedures</w:t>
            </w:r>
          </w:p>
          <w:p w:rsidR="00F90E61" w:rsidRPr="005F7DCE" w:rsidP="006E74D0" w14:paraId="004E896B" w14:textId="77777777">
            <w:pPr>
              <w:widowControl/>
              <w:rPr>
                <w:szCs w:val="22"/>
              </w:rPr>
            </w:pPr>
          </w:p>
          <w:p w:rsidR="00F90E61" w:rsidRPr="005F7DCE" w:rsidP="006E74D0" w14:paraId="5FFA76A1" w14:textId="77777777">
            <w:pPr>
              <w:widowControl/>
              <w:ind w:left="360"/>
              <w:rPr>
                <w:szCs w:val="22"/>
              </w:rPr>
            </w:pPr>
            <w:r w:rsidRPr="005F7DCE">
              <w:rPr>
                <w:szCs w:val="22"/>
              </w:rPr>
              <w:t>Auction Rules, Policies, and Regulations</w:t>
            </w:r>
          </w:p>
          <w:p w:rsidR="00F90E61" w:rsidRPr="005F7DCE" w:rsidP="006E74D0" w14:paraId="26A5F780" w14:textId="77777777">
            <w:pPr>
              <w:widowControl/>
              <w:rPr>
                <w:b/>
                <w:szCs w:val="22"/>
              </w:rPr>
            </w:pPr>
          </w:p>
        </w:tc>
        <w:tc>
          <w:tcPr>
            <w:tcW w:w="5086" w:type="dxa"/>
          </w:tcPr>
          <w:p w:rsidR="00F90E61" w:rsidRPr="005F7DCE" w:rsidP="006E74D0" w14:paraId="4814B8C6" w14:textId="2A2E51BA">
            <w:pPr>
              <w:widowControl/>
              <w:rPr>
                <w:b/>
                <w:szCs w:val="22"/>
              </w:rPr>
            </w:pPr>
            <w:r w:rsidRPr="005F7DCE">
              <w:rPr>
                <w:b/>
                <w:szCs w:val="22"/>
              </w:rPr>
              <w:t>Auctions Division</w:t>
            </w:r>
            <w:r w:rsidR="00AF0BE8">
              <w:rPr>
                <w:b/>
                <w:szCs w:val="22"/>
              </w:rPr>
              <w:t>, OEA</w:t>
            </w:r>
            <w:r w:rsidRPr="005F7DCE">
              <w:rPr>
                <w:b/>
                <w:szCs w:val="22"/>
              </w:rPr>
              <w:t xml:space="preserve"> </w:t>
            </w:r>
          </w:p>
          <w:p w:rsidR="00F90E61" w:rsidP="006E74D0" w14:paraId="5E016483" w14:textId="77777777">
            <w:pPr>
              <w:widowControl/>
              <w:rPr>
                <w:szCs w:val="22"/>
              </w:rPr>
            </w:pPr>
            <w:r>
              <w:rPr>
                <w:szCs w:val="22"/>
              </w:rPr>
              <w:t>FCC Auctions Hotline a</w:t>
            </w:r>
            <w:r w:rsidRPr="005F7DCE">
              <w:rPr>
                <w:szCs w:val="22"/>
              </w:rPr>
              <w:t xml:space="preserve">t </w:t>
            </w:r>
            <w:r>
              <w:rPr>
                <w:szCs w:val="22"/>
              </w:rPr>
              <w:t>(717) 338-2868</w:t>
            </w:r>
          </w:p>
          <w:p w:rsidR="00F90E61" w:rsidP="006E74D0" w14:paraId="7679D499" w14:textId="77777777">
            <w:pPr>
              <w:widowControl/>
              <w:rPr>
                <w:szCs w:val="22"/>
              </w:rPr>
            </w:pPr>
          </w:p>
          <w:p w:rsidR="00F90E61" w:rsidP="006E74D0" w14:paraId="3ADDD7B6" w14:textId="77777777">
            <w:pPr>
              <w:widowControl/>
              <w:rPr>
                <w:szCs w:val="22"/>
              </w:rPr>
            </w:pPr>
          </w:p>
          <w:p w:rsidR="00F90E61" w:rsidRPr="005F7DCE" w:rsidP="006E74D0" w14:paraId="6BA92AC5" w14:textId="77777777">
            <w:pPr>
              <w:widowControl/>
              <w:rPr>
                <w:b/>
                <w:szCs w:val="22"/>
              </w:rPr>
            </w:pPr>
            <w:r>
              <w:rPr>
                <w:szCs w:val="22"/>
              </w:rPr>
              <w:t>Erik Beith (Attorney)</w:t>
            </w:r>
            <w:r w:rsidRPr="005F7DCE">
              <w:rPr>
                <w:szCs w:val="22"/>
              </w:rPr>
              <w:t xml:space="preserve"> </w:t>
            </w:r>
            <w:r>
              <w:rPr>
                <w:szCs w:val="22"/>
              </w:rPr>
              <w:t>at</w:t>
            </w:r>
            <w:r w:rsidRPr="005F7DCE">
              <w:rPr>
                <w:szCs w:val="22"/>
              </w:rPr>
              <w:t xml:space="preserve"> (202) 418-0660</w:t>
            </w:r>
          </w:p>
        </w:tc>
      </w:tr>
      <w:tr w14:paraId="635440D4" w14:textId="77777777" w:rsidTr="006E74D0">
        <w:tblPrEx>
          <w:tblW w:w="9917" w:type="dxa"/>
          <w:tblLayout w:type="fixed"/>
          <w:tblLook w:val="0000"/>
        </w:tblPrEx>
        <w:trPr>
          <w:cantSplit/>
          <w:trHeight w:val="1118"/>
        </w:trPr>
        <w:tc>
          <w:tcPr>
            <w:tcW w:w="4831" w:type="dxa"/>
          </w:tcPr>
          <w:p w:rsidR="00F90E61" w:rsidRPr="005F7DCE" w:rsidP="006E74D0" w14:paraId="089C6002" w14:textId="77777777">
            <w:pPr>
              <w:widowControl/>
              <w:rPr>
                <w:b/>
                <w:szCs w:val="22"/>
              </w:rPr>
            </w:pPr>
            <w:r w:rsidRPr="005F7DCE">
              <w:rPr>
                <w:b/>
                <w:szCs w:val="22"/>
              </w:rPr>
              <w:t>Accessible Formats</w:t>
            </w:r>
          </w:p>
          <w:p w:rsidR="00F90E61" w:rsidRPr="005F7DCE" w:rsidP="006E74D0" w14:paraId="721BDE54" w14:textId="77777777">
            <w:pPr>
              <w:widowControl/>
              <w:ind w:left="360"/>
              <w:rPr>
                <w:szCs w:val="22"/>
              </w:rPr>
            </w:pPr>
            <w:r w:rsidRPr="005F7DCE">
              <w:rPr>
                <w:szCs w:val="22"/>
              </w:rPr>
              <w:t xml:space="preserve">Braille, large print, electronic files, or </w:t>
            </w:r>
          </w:p>
          <w:p w:rsidR="00F90E61" w:rsidRPr="005F7DCE" w:rsidP="006E74D0" w14:paraId="322D1FCC" w14:textId="77777777">
            <w:pPr>
              <w:widowControl/>
              <w:ind w:left="360"/>
              <w:rPr>
                <w:b/>
                <w:szCs w:val="22"/>
              </w:rPr>
            </w:pPr>
            <w:r w:rsidRPr="005F7DCE">
              <w:rPr>
                <w:szCs w:val="22"/>
              </w:rPr>
              <w:t>audio format for people with disabilities</w:t>
            </w:r>
          </w:p>
        </w:tc>
        <w:tc>
          <w:tcPr>
            <w:tcW w:w="5086" w:type="dxa"/>
          </w:tcPr>
          <w:p w:rsidR="00F90E61" w:rsidRPr="005F7DCE" w:rsidP="006E74D0" w14:paraId="0829A284" w14:textId="77777777">
            <w:pPr>
              <w:widowControl/>
              <w:rPr>
                <w:b/>
                <w:szCs w:val="22"/>
              </w:rPr>
            </w:pPr>
            <w:r w:rsidRPr="005F7DCE">
              <w:rPr>
                <w:b/>
                <w:szCs w:val="22"/>
              </w:rPr>
              <w:t>Consumer and Governmental Affairs Bureau</w:t>
            </w:r>
          </w:p>
          <w:p w:rsidR="00F90E61" w:rsidRPr="005F7DCE" w:rsidP="006E74D0" w14:paraId="404C476B" w14:textId="77777777">
            <w:pPr>
              <w:widowControl/>
              <w:rPr>
                <w:szCs w:val="22"/>
              </w:rPr>
            </w:pPr>
            <w:r w:rsidRPr="005F7DCE">
              <w:rPr>
                <w:szCs w:val="22"/>
              </w:rPr>
              <w:t>(202) 418-0530 or (202) 418-0432 (TTY)</w:t>
            </w:r>
          </w:p>
          <w:p w:rsidR="00F90E61" w:rsidRPr="005F7DCE" w:rsidP="006E74D0" w14:paraId="495CA6D1" w14:textId="77777777">
            <w:pPr>
              <w:widowControl/>
              <w:rPr>
                <w:szCs w:val="22"/>
              </w:rPr>
            </w:pPr>
            <w:hyperlink r:id="rId7" w:history="1">
              <w:r w:rsidRPr="005F7DCE">
                <w:rPr>
                  <w:rStyle w:val="Hyperlink"/>
                  <w:szCs w:val="22"/>
                </w:rPr>
                <w:t>fcc504@fcc.gov</w:t>
              </w:r>
            </w:hyperlink>
          </w:p>
          <w:p w:rsidR="00F90E61" w:rsidRPr="005F7DCE" w:rsidP="006E74D0" w14:paraId="02787CB1" w14:textId="77777777">
            <w:pPr>
              <w:widowControl/>
              <w:rPr>
                <w:b/>
                <w:szCs w:val="22"/>
              </w:rPr>
            </w:pPr>
          </w:p>
        </w:tc>
      </w:tr>
      <w:tr w14:paraId="1C52091A" w14:textId="77777777" w:rsidTr="006E74D0">
        <w:tblPrEx>
          <w:tblW w:w="9917" w:type="dxa"/>
          <w:tblLayout w:type="fixed"/>
          <w:tblLook w:val="0000"/>
        </w:tblPrEx>
        <w:trPr>
          <w:cantSplit/>
          <w:trHeight w:val="1275"/>
        </w:trPr>
        <w:tc>
          <w:tcPr>
            <w:tcW w:w="4831" w:type="dxa"/>
          </w:tcPr>
          <w:p w:rsidR="00F90E61" w:rsidRPr="005F7DCE" w:rsidP="006E74D0" w14:paraId="3247FD81" w14:textId="77777777">
            <w:pPr>
              <w:widowControl/>
              <w:rPr>
                <w:b/>
                <w:szCs w:val="22"/>
              </w:rPr>
            </w:pPr>
            <w:r w:rsidRPr="005F7DCE">
              <w:rPr>
                <w:b/>
                <w:szCs w:val="22"/>
              </w:rPr>
              <w:t>FCC Internet Sites</w:t>
            </w:r>
          </w:p>
          <w:p w:rsidR="00F90E61" w:rsidRPr="005F7DCE" w:rsidP="006E74D0" w14:paraId="0ED50B58" w14:textId="77777777">
            <w:pPr>
              <w:widowControl/>
              <w:rPr>
                <w:szCs w:val="22"/>
              </w:rPr>
            </w:pPr>
          </w:p>
        </w:tc>
        <w:tc>
          <w:tcPr>
            <w:tcW w:w="5086" w:type="dxa"/>
          </w:tcPr>
          <w:p w:rsidR="00F90E61" w:rsidRPr="005F7DCE" w:rsidP="006E74D0" w14:paraId="1E20DB67" w14:textId="77777777">
            <w:pPr>
              <w:widowControl/>
              <w:rPr>
                <w:szCs w:val="22"/>
              </w:rPr>
            </w:pPr>
            <w:hyperlink r:id="rId5" w:history="1">
              <w:r w:rsidRPr="00446451">
                <w:rPr>
                  <w:rStyle w:val="Hyperlink"/>
                  <w:szCs w:val="22"/>
                </w:rPr>
                <w:t>www.fcc.gov/auction/101</w:t>
              </w:r>
            </w:hyperlink>
            <w:r>
              <w:rPr>
                <w:rStyle w:val="Hyperlink"/>
                <w:szCs w:val="22"/>
              </w:rPr>
              <w:t xml:space="preserve"> </w:t>
            </w:r>
          </w:p>
          <w:p w:rsidR="00F90E61" w:rsidRPr="005F7DCE" w:rsidP="006E74D0" w14:paraId="6D8DCD3D" w14:textId="77777777">
            <w:pPr>
              <w:widowControl/>
              <w:rPr>
                <w:szCs w:val="22"/>
              </w:rPr>
            </w:pPr>
            <w:hyperlink r:id="rId8" w:history="1">
              <w:r>
                <w:rPr>
                  <w:rStyle w:val="Hyperlink"/>
                  <w:szCs w:val="22"/>
                </w:rPr>
                <w:t>www.fcc.gov</w:t>
              </w:r>
            </w:hyperlink>
            <w:r>
              <w:rPr>
                <w:szCs w:val="22"/>
              </w:rPr>
              <w:t xml:space="preserve"> </w:t>
            </w:r>
          </w:p>
          <w:p w:rsidR="00F90E61" w:rsidRPr="005F7DCE" w:rsidP="006E74D0" w14:paraId="7407A0A8" w14:textId="2B949C2D">
            <w:pPr>
              <w:widowControl/>
              <w:rPr>
                <w:szCs w:val="22"/>
              </w:rPr>
            </w:pPr>
            <w:hyperlink r:id="rId9" w:history="1">
              <w:r w:rsidR="00957E71">
                <w:rPr>
                  <w:rStyle w:val="Hyperlink"/>
                  <w:szCs w:val="22"/>
                </w:rPr>
                <w:t>www.fcc.gov/uls</w:t>
              </w:r>
            </w:hyperlink>
          </w:p>
          <w:p w:rsidR="00F90E61" w:rsidP="006E74D0" w14:paraId="63AB44D7" w14:textId="2CD63486">
            <w:pPr>
              <w:widowControl/>
            </w:pPr>
            <w:hyperlink r:id="rId10" w:history="1">
              <w:r w:rsidR="00957E71">
                <w:rPr>
                  <w:rStyle w:val="Hyperlink"/>
                </w:rPr>
                <w:t>auctiondata.fcc.gov</w:t>
              </w:r>
            </w:hyperlink>
            <w:r>
              <w:t xml:space="preserve"> </w:t>
            </w:r>
          </w:p>
          <w:p w:rsidR="00F90E61" w:rsidRPr="005F7DCE" w:rsidP="006E74D0" w14:paraId="3C7CD707" w14:textId="77777777">
            <w:pPr>
              <w:widowControl/>
              <w:rPr>
                <w:szCs w:val="22"/>
              </w:rPr>
            </w:pPr>
          </w:p>
        </w:tc>
      </w:tr>
      <w:tr w14:paraId="547E84C4" w14:textId="77777777" w:rsidTr="006E74D0">
        <w:tblPrEx>
          <w:tblW w:w="9917" w:type="dxa"/>
          <w:tblLayout w:type="fixed"/>
          <w:tblLook w:val="0000"/>
        </w:tblPrEx>
        <w:trPr>
          <w:cantSplit/>
          <w:trHeight w:val="774"/>
        </w:trPr>
        <w:tc>
          <w:tcPr>
            <w:tcW w:w="4831" w:type="dxa"/>
          </w:tcPr>
          <w:p w:rsidR="00F90E61" w:rsidRPr="00517FE6" w:rsidP="006E74D0" w14:paraId="1233F0F5" w14:textId="77777777">
            <w:pPr>
              <w:widowControl/>
              <w:rPr>
                <w:b/>
                <w:szCs w:val="22"/>
              </w:rPr>
            </w:pPr>
            <w:bookmarkStart w:id="18" w:name="_Hlk8906228"/>
            <w:r>
              <w:rPr>
                <w:b/>
                <w:szCs w:val="22"/>
              </w:rPr>
              <w:t>News Media</w:t>
            </w:r>
          </w:p>
          <w:p w:rsidR="00F90E61" w:rsidRPr="00805998" w:rsidP="006E74D0" w14:paraId="6DAF978E" w14:textId="77777777">
            <w:pPr>
              <w:widowControl/>
              <w:ind w:firstLine="360"/>
              <w:rPr>
                <w:szCs w:val="22"/>
              </w:rPr>
            </w:pPr>
            <w:r w:rsidRPr="00517FE6">
              <w:rPr>
                <w:szCs w:val="22"/>
              </w:rPr>
              <w:t>For Press Questions</w:t>
            </w:r>
          </w:p>
        </w:tc>
        <w:tc>
          <w:tcPr>
            <w:tcW w:w="5086" w:type="dxa"/>
          </w:tcPr>
          <w:p w:rsidR="00F90E61" w:rsidRPr="005F7DCE" w:rsidP="006E74D0" w14:paraId="04561767" w14:textId="6623F783">
            <w:pPr>
              <w:keepNext/>
              <w:widowControl/>
              <w:rPr>
                <w:b/>
                <w:szCs w:val="22"/>
              </w:rPr>
            </w:pPr>
            <w:r>
              <w:rPr>
                <w:b/>
                <w:szCs w:val="22"/>
              </w:rPr>
              <w:t>Wireless Telecommunications Bureau</w:t>
            </w:r>
          </w:p>
          <w:p w:rsidR="00F90E61" w:rsidP="00736638" w14:paraId="420EFFF7" w14:textId="1250DA6F">
            <w:pPr>
              <w:keepNext/>
              <w:widowControl/>
            </w:pPr>
            <w:r>
              <w:t>Cecilia Sulhoff at (202) 418-0587</w:t>
            </w:r>
          </w:p>
        </w:tc>
      </w:tr>
      <w:bookmarkEnd w:id="18"/>
    </w:tbl>
    <w:p w:rsidR="00F90E61" w:rsidP="00F90E61" w14:paraId="14B82B79" w14:textId="77777777">
      <w:pPr>
        <w:keepNext/>
        <w:widowControl/>
        <w:jc w:val="center"/>
        <w:rPr>
          <w:b/>
        </w:rPr>
      </w:pPr>
    </w:p>
    <w:p w:rsidR="00F90E61" w:rsidRPr="00F90E61" w:rsidP="00F90E61" w14:paraId="0F6AD923" w14:textId="7FC5208E">
      <w:pPr>
        <w:keepNext/>
        <w:widowControl/>
        <w:jc w:val="center"/>
        <w:rPr>
          <w:sz w:val="24"/>
        </w:rPr>
      </w:pPr>
      <w:r w:rsidRPr="00306DFC">
        <w:rPr>
          <w:b/>
        </w:rPr>
        <w:t>- FCC -</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F6DFE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C80B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FAC31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51B61FB" w14:textId="77777777">
    <w:pPr>
      <w:spacing w:before="140" w:line="100" w:lineRule="exact"/>
      <w:rPr>
        <w:sz w:val="10"/>
      </w:rPr>
    </w:pPr>
  </w:p>
  <w:p w:rsidR="006F7393" w14:paraId="368ADA89" w14:textId="77777777">
    <w:pPr>
      <w:suppressAutoHyphens/>
      <w:spacing w:line="227" w:lineRule="auto"/>
    </w:pPr>
  </w:p>
  <w:p w:rsidR="006F7393" w14:paraId="07EE997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72085D" w14:paraId="26F99276" w14:textId="45F522D7">
    <w:pPr>
      <w:pStyle w:val="Footer"/>
      <w:tabs>
        <w:tab w:val="clear" w:pos="8640"/>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45EF" w14:paraId="2C107647" w14:textId="77777777">
      <w:r>
        <w:separator/>
      </w:r>
    </w:p>
  </w:footnote>
  <w:footnote w:type="continuationSeparator" w:id="1">
    <w:p w:rsidR="00B945EF" w14:paraId="36BF649F" w14:textId="77777777">
      <w:pPr>
        <w:rPr>
          <w:sz w:val="20"/>
        </w:rPr>
      </w:pPr>
      <w:r>
        <w:rPr>
          <w:sz w:val="20"/>
        </w:rPr>
        <w:t xml:space="preserve">(Continued from previous page)  </w:t>
      </w:r>
      <w:r>
        <w:rPr>
          <w:sz w:val="20"/>
        </w:rPr>
        <w:separator/>
      </w:r>
    </w:p>
  </w:footnote>
  <w:footnote w:type="continuationNotice" w:id="2">
    <w:p w:rsidR="00B945EF" w14:paraId="4F271824" w14:textId="77777777">
      <w:pPr>
        <w:rPr>
          <w:sz w:val="20"/>
        </w:rPr>
      </w:pPr>
      <w:r>
        <w:rPr>
          <w:sz w:val="20"/>
        </w:rPr>
        <w:t>(continued….)</w:t>
      </w:r>
    </w:p>
  </w:footnote>
  <w:footnote w:id="3">
    <w:p w:rsidR="00061483" w:rsidRPr="00CD6D05" w:rsidP="00061483" w14:paraId="3FF41C6A" w14:textId="19BEFBD0">
      <w:pPr>
        <w:pStyle w:val="FootnoteText"/>
      </w:pPr>
      <w:r w:rsidRPr="00CD6D05">
        <w:rPr>
          <w:rStyle w:val="FootnoteReference"/>
          <w:sz w:val="20"/>
        </w:rPr>
        <w:footnoteRef/>
      </w:r>
      <w:r w:rsidRPr="00CD6D05">
        <w:t xml:space="preserve"> </w:t>
      </w:r>
      <w:r w:rsidR="00AF27A5">
        <w:t>“</w:t>
      </w:r>
      <w:r w:rsidRPr="00143F98" w:rsidR="00B40228">
        <w:t>Gross bids</w:t>
      </w:r>
      <w:r w:rsidR="00AF27A5">
        <w:t>”</w:t>
      </w:r>
      <w:r w:rsidRPr="00143F98" w:rsidR="00B40228">
        <w:t xml:space="preserve"> refer</w:t>
      </w:r>
      <w:r w:rsidR="00AF27A5">
        <w:t>s</w:t>
      </w:r>
      <w:r w:rsidRPr="00143F98" w:rsidR="00B40228">
        <w:t xml:space="preserve"> to the total amount of winning bids at the close of bidding and do</w:t>
      </w:r>
      <w:r w:rsidR="00AF27A5">
        <w:t>es</w:t>
      </w:r>
      <w:r w:rsidRPr="00143F98" w:rsidR="00B40228">
        <w:t xml:space="preserve"> not reflect any small business or rural service provider bidding credits </w:t>
      </w:r>
      <w:r w:rsidR="00B40228">
        <w:t xml:space="preserve">claimed by </w:t>
      </w:r>
      <w:r w:rsidRPr="00143F98" w:rsidR="00B40228">
        <w:t xml:space="preserve">eligible winning bidders </w:t>
      </w:r>
      <w:r w:rsidR="00B40228">
        <w:t xml:space="preserve">that may be awarded </w:t>
      </w:r>
      <w:r w:rsidRPr="00143F98" w:rsidR="00B40228">
        <w:t xml:space="preserve">after the auction.  </w:t>
      </w:r>
      <w:r w:rsidR="00AF27A5">
        <w:t>“</w:t>
      </w:r>
      <w:r w:rsidRPr="008D4764" w:rsidR="00B40228">
        <w:t>Net bids</w:t>
      </w:r>
      <w:r w:rsidR="00AF27A5">
        <w:t>”</w:t>
      </w:r>
      <w:r w:rsidRPr="008D4764" w:rsidR="00B40228">
        <w:t xml:space="preserve"> refer</w:t>
      </w:r>
      <w:r w:rsidR="00AF27A5">
        <w:t>s</w:t>
      </w:r>
      <w:r w:rsidRPr="008D4764" w:rsidR="00B40228">
        <w:t xml:space="preserve"> to the total amount of winning bids as adjusted for any small business or rural service provider bidding credits claimed by winning bidders</w:t>
      </w:r>
      <w:r w:rsidR="008D4764">
        <w:t>.</w:t>
      </w:r>
      <w:r w:rsidRPr="00CD6D05" w:rsidR="00A41D84">
        <w:rPr>
          <w:i/>
        </w:rPr>
        <w:t xml:space="preserve">  </w:t>
      </w:r>
      <w:r w:rsidRPr="00CD6D05" w:rsidR="00A41D84">
        <w:t xml:space="preserve">  </w:t>
      </w:r>
    </w:p>
  </w:footnote>
  <w:footnote w:id="4">
    <w:p w:rsidR="008D4764" w14:paraId="2C923358" w14:textId="11E3C8A4">
      <w:pPr>
        <w:pStyle w:val="FootnoteText"/>
      </w:pPr>
      <w:r>
        <w:rPr>
          <w:rStyle w:val="FootnoteReference"/>
        </w:rPr>
        <w:footnoteRef/>
      </w:r>
      <w:r>
        <w:t xml:space="preserve"> </w:t>
      </w:r>
      <w:r w:rsidRPr="00CD6D05">
        <w:rPr>
          <w:i/>
        </w:rPr>
        <w:t xml:space="preserve">See Auction of 28 GHz Upper Microwave Flexible Use Service Licenses for Next-Generation Wireless Services Closes; Gross Winning Bid Amounts Announced for Auction 101, </w:t>
      </w:r>
      <w:r w:rsidRPr="00CD6D05">
        <w:t>Public Notice, DA 19-23 at 1</w:t>
      </w:r>
      <w:r>
        <w:t>, para. 1 &amp; n.1</w:t>
      </w:r>
      <w:r w:rsidRPr="00CD6D05">
        <w:t xml:space="preserve"> </w:t>
      </w:r>
      <w:r w:rsidRPr="00BA22D2">
        <w:t>(OEA/WTB Jan. 31, 2019)</w:t>
      </w:r>
      <w:r w:rsidRPr="00CD6D05">
        <w:t xml:space="preserve"> (</w:t>
      </w:r>
      <w:r w:rsidRPr="00CD6D05">
        <w:rPr>
          <w:i/>
        </w:rPr>
        <w:t>Auction 101 Closing Public Notice</w:t>
      </w:r>
      <w:r w:rsidRPr="00CD6D05">
        <w:t>).</w:t>
      </w:r>
      <w:r>
        <w:t xml:space="preserve"> </w:t>
      </w:r>
    </w:p>
  </w:footnote>
  <w:footnote w:id="5">
    <w:p w:rsidR="00C070D9" w:rsidRPr="00CD6D05" w:rsidP="00FD7BAA" w14:paraId="22CA0249" w14:textId="0D11C04E">
      <w:pPr>
        <w:spacing w:after="120"/>
        <w:rPr>
          <w:sz w:val="20"/>
        </w:rPr>
      </w:pPr>
      <w:r w:rsidRPr="00CD6D05">
        <w:rPr>
          <w:rStyle w:val="FootnoteReference"/>
          <w:sz w:val="20"/>
        </w:rPr>
        <w:footnoteRef/>
      </w:r>
      <w:r w:rsidRPr="00CD6D05">
        <w:rPr>
          <w:sz w:val="20"/>
        </w:rPr>
        <w:t xml:space="preserve"> </w:t>
      </w:r>
      <w:r w:rsidRPr="00CD6D05" w:rsidR="00B40CE8">
        <w:rPr>
          <w:i/>
          <w:iCs/>
          <w:sz w:val="20"/>
        </w:rPr>
        <w:t>Auctions of Upper Microwave Flexible Use Licenses for Next-Generation Wireless Services; Notice and Filing Requirements, Minimum Opening Bids, Upfront Payments, and Other Procedures for Auctions 101 (28 GHz) and 102 (24 GHz)</w:t>
      </w:r>
      <w:r w:rsidRPr="00CD6D05" w:rsidR="00B40CE8">
        <w:rPr>
          <w:sz w:val="20"/>
        </w:rPr>
        <w:t xml:space="preserve">, Public Notice, 33 FCC </w:t>
      </w:r>
      <w:r w:rsidRPr="00CD6D05" w:rsidR="00B40CE8">
        <w:rPr>
          <w:sz w:val="20"/>
        </w:rPr>
        <w:t>Rcd</w:t>
      </w:r>
      <w:r w:rsidRPr="00CD6D05" w:rsidR="00B40CE8">
        <w:rPr>
          <w:sz w:val="20"/>
        </w:rPr>
        <w:t xml:space="preserve"> 7575, 7597-98, para. 55 (2018).</w:t>
      </w:r>
    </w:p>
  </w:footnote>
  <w:footnote w:id="6">
    <w:p w:rsidR="00D55DF8" w:rsidRPr="00CD6D05" w14:paraId="0C330AD0" w14:textId="6EEA317B">
      <w:pPr>
        <w:pStyle w:val="FootnoteText"/>
      </w:pPr>
      <w:r w:rsidRPr="00CD6D05">
        <w:rPr>
          <w:rStyle w:val="FootnoteReference"/>
          <w:sz w:val="20"/>
        </w:rPr>
        <w:footnoteRef/>
      </w:r>
      <w:r w:rsidRPr="00CD6D05">
        <w:t xml:space="preserve"> </w:t>
      </w:r>
      <w:r w:rsidRPr="00CD6D05" w:rsidR="004C0503">
        <w:rPr>
          <w:i/>
        </w:rPr>
        <w:t>Auction of 24 GHz Upper Microwave Flexible Use Service Licenses Closes; Winning Bidders Announced for Auction 102</w:t>
      </w:r>
      <w:r w:rsidRPr="00CD6D05" w:rsidR="004C0503">
        <w:t>, Public Notice, DA 19-</w:t>
      </w:r>
      <w:r w:rsidR="00165421">
        <w:t>485</w:t>
      </w:r>
      <w:r w:rsidRPr="00CD6D05" w:rsidR="004C0503">
        <w:t xml:space="preserve"> </w:t>
      </w:r>
      <w:r w:rsidR="009B0EFC">
        <w:t xml:space="preserve">at 1, para. 1 </w:t>
      </w:r>
      <w:r w:rsidRPr="00CD6D05" w:rsidR="004C0503">
        <w:t xml:space="preserve">(OEA/WTB </w:t>
      </w:r>
      <w:r w:rsidR="0068004F">
        <w:t xml:space="preserve">June </w:t>
      </w:r>
      <w:r w:rsidR="00AF27A5">
        <w:t>3</w:t>
      </w:r>
      <w:r w:rsidRPr="00CD6D05" w:rsidR="004C0503">
        <w:t>, 2019).</w:t>
      </w:r>
      <w:r w:rsidRPr="00CD6D05">
        <w:t xml:space="preserve"> </w:t>
      </w:r>
    </w:p>
  </w:footnote>
  <w:footnote w:id="7">
    <w:p w:rsidR="00832A1C" w:rsidP="00832A1C" w14:paraId="27660B6B" w14:textId="2C1C28CD">
      <w:pPr>
        <w:pStyle w:val="FootnoteText"/>
      </w:pPr>
      <w:r w:rsidRPr="00CD6D05">
        <w:rPr>
          <w:rStyle w:val="FootnoteReference"/>
          <w:sz w:val="20"/>
        </w:rPr>
        <w:footnoteRef/>
      </w:r>
      <w:r w:rsidRPr="00CD6D05">
        <w:t xml:space="preserve"> </w:t>
      </w:r>
      <w:r w:rsidRPr="00E97035">
        <w:t xml:space="preserve">The PRS can be accessed directly at </w:t>
      </w:r>
      <w:hyperlink r:id="rId1" w:history="1">
        <w:r w:rsidRPr="00E97035">
          <w:rPr>
            <w:rStyle w:val="Hyperlink"/>
          </w:rPr>
          <w:t>auctiondata.fcc.gov</w:t>
        </w:r>
      </w:hyperlink>
      <w:r w:rsidRPr="00E97035">
        <w:t xml:space="preserve"> or from a link </w:t>
      </w:r>
      <w:r w:rsidRPr="00E97035" w:rsidR="00F86BAD">
        <w:t xml:space="preserve">in </w:t>
      </w:r>
      <w:r w:rsidRPr="00E97035">
        <w:t>the “Results” section of the Auction 101 website (</w:t>
      </w:r>
      <w:hyperlink r:id="rId2" w:history="1">
        <w:r w:rsidRPr="00E97035" w:rsidR="003C4948">
          <w:rPr>
            <w:rStyle w:val="Hyperlink"/>
          </w:rPr>
          <w:t>www.fcc.gov/auction/101</w:t>
        </w:r>
      </w:hyperlink>
      <w:r w:rsidRPr="00276BEE" w:rsidR="00B16BE5">
        <w:t>)</w:t>
      </w:r>
      <w:r w:rsidRPr="00E97035" w:rsidR="006C27F7">
        <w:t>.</w:t>
      </w:r>
      <w:r w:rsidRPr="00E97035">
        <w:t xml:space="preserve"> </w:t>
      </w:r>
    </w:p>
  </w:footnote>
  <w:footnote w:id="8">
    <w:p w:rsidR="001640C6" w:rsidRPr="00CD6D05" w14:paraId="316C51C1" w14:textId="642C1D0F">
      <w:pPr>
        <w:pStyle w:val="FootnoteText"/>
      </w:pPr>
      <w:r w:rsidRPr="00CD6D05">
        <w:rPr>
          <w:rStyle w:val="FootnoteReference"/>
          <w:sz w:val="20"/>
        </w:rPr>
        <w:footnoteRef/>
      </w:r>
      <w:r w:rsidRPr="00CD6D05">
        <w:t xml:space="preserve"> </w:t>
      </w:r>
      <w:r w:rsidRPr="00CD6D05" w:rsidR="00195EF4">
        <w:t xml:space="preserve">Shortly after the close of bidding in Auction 101, OEA and WTB announced that down payments for Auction 101 winning bidders would be due </w:t>
      </w:r>
      <w:r w:rsidR="00AA75F0">
        <w:t>by</w:t>
      </w:r>
      <w:r w:rsidRPr="00CD6D05" w:rsidR="00AA75F0">
        <w:t xml:space="preserve"> </w:t>
      </w:r>
      <w:r w:rsidRPr="00CD6D05" w:rsidR="00195EF4">
        <w:t xml:space="preserve">February 14, 2019, and final payments would be due by March 1, 2019.  </w:t>
      </w:r>
      <w:r w:rsidRPr="00CD6D05" w:rsidR="00195EF4">
        <w:rPr>
          <w:i/>
        </w:rPr>
        <w:t>See Auction 101 Closing Public Notice</w:t>
      </w:r>
      <w:r w:rsidRPr="00CD6D05" w:rsidR="006C27F7">
        <w:t xml:space="preserve"> at </w:t>
      </w:r>
      <w:r w:rsidR="00AA75F0">
        <w:t>2, paras. 6, 9</w:t>
      </w:r>
      <w:r w:rsidRPr="00CD6D05" w:rsidR="00195E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62451C" w:rsidP="00837C62" w14:paraId="6D75ECB7" w14:textId="083046BE">
    <w:pPr>
      <w:pStyle w:val="Header"/>
      <w:rPr>
        <w:rFonts w:ascii="Times New Roman" w:hAnsi="Times New Roman" w:cs="Times New Roman"/>
        <w:sz w:val="22"/>
        <w:szCs w:val="22"/>
      </w:rPr>
    </w:pPr>
    <w:r>
      <w:tab/>
    </w:r>
    <w:r w:rsidRPr="0062451C">
      <w:rPr>
        <w:rFonts w:ascii="Times New Roman" w:hAnsi="Times New Roman" w:cs="Times New Roman"/>
        <w:sz w:val="22"/>
        <w:szCs w:val="22"/>
      </w:rPr>
      <w:t>Federal Communications Commission</w:t>
    </w:r>
    <w:r w:rsidRPr="0062451C">
      <w:rPr>
        <w:rFonts w:ascii="Times New Roman" w:hAnsi="Times New Roman" w:cs="Times New Roman"/>
        <w:sz w:val="22"/>
        <w:szCs w:val="22"/>
      </w:rPr>
      <w:tab/>
    </w:r>
    <w:r w:rsidR="00A92A76">
      <w:rPr>
        <w:rFonts w:ascii="Times New Roman" w:hAnsi="Times New Roman" w:cs="Times New Roman"/>
        <w:sz w:val="22"/>
        <w:szCs w:val="22"/>
      </w:rPr>
      <w:t>DA 19-</w:t>
    </w:r>
    <w:r w:rsidR="00165421">
      <w:rPr>
        <w:rFonts w:ascii="Times New Roman" w:hAnsi="Times New Roman" w:cs="Times New Roman"/>
        <w:sz w:val="22"/>
        <w:szCs w:val="22"/>
      </w:rPr>
      <w:t>484</w:t>
    </w:r>
  </w:p>
  <w:p w:rsidR="006F7393" w14:paraId="60070F6E"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09E7DE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79F8E1D4"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14:paraId="5BFC6D76"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301DE583" w14:textId="77777777">
                <w:pPr>
                  <w:rPr>
                    <w:rFonts w:ascii="Arial" w:hAnsi="Arial"/>
                    <w:b/>
                  </w:rPr>
                </w:pPr>
                <w:r>
                  <w:rPr>
                    <w:rFonts w:ascii="Arial" w:hAnsi="Arial"/>
                    <w:b/>
                  </w:rPr>
                  <w:t>Federal Communications Commission</w:t>
                </w:r>
              </w:p>
              <w:p w:rsidR="00C82B6B" w:rsidP="00C82B6B" w14:paraId="05FAA205" w14:textId="2DFEBC9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050061">
                  <w:rPr>
                    <w:rFonts w:ascii="Arial" w:hAnsi="Arial"/>
                    <w:b/>
                  </w:rPr>
                  <w:t>reet</w:t>
                </w:r>
                <w:r>
                  <w:rPr>
                    <w:rFonts w:ascii="Arial" w:hAnsi="Arial"/>
                    <w:b/>
                  </w:rPr>
                  <w:t>, S</w:t>
                </w:r>
                <w:r w:rsidR="00050061">
                  <w:rPr>
                    <w:rFonts w:ascii="Arial" w:hAnsi="Arial"/>
                    <w:b/>
                  </w:rPr>
                  <w:t>W</w:t>
                </w:r>
              </w:p>
              <w:p w:rsidR="00C82B6B" w:rsidP="00C82B6B" w14:paraId="7B263B9B" w14:textId="32D3C8B3">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4702FDB7" w14:textId="153518B6">
                <w:pPr>
                  <w:spacing w:before="40"/>
                  <w:jc w:val="right"/>
                  <w:rPr>
                    <w:rFonts w:ascii="Arial" w:hAnsi="Arial"/>
                    <w:b/>
                    <w:sz w:val="16"/>
                  </w:rPr>
                </w:pPr>
                <w:r>
                  <w:rPr>
                    <w:rFonts w:ascii="Arial" w:hAnsi="Arial"/>
                    <w:b/>
                    <w:sz w:val="16"/>
                  </w:rPr>
                  <w:t>News Media Information</w:t>
                </w:r>
                <w:r w:rsidR="00050061">
                  <w:rPr>
                    <w:rFonts w:ascii="Arial" w:hAnsi="Arial"/>
                    <w:b/>
                    <w:sz w:val="16"/>
                  </w:rPr>
                  <w:t>:</w:t>
                </w:r>
                <w:r>
                  <w:rPr>
                    <w:rFonts w:ascii="Arial" w:hAnsi="Arial"/>
                    <w:b/>
                    <w:sz w:val="16"/>
                  </w:rPr>
                  <w:t xml:space="preserve"> 202</w:t>
                </w:r>
                <w:r w:rsidR="00050061">
                  <w:rPr>
                    <w:rFonts w:ascii="Arial" w:hAnsi="Arial"/>
                    <w:b/>
                    <w:sz w:val="16"/>
                  </w:rPr>
                  <w:t>-</w:t>
                </w:r>
                <w:r>
                  <w:rPr>
                    <w:rFonts w:ascii="Arial" w:hAnsi="Arial"/>
                    <w:b/>
                    <w:sz w:val="16"/>
                  </w:rPr>
                  <w:t>418-0500</w:t>
                </w:r>
              </w:p>
              <w:p w:rsidR="00C82B6B" w:rsidP="00C82B6B" w14:paraId="58CC25F4" w14:textId="0228B670">
                <w:pPr>
                  <w:jc w:val="right"/>
                  <w:rPr>
                    <w:rFonts w:ascii="Arial" w:hAnsi="Arial"/>
                    <w:b/>
                    <w:sz w:val="16"/>
                  </w:rPr>
                </w:pPr>
                <w:r>
                  <w:rPr>
                    <w:rFonts w:ascii="Arial" w:hAnsi="Arial"/>
                    <w:b/>
                    <w:sz w:val="16"/>
                  </w:rPr>
                  <w:t xml:space="preserve">Internet: </w:t>
                </w:r>
                <w:hyperlink r:id="rId2" w:history="1">
                  <w:r w:rsidRPr="00932957" w:rsidR="00050061">
                    <w:rPr>
                      <w:rStyle w:val="Hyperlink"/>
                      <w:rFonts w:ascii="Arial" w:hAnsi="Arial"/>
                      <w:b/>
                      <w:sz w:val="16"/>
                    </w:rPr>
                    <w:t>www.fcc.gov</w:t>
                  </w:r>
                </w:hyperlink>
              </w:p>
              <w:p w:rsidR="00C82B6B" w:rsidP="00C82B6B" w14:paraId="2AD8DEA1" w14:textId="30963F22">
                <w:pPr>
                  <w:jc w:val="right"/>
                  <w:rPr>
                    <w:rFonts w:ascii="Arial" w:hAnsi="Arial"/>
                    <w:b/>
                    <w:sz w:val="16"/>
                  </w:rPr>
                </w:pPr>
                <w:r>
                  <w:rPr>
                    <w:rFonts w:ascii="Arial" w:hAnsi="Arial"/>
                    <w:b/>
                    <w:sz w:val="16"/>
                  </w:rPr>
                  <w:t>TTY: 888-835-5322</w:t>
                </w:r>
              </w:p>
              <w:p w:rsidR="00C82B6B" w:rsidP="00C82B6B" w14:paraId="5CE189EC" w14:textId="77777777">
                <w:pPr>
                  <w:jc w:val="right"/>
                </w:pPr>
              </w:p>
            </w:txbxContent>
          </v:textbox>
        </v:shape>
      </w:pict>
    </w:r>
  </w:p>
  <w:p w:rsidR="006F7393" w:rsidRPr="00C82B6B" w:rsidP="00837C62" w14:paraId="7E0033FC"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69403B2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CAF0F326"/>
    <w:lvl w:ilvl="0">
      <w:start w:val="1"/>
      <w:numFmt w:val="decimal"/>
      <w:pStyle w:val="ParaNum"/>
      <w:lvlText w:val="%1."/>
      <w:lvlJc w:val="left"/>
      <w:pPr>
        <w:tabs>
          <w:tab w:val="num" w:pos="1080"/>
        </w:tabs>
        <w:ind w:left="0" w:firstLine="720"/>
      </w:pPr>
      <w:rPr>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7698"/>
    <w:rsid w:val="000236A9"/>
    <w:rsid w:val="00036039"/>
    <w:rsid w:val="00037F90"/>
    <w:rsid w:val="00050061"/>
    <w:rsid w:val="00057ADC"/>
    <w:rsid w:val="00061483"/>
    <w:rsid w:val="00074D3A"/>
    <w:rsid w:val="000752D4"/>
    <w:rsid w:val="000875BF"/>
    <w:rsid w:val="00096D8C"/>
    <w:rsid w:val="000C0B65"/>
    <w:rsid w:val="000D5C10"/>
    <w:rsid w:val="000E3D42"/>
    <w:rsid w:val="000E5884"/>
    <w:rsid w:val="00122BD5"/>
    <w:rsid w:val="00137B13"/>
    <w:rsid w:val="00143F98"/>
    <w:rsid w:val="001567C4"/>
    <w:rsid w:val="001640C6"/>
    <w:rsid w:val="00165421"/>
    <w:rsid w:val="00195766"/>
    <w:rsid w:val="00195EF4"/>
    <w:rsid w:val="001A26D0"/>
    <w:rsid w:val="001B7EAC"/>
    <w:rsid w:val="001D6BCF"/>
    <w:rsid w:val="001E01CA"/>
    <w:rsid w:val="001E4863"/>
    <w:rsid w:val="00202FBB"/>
    <w:rsid w:val="00223585"/>
    <w:rsid w:val="00226822"/>
    <w:rsid w:val="002308BA"/>
    <w:rsid w:val="00243F20"/>
    <w:rsid w:val="00276BEE"/>
    <w:rsid w:val="00282098"/>
    <w:rsid w:val="00285017"/>
    <w:rsid w:val="00292421"/>
    <w:rsid w:val="002A0EF7"/>
    <w:rsid w:val="002A2D2E"/>
    <w:rsid w:val="002C6706"/>
    <w:rsid w:val="002C6E53"/>
    <w:rsid w:val="002D367C"/>
    <w:rsid w:val="002E3A33"/>
    <w:rsid w:val="002F6D2F"/>
    <w:rsid w:val="00301A53"/>
    <w:rsid w:val="00306DFC"/>
    <w:rsid w:val="003171F3"/>
    <w:rsid w:val="00324227"/>
    <w:rsid w:val="00343749"/>
    <w:rsid w:val="003608B6"/>
    <w:rsid w:val="0036329C"/>
    <w:rsid w:val="00390FE3"/>
    <w:rsid w:val="003B0550"/>
    <w:rsid w:val="003B694F"/>
    <w:rsid w:val="003C4948"/>
    <w:rsid w:val="003E2325"/>
    <w:rsid w:val="003F171C"/>
    <w:rsid w:val="0041223B"/>
    <w:rsid w:val="00412FC5"/>
    <w:rsid w:val="00422276"/>
    <w:rsid w:val="004242F1"/>
    <w:rsid w:val="00436868"/>
    <w:rsid w:val="00445A00"/>
    <w:rsid w:val="00446451"/>
    <w:rsid w:val="00451B0F"/>
    <w:rsid w:val="00462966"/>
    <w:rsid w:val="00496106"/>
    <w:rsid w:val="004A59B9"/>
    <w:rsid w:val="004C0503"/>
    <w:rsid w:val="004C12D0"/>
    <w:rsid w:val="004C2EE3"/>
    <w:rsid w:val="004C4359"/>
    <w:rsid w:val="004E4A22"/>
    <w:rsid w:val="004F188A"/>
    <w:rsid w:val="00511968"/>
    <w:rsid w:val="00514568"/>
    <w:rsid w:val="00517FE6"/>
    <w:rsid w:val="00534E0D"/>
    <w:rsid w:val="0055614C"/>
    <w:rsid w:val="005712E5"/>
    <w:rsid w:val="00574CB5"/>
    <w:rsid w:val="0059529C"/>
    <w:rsid w:val="005C58CF"/>
    <w:rsid w:val="005F7DCE"/>
    <w:rsid w:val="00607BA5"/>
    <w:rsid w:val="0062451C"/>
    <w:rsid w:val="00624AE6"/>
    <w:rsid w:val="00626EB6"/>
    <w:rsid w:val="00643A76"/>
    <w:rsid w:val="00655D03"/>
    <w:rsid w:val="00677791"/>
    <w:rsid w:val="0068004F"/>
    <w:rsid w:val="00683F84"/>
    <w:rsid w:val="00691FE6"/>
    <w:rsid w:val="006A6A81"/>
    <w:rsid w:val="006C27F7"/>
    <w:rsid w:val="006E16C5"/>
    <w:rsid w:val="006E26AF"/>
    <w:rsid w:val="006E74D0"/>
    <w:rsid w:val="006F5DD5"/>
    <w:rsid w:val="006F7393"/>
    <w:rsid w:val="0070224F"/>
    <w:rsid w:val="007115F7"/>
    <w:rsid w:val="0072085D"/>
    <w:rsid w:val="00736638"/>
    <w:rsid w:val="00770D80"/>
    <w:rsid w:val="007722AF"/>
    <w:rsid w:val="00785689"/>
    <w:rsid w:val="0078638E"/>
    <w:rsid w:val="0079754B"/>
    <w:rsid w:val="007A1E6D"/>
    <w:rsid w:val="007B49BE"/>
    <w:rsid w:val="007D39CA"/>
    <w:rsid w:val="007E723B"/>
    <w:rsid w:val="007F44F4"/>
    <w:rsid w:val="00805998"/>
    <w:rsid w:val="0080733C"/>
    <w:rsid w:val="00822CE0"/>
    <w:rsid w:val="00832A1C"/>
    <w:rsid w:val="00837C62"/>
    <w:rsid w:val="008415B7"/>
    <w:rsid w:val="00841AB1"/>
    <w:rsid w:val="00854B58"/>
    <w:rsid w:val="00891367"/>
    <w:rsid w:val="008A7388"/>
    <w:rsid w:val="008B4C78"/>
    <w:rsid w:val="008B6181"/>
    <w:rsid w:val="008C0097"/>
    <w:rsid w:val="008C6E15"/>
    <w:rsid w:val="008D4764"/>
    <w:rsid w:val="008D66D9"/>
    <w:rsid w:val="008D6F7E"/>
    <w:rsid w:val="00926503"/>
    <w:rsid w:val="00932957"/>
    <w:rsid w:val="00952760"/>
    <w:rsid w:val="00957E71"/>
    <w:rsid w:val="0096406E"/>
    <w:rsid w:val="009758A1"/>
    <w:rsid w:val="0097660B"/>
    <w:rsid w:val="00980986"/>
    <w:rsid w:val="0098619F"/>
    <w:rsid w:val="00991233"/>
    <w:rsid w:val="009B0EFC"/>
    <w:rsid w:val="009C6A84"/>
    <w:rsid w:val="009D25C4"/>
    <w:rsid w:val="009F0BAD"/>
    <w:rsid w:val="00A055D9"/>
    <w:rsid w:val="00A06914"/>
    <w:rsid w:val="00A354A2"/>
    <w:rsid w:val="00A41D84"/>
    <w:rsid w:val="00A41F21"/>
    <w:rsid w:val="00A45F4F"/>
    <w:rsid w:val="00A56968"/>
    <w:rsid w:val="00A600A9"/>
    <w:rsid w:val="00A713F3"/>
    <w:rsid w:val="00A92A76"/>
    <w:rsid w:val="00AA55B7"/>
    <w:rsid w:val="00AA5B9E"/>
    <w:rsid w:val="00AA75F0"/>
    <w:rsid w:val="00AB0CCE"/>
    <w:rsid w:val="00AB2407"/>
    <w:rsid w:val="00AB50EE"/>
    <w:rsid w:val="00AB53DF"/>
    <w:rsid w:val="00AC5E7C"/>
    <w:rsid w:val="00AD0F99"/>
    <w:rsid w:val="00AD5234"/>
    <w:rsid w:val="00AF0BE8"/>
    <w:rsid w:val="00AF27A5"/>
    <w:rsid w:val="00AF3DC5"/>
    <w:rsid w:val="00B07DFF"/>
    <w:rsid w:val="00B07E5C"/>
    <w:rsid w:val="00B16BE5"/>
    <w:rsid w:val="00B40228"/>
    <w:rsid w:val="00B40CE8"/>
    <w:rsid w:val="00B54A99"/>
    <w:rsid w:val="00B64073"/>
    <w:rsid w:val="00B811F7"/>
    <w:rsid w:val="00B874F6"/>
    <w:rsid w:val="00B93298"/>
    <w:rsid w:val="00B945EF"/>
    <w:rsid w:val="00BA18A4"/>
    <w:rsid w:val="00BA22D2"/>
    <w:rsid w:val="00BA59AB"/>
    <w:rsid w:val="00BA5DC6"/>
    <w:rsid w:val="00BA6196"/>
    <w:rsid w:val="00BB145A"/>
    <w:rsid w:val="00BC6D8C"/>
    <w:rsid w:val="00C070D9"/>
    <w:rsid w:val="00C10626"/>
    <w:rsid w:val="00C16784"/>
    <w:rsid w:val="00C172A8"/>
    <w:rsid w:val="00C34006"/>
    <w:rsid w:val="00C35ACB"/>
    <w:rsid w:val="00C426B1"/>
    <w:rsid w:val="00C44D51"/>
    <w:rsid w:val="00C55925"/>
    <w:rsid w:val="00C82B6B"/>
    <w:rsid w:val="00C90D6A"/>
    <w:rsid w:val="00CB6269"/>
    <w:rsid w:val="00CB7FEA"/>
    <w:rsid w:val="00CC2D25"/>
    <w:rsid w:val="00CC72B6"/>
    <w:rsid w:val="00CD6D05"/>
    <w:rsid w:val="00CE5011"/>
    <w:rsid w:val="00D0218D"/>
    <w:rsid w:val="00D0292F"/>
    <w:rsid w:val="00D55DF8"/>
    <w:rsid w:val="00D5695D"/>
    <w:rsid w:val="00D950EC"/>
    <w:rsid w:val="00DA2529"/>
    <w:rsid w:val="00DB130A"/>
    <w:rsid w:val="00DC10A1"/>
    <w:rsid w:val="00DC655F"/>
    <w:rsid w:val="00DD7EBD"/>
    <w:rsid w:val="00DF62B6"/>
    <w:rsid w:val="00E022BF"/>
    <w:rsid w:val="00E07225"/>
    <w:rsid w:val="00E46923"/>
    <w:rsid w:val="00E50C5C"/>
    <w:rsid w:val="00E5409F"/>
    <w:rsid w:val="00E87DA6"/>
    <w:rsid w:val="00E97035"/>
    <w:rsid w:val="00E97FA2"/>
    <w:rsid w:val="00EC783F"/>
    <w:rsid w:val="00ED5B8C"/>
    <w:rsid w:val="00EF4545"/>
    <w:rsid w:val="00EF52BA"/>
    <w:rsid w:val="00F021FA"/>
    <w:rsid w:val="00F230BF"/>
    <w:rsid w:val="00F57ACA"/>
    <w:rsid w:val="00F62E97"/>
    <w:rsid w:val="00F64209"/>
    <w:rsid w:val="00F86BAD"/>
    <w:rsid w:val="00F90E61"/>
    <w:rsid w:val="00F92D52"/>
    <w:rsid w:val="00F93BF5"/>
    <w:rsid w:val="00FA07CC"/>
    <w:rsid w:val="00FA325D"/>
    <w:rsid w:val="00FA68FD"/>
    <w:rsid w:val="00FB6632"/>
    <w:rsid w:val="00FC493B"/>
    <w:rsid w:val="00FD7B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FA6E6E-0C04-4F76-B15F-34ED213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98"/>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8638E"/>
    <w:pPr>
      <w:keepNext/>
      <w:widowControl/>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CE5011"/>
  </w:style>
  <w:style w:type="character" w:styleId="CommentReference">
    <w:name w:val="annotation reference"/>
    <w:uiPriority w:val="99"/>
    <w:semiHidden/>
    <w:unhideWhenUsed/>
    <w:rsid w:val="00CE5011"/>
    <w:rPr>
      <w:sz w:val="16"/>
      <w:szCs w:val="16"/>
    </w:rPr>
  </w:style>
  <w:style w:type="paragraph" w:styleId="CommentText">
    <w:name w:val="annotation text"/>
    <w:basedOn w:val="Normal"/>
    <w:link w:val="CommentTextChar"/>
    <w:uiPriority w:val="99"/>
    <w:semiHidden/>
    <w:unhideWhenUsed/>
    <w:rsid w:val="00CE5011"/>
    <w:rPr>
      <w:sz w:val="20"/>
    </w:rPr>
  </w:style>
  <w:style w:type="character" w:customStyle="1" w:styleId="CommentTextChar">
    <w:name w:val="Comment Text Char"/>
    <w:link w:val="CommentText"/>
    <w:uiPriority w:val="99"/>
    <w:semiHidden/>
    <w:rsid w:val="00CE5011"/>
    <w:rPr>
      <w:snapToGrid w:val="0"/>
      <w:kern w:val="28"/>
    </w:rPr>
  </w:style>
  <w:style w:type="paragraph" w:styleId="BalloonText">
    <w:name w:val="Balloon Text"/>
    <w:basedOn w:val="Normal"/>
    <w:link w:val="BalloonTextChar"/>
    <w:uiPriority w:val="99"/>
    <w:semiHidden/>
    <w:unhideWhenUsed/>
    <w:rsid w:val="00CE5011"/>
    <w:rPr>
      <w:rFonts w:ascii="Segoe UI" w:hAnsi="Segoe UI" w:cs="Segoe UI"/>
      <w:sz w:val="18"/>
      <w:szCs w:val="18"/>
    </w:rPr>
  </w:style>
  <w:style w:type="character" w:customStyle="1" w:styleId="BalloonTextChar">
    <w:name w:val="Balloon Text Char"/>
    <w:link w:val="BalloonText"/>
    <w:uiPriority w:val="99"/>
    <w:semiHidden/>
    <w:rsid w:val="00CE5011"/>
    <w:rPr>
      <w:rFonts w:ascii="Segoe UI" w:hAnsi="Segoe UI" w:cs="Segoe UI"/>
      <w:snapToGrid w:val="0"/>
      <w:kern w:val="28"/>
      <w:sz w:val="18"/>
      <w:szCs w:val="18"/>
    </w:rPr>
  </w:style>
  <w:style w:type="character" w:customStyle="1" w:styleId="UnresolvedMention">
    <w:name w:val="Unresolved Mention"/>
    <w:uiPriority w:val="99"/>
    <w:semiHidden/>
    <w:unhideWhenUsed/>
    <w:rsid w:val="00050061"/>
    <w:rPr>
      <w:color w:val="605E5C"/>
      <w:shd w:val="clear" w:color="auto" w:fill="E1DFDD"/>
    </w:rPr>
  </w:style>
  <w:style w:type="character" w:customStyle="1" w:styleId="ParaNumChar">
    <w:name w:val="ParaNum Char"/>
    <w:link w:val="ParaNum"/>
    <w:locked/>
    <w:rsid w:val="00050061"/>
    <w:rPr>
      <w:snapToGrid w:val="0"/>
      <w:kern w:val="28"/>
      <w:sz w:val="22"/>
    </w:rPr>
  </w:style>
  <w:style w:type="paragraph" w:styleId="CommentSubject">
    <w:name w:val="annotation subject"/>
    <w:basedOn w:val="CommentText"/>
    <w:next w:val="CommentText"/>
    <w:link w:val="CommentSubjectChar"/>
    <w:uiPriority w:val="99"/>
    <w:semiHidden/>
    <w:unhideWhenUsed/>
    <w:rsid w:val="00643A76"/>
    <w:rPr>
      <w:b/>
      <w:bCs/>
    </w:rPr>
  </w:style>
  <w:style w:type="character" w:customStyle="1" w:styleId="CommentSubjectChar">
    <w:name w:val="Comment Subject Char"/>
    <w:link w:val="CommentSubject"/>
    <w:uiPriority w:val="99"/>
    <w:semiHidden/>
    <w:rsid w:val="00643A76"/>
    <w:rPr>
      <w:b/>
      <w:bCs/>
      <w:snapToGrid w:val="0"/>
      <w:kern w:val="28"/>
    </w:rPr>
  </w:style>
  <w:style w:type="character" w:styleId="FollowedHyperlink">
    <w:name w:val="FollowedHyperlink"/>
    <w:uiPriority w:val="99"/>
    <w:semiHidden/>
    <w:unhideWhenUsed/>
    <w:rsid w:val="00957E71"/>
    <w:rPr>
      <w:color w:val="954F72"/>
      <w:u w:val="single"/>
    </w:rPr>
  </w:style>
  <w:style w:type="paragraph" w:styleId="Revision">
    <w:name w:val="Revision"/>
    <w:hidden/>
    <w:uiPriority w:val="99"/>
    <w:semiHidden/>
    <w:rsid w:val="00BA59A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uctiondata.fcc.gov/public/projects/auction101"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1" TargetMode="External" /><Relationship Id="rId6" Type="http://schemas.openxmlformats.org/officeDocument/2006/relationships/hyperlink" Target="https://auctionfiling.fcc.gov/form175/search175/index.htm" TargetMode="External" /><Relationship Id="rId7" Type="http://schemas.openxmlformats.org/officeDocument/2006/relationships/hyperlink" Target="mailto:fcc504@fcc.gov" TargetMode="External" /><Relationship Id="rId8" Type="http://schemas.openxmlformats.org/officeDocument/2006/relationships/hyperlink" Target="https://www.fcc.gov" TargetMode="External" /><Relationship Id="rId9" Type="http://schemas.openxmlformats.org/officeDocument/2006/relationships/hyperlink" Target="https://www.fcc.gov/uls"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public/projects/auction101" TargetMode="External" /><Relationship Id="rId2" Type="http://schemas.openxmlformats.org/officeDocument/2006/relationships/hyperlink" Target="https://www.fcc.gov/auction/10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