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19-490</w:t>
      </w:r>
    </w:p>
    <w:p w:rsidR="00013A8B" w:rsidRPr="00B20363" w:rsidP="00013A8B">
      <w:pPr>
        <w:spacing w:before="60"/>
        <w:jc w:val="right"/>
        <w:rPr>
          <w:b/>
          <w:sz w:val="24"/>
        </w:rPr>
      </w:pPr>
      <w:r>
        <w:rPr>
          <w:b/>
          <w:sz w:val="24"/>
        </w:rPr>
        <w:t xml:space="preserve">Released:  </w:t>
      </w:r>
      <w:r w:rsidR="00FD0576">
        <w:rPr>
          <w:b/>
          <w:sz w:val="24"/>
        </w:rPr>
        <w:t>May 30, 2019</w:t>
      </w:r>
    </w:p>
    <w:p w:rsidR="00013A8B" w:rsidP="00013A8B">
      <w:pPr>
        <w:jc w:val="right"/>
        <w:rPr>
          <w:sz w:val="24"/>
        </w:rPr>
      </w:pPr>
    </w:p>
    <w:p w:rsidR="00FD0576" w:rsidP="00FD0576">
      <w:pPr>
        <w:spacing w:before="60"/>
        <w:jc w:val="center"/>
        <w:rPr>
          <w:b/>
          <w:sz w:val="24"/>
        </w:rPr>
      </w:pPr>
      <w:r>
        <w:rPr>
          <w:b/>
          <w:sz w:val="24"/>
        </w:rPr>
        <w:t>DELAY IN INITIATION OF PERFORMANCE MEASURES TESTING REQUIREMENTS UNTIL FIRST QUARTER OF 2020</w:t>
      </w:r>
    </w:p>
    <w:p w:rsidR="00FD0576" w:rsidP="00013A8B">
      <w:pPr>
        <w:jc w:val="center"/>
        <w:rPr>
          <w:b/>
          <w:sz w:val="24"/>
        </w:rPr>
      </w:pPr>
    </w:p>
    <w:p w:rsidR="00013A8B" w:rsidP="00013A8B">
      <w:pPr>
        <w:jc w:val="center"/>
        <w:rPr>
          <w:b/>
          <w:sz w:val="24"/>
        </w:rPr>
      </w:pPr>
      <w:r>
        <w:rPr>
          <w:b/>
          <w:sz w:val="24"/>
        </w:rPr>
        <w:t>WC Docket No. 10-90</w:t>
      </w:r>
    </w:p>
    <w:p w:rsidR="00F96F63" w:rsidRPr="00930ECF" w:rsidP="00F96F63">
      <w:pPr>
        <w:rPr>
          <w:sz w:val="24"/>
        </w:rPr>
      </w:pPr>
      <w:bookmarkStart w:id="0" w:name="TOChere"/>
    </w:p>
    <w:bookmarkEnd w:id="0"/>
    <w:p w:rsidR="00FD0576" w:rsidP="00411256">
      <w:pPr>
        <w:spacing w:after="120"/>
        <w:ind w:firstLine="720"/>
        <w:rPr>
          <w:szCs w:val="22"/>
        </w:rPr>
      </w:pPr>
      <w:r>
        <w:rPr>
          <w:szCs w:val="22"/>
        </w:rPr>
        <w:t xml:space="preserve">Today, </w:t>
      </w:r>
      <w:r w:rsidRPr="007D4DE2">
        <w:rPr>
          <w:szCs w:val="22"/>
        </w:rPr>
        <w:t xml:space="preserve">the Wireline Competition Bureau (Bureau) </w:t>
      </w:r>
      <w:r>
        <w:rPr>
          <w:szCs w:val="22"/>
        </w:rPr>
        <w:t>announces a delay in the requirement to begin testing and reporting of speed and latency results until the first quarter of 2020.  Under the Performance Measures Order adopted in July 2018, carriers subject to performance measures must begin testing in the third and fourth quarters of 2019 and report these results with an accompanying certification by July 1, 2020.</w:t>
      </w:r>
      <w:r>
        <w:rPr>
          <w:rStyle w:val="FootnoteReference"/>
          <w:szCs w:val="22"/>
        </w:rPr>
        <w:footnoteReference w:id="3"/>
      </w:r>
      <w:r>
        <w:rPr>
          <w:szCs w:val="22"/>
        </w:rPr>
        <w:t xml:space="preserve">  The order stated that to implement the testing regime, the Commission needs </w:t>
      </w:r>
      <w:r w:rsidRPr="004B6C88">
        <w:t>to develop a mechanism for collecting the testing data and obtain Paperwork Reduction Act (PRA) approval</w:t>
      </w:r>
      <w:r>
        <w:t>.</w:t>
      </w:r>
      <w:r>
        <w:rPr>
          <w:rStyle w:val="FootnoteReference"/>
        </w:rPr>
        <w:footnoteReference w:id="4"/>
      </w:r>
      <w:r>
        <w:t xml:space="preserve">  In addition, subsequent to adoption of the order, several </w:t>
      </w:r>
      <w:r>
        <w:rPr>
          <w:szCs w:val="22"/>
        </w:rPr>
        <w:t xml:space="preserve">petitions for reconsideration and applications for review were filed.  </w:t>
      </w:r>
    </w:p>
    <w:p w:rsidR="00FD0576" w:rsidP="00411256">
      <w:pPr>
        <w:spacing w:after="120"/>
        <w:ind w:firstLine="720"/>
        <w:rPr>
          <w:szCs w:val="22"/>
        </w:rPr>
      </w:pPr>
      <w:r>
        <w:rPr>
          <w:szCs w:val="22"/>
        </w:rPr>
        <w:t>In light of</w:t>
      </w:r>
      <w:r>
        <w:rPr>
          <w:szCs w:val="22"/>
        </w:rPr>
        <w:t xml:space="preserve"> the issues raised in the petitions for reconsideration and applications for review, the need for additional technical development of the interfaces required, and the requirement for PRA approval, the Bureau delays the requirement that carriers begin testing until the first quarter of 2020.  </w:t>
      </w:r>
      <w:bookmarkStart w:id="1" w:name="_GoBack"/>
      <w:bookmarkEnd w:id="1"/>
    </w:p>
    <w:p w:rsidR="00FD0576" w:rsidRPr="00B35D95" w:rsidP="00FD0576">
      <w:pPr>
        <w:spacing w:before="60"/>
        <w:ind w:firstLine="720"/>
        <w:rPr>
          <w:sz w:val="24"/>
        </w:rPr>
      </w:pPr>
      <w:r>
        <w:t>For further information, please contact Suzanne Yelen, Telecommunications Access Policy Division, Wireline Competition Bureau at (202) 418-0626 or at TTY (202) 418-0484.</w:t>
      </w:r>
      <w:r>
        <w:rPr>
          <w:szCs w:val="22"/>
        </w:rPr>
        <w:t xml:space="preserve">     </w:t>
      </w:r>
      <w:r>
        <w:rPr>
          <w:sz w:val="24"/>
        </w:rPr>
        <w:t xml:space="preserve">  </w:t>
      </w:r>
    </w:p>
    <w:p w:rsidR="00FD0576" w:rsidP="00FD0576">
      <w:pPr>
        <w:jc w:val="center"/>
        <w:rPr>
          <w:sz w:val="24"/>
        </w:rPr>
      </w:pPr>
    </w:p>
    <w:p w:rsidR="00FD0576" w:rsidP="00FD0576">
      <w:pPr>
        <w:spacing w:before="120"/>
        <w:rPr>
          <w:sz w:val="24"/>
          <w:szCs w:val="24"/>
        </w:rPr>
      </w:pPr>
    </w:p>
    <w:p w:rsidR="00FD0576" w:rsidP="00FD0576">
      <w:pPr>
        <w:spacing w:before="120" w:after="240"/>
        <w:jc w:val="center"/>
        <w:rPr>
          <w:b/>
          <w:sz w:val="24"/>
          <w:szCs w:val="24"/>
        </w:rPr>
      </w:pPr>
      <w:r w:rsidRPr="002B0454">
        <w:rPr>
          <w:sz w:val="24"/>
          <w:szCs w:val="24"/>
        </w:rPr>
        <w:t>-FCC-</w:t>
      </w: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558D">
      <w:r>
        <w:separator/>
      </w:r>
    </w:p>
  </w:footnote>
  <w:footnote w:type="continuationSeparator" w:id="1">
    <w:p w:rsidR="0069558D">
      <w:pPr>
        <w:rPr>
          <w:sz w:val="20"/>
        </w:rPr>
      </w:pPr>
      <w:r>
        <w:rPr>
          <w:sz w:val="20"/>
        </w:rPr>
        <w:t xml:space="preserve">(Continued from previous page)  </w:t>
      </w:r>
      <w:r>
        <w:rPr>
          <w:sz w:val="20"/>
        </w:rPr>
        <w:separator/>
      </w:r>
    </w:p>
  </w:footnote>
  <w:footnote w:type="continuationNotice" w:id="2">
    <w:p w:rsidR="0069558D" w:rsidP="00910F12">
      <w:pPr>
        <w:jc w:val="right"/>
        <w:rPr>
          <w:sz w:val="20"/>
        </w:rPr>
      </w:pPr>
      <w:r>
        <w:rPr>
          <w:sz w:val="20"/>
        </w:rPr>
        <w:t>(continued….)</w:t>
      </w:r>
    </w:p>
  </w:footnote>
  <w:footnote w:id="3">
    <w:p w:rsidR="00FD0576" w:rsidRPr="009B5A11" w:rsidP="00FD0576">
      <w:pPr>
        <w:pStyle w:val="FootnoteText"/>
      </w:pPr>
      <w:r>
        <w:rPr>
          <w:rStyle w:val="FootnoteReference"/>
        </w:rPr>
        <w:footnoteRef/>
      </w:r>
      <w:r>
        <w:t xml:space="preserve"> </w:t>
      </w:r>
      <w:r w:rsidRPr="009B5A11">
        <w:rPr>
          <w:i/>
        </w:rPr>
        <w:t>Connect America Fund</w:t>
      </w:r>
      <w:r w:rsidRPr="009B5A11">
        <w:t xml:space="preserve">, Order, WC Docket No. 10-90, </w:t>
      </w:r>
      <w:r w:rsidRPr="009B5A11">
        <w:rPr>
          <w:shd w:val="clear" w:color="auto" w:fill="FFFFFF"/>
        </w:rPr>
        <w:t>33 FCC Rcd 6509, 6533, para. 76 (2018)</w:t>
      </w:r>
      <w:r w:rsidRPr="009B5A11">
        <w:t>.</w:t>
      </w:r>
    </w:p>
  </w:footnote>
  <w:footnote w:id="4">
    <w:p w:rsidR="00FD0576" w:rsidP="00FD0576">
      <w:pPr>
        <w:pStyle w:val="FootnoteText"/>
      </w:pPr>
      <w:r>
        <w:rPr>
          <w:rStyle w:val="FootnoteReference"/>
        </w:rPr>
        <w:footnoteRef/>
      </w:r>
      <w:r>
        <w:t xml:space="preserve"> </w:t>
      </w:r>
      <w:r w:rsidRPr="009B5A11">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76"/>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0454"/>
    <w:rsid w:val="00343749"/>
    <w:rsid w:val="00357D50"/>
    <w:rsid w:val="003925DC"/>
    <w:rsid w:val="003B0550"/>
    <w:rsid w:val="003B694F"/>
    <w:rsid w:val="003F171C"/>
    <w:rsid w:val="00411256"/>
    <w:rsid w:val="00412FC5"/>
    <w:rsid w:val="00422276"/>
    <w:rsid w:val="004242F1"/>
    <w:rsid w:val="00445A00"/>
    <w:rsid w:val="00451B0F"/>
    <w:rsid w:val="0046125F"/>
    <w:rsid w:val="00487524"/>
    <w:rsid w:val="00496106"/>
    <w:rsid w:val="004B6C88"/>
    <w:rsid w:val="004C12D0"/>
    <w:rsid w:val="004C2EE3"/>
    <w:rsid w:val="004E4A22"/>
    <w:rsid w:val="00511968"/>
    <w:rsid w:val="0055614C"/>
    <w:rsid w:val="00607BA5"/>
    <w:rsid w:val="00626EB6"/>
    <w:rsid w:val="006353A3"/>
    <w:rsid w:val="00655D03"/>
    <w:rsid w:val="00683F84"/>
    <w:rsid w:val="0069558D"/>
    <w:rsid w:val="006A6A81"/>
    <w:rsid w:val="006E26AF"/>
    <w:rsid w:val="006F7393"/>
    <w:rsid w:val="0070224F"/>
    <w:rsid w:val="007115F7"/>
    <w:rsid w:val="00785689"/>
    <w:rsid w:val="0079754B"/>
    <w:rsid w:val="007A1E6D"/>
    <w:rsid w:val="007D4DE2"/>
    <w:rsid w:val="00822CE0"/>
    <w:rsid w:val="00837C62"/>
    <w:rsid w:val="00841AB1"/>
    <w:rsid w:val="008C22FD"/>
    <w:rsid w:val="00910F12"/>
    <w:rsid w:val="00926503"/>
    <w:rsid w:val="00930ECF"/>
    <w:rsid w:val="009838BC"/>
    <w:rsid w:val="009B5A11"/>
    <w:rsid w:val="00A45F4F"/>
    <w:rsid w:val="00A600A9"/>
    <w:rsid w:val="00A866AC"/>
    <w:rsid w:val="00AA55B7"/>
    <w:rsid w:val="00AA5B9E"/>
    <w:rsid w:val="00AB2407"/>
    <w:rsid w:val="00AB53DF"/>
    <w:rsid w:val="00B07E5C"/>
    <w:rsid w:val="00B20363"/>
    <w:rsid w:val="00B326E3"/>
    <w:rsid w:val="00B35D9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D05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926E4DB-CF55-46EA-9222-1B71E3A4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FD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