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688C" w:rsidP="0078688C">
      <w:pPr>
        <w:jc w:val="right"/>
        <w:rPr>
          <w:b/>
          <w:szCs w:val="22"/>
        </w:rPr>
      </w:pPr>
      <w:bookmarkStart w:id="0" w:name="_Hlk527532965"/>
      <w:r>
        <w:rPr>
          <w:b/>
        </w:rPr>
        <w:t>DA 19</w:t>
      </w:r>
      <w:r w:rsidR="00711DCB">
        <w:rPr>
          <w:b/>
        </w:rPr>
        <w:t>-</w:t>
      </w:r>
      <w:r w:rsidR="008340B2">
        <w:rPr>
          <w:b/>
        </w:rPr>
        <w:t>495</w:t>
      </w:r>
    </w:p>
    <w:p w:rsidR="0078688C" w:rsidP="007004CA">
      <w:pPr>
        <w:jc w:val="right"/>
        <w:rPr>
          <w:b/>
          <w:szCs w:val="22"/>
        </w:rPr>
      </w:pPr>
      <w:r>
        <w:rPr>
          <w:b/>
          <w:szCs w:val="22"/>
        </w:rPr>
        <w:t xml:space="preserve">Released:  </w:t>
      </w:r>
      <w:r w:rsidR="00711DCB">
        <w:rPr>
          <w:b/>
          <w:szCs w:val="22"/>
        </w:rPr>
        <w:t xml:space="preserve">May </w:t>
      </w:r>
      <w:r w:rsidR="00AF33D9">
        <w:rPr>
          <w:b/>
          <w:szCs w:val="22"/>
        </w:rPr>
        <w:t>31</w:t>
      </w:r>
      <w:r w:rsidR="00711DCB">
        <w:rPr>
          <w:b/>
          <w:szCs w:val="22"/>
        </w:rPr>
        <w:t>, 2019</w:t>
      </w:r>
    </w:p>
    <w:p w:rsidR="007004CA" w:rsidP="00D04034">
      <w:pPr>
        <w:jc w:val="right"/>
        <w:rPr>
          <w:b/>
          <w:szCs w:val="22"/>
        </w:rPr>
      </w:pPr>
    </w:p>
    <w:p w:rsidR="0078688C" w:rsidP="007004CA">
      <w:pPr>
        <w:autoSpaceDE w:val="0"/>
        <w:autoSpaceDN w:val="0"/>
        <w:adjustRightInd w:val="0"/>
        <w:jc w:val="center"/>
        <w:rPr>
          <w:b/>
          <w:bCs/>
          <w:color w:val="000000"/>
          <w:szCs w:val="22"/>
        </w:rPr>
      </w:pPr>
      <w:r>
        <w:rPr>
          <w:b/>
          <w:bCs/>
          <w:color w:val="000000"/>
          <w:szCs w:val="22"/>
        </w:rPr>
        <w:t xml:space="preserve">WIRELINE COMPETITION BUREAU SEEKS COMMENT ON </w:t>
      </w:r>
      <w:r w:rsidR="00711DCB">
        <w:rPr>
          <w:b/>
          <w:bCs/>
          <w:color w:val="000000"/>
          <w:szCs w:val="22"/>
        </w:rPr>
        <w:t>NEW HAM</w:t>
      </w:r>
      <w:r w:rsidR="009D7A40">
        <w:rPr>
          <w:b/>
          <w:bCs/>
          <w:color w:val="000000"/>
          <w:szCs w:val="22"/>
        </w:rPr>
        <w:t>P</w:t>
      </w:r>
      <w:r w:rsidR="00711DCB">
        <w:rPr>
          <w:b/>
          <w:bCs/>
          <w:color w:val="000000"/>
          <w:szCs w:val="22"/>
        </w:rPr>
        <w:t xml:space="preserve">SHIRE PUBLIC UTILITIES COMMISSION </w:t>
      </w:r>
      <w:r w:rsidR="0067749E">
        <w:rPr>
          <w:b/>
          <w:bCs/>
          <w:color w:val="000000"/>
          <w:szCs w:val="22"/>
        </w:rPr>
        <w:t xml:space="preserve">PETITION </w:t>
      </w:r>
      <w:r w:rsidR="00711DCB">
        <w:rPr>
          <w:b/>
          <w:bCs/>
          <w:color w:val="000000"/>
          <w:szCs w:val="22"/>
        </w:rPr>
        <w:t>FOR ADDITIONAL DELEGATED AUTHORITY TO IMPLEMENT INDIVIDUAL TELEPHONE NUMBER POOLING IN THE 603 AREA CODE</w:t>
      </w:r>
    </w:p>
    <w:p w:rsidR="007004CA" w:rsidP="00D04034">
      <w:pPr>
        <w:autoSpaceDE w:val="0"/>
        <w:autoSpaceDN w:val="0"/>
        <w:adjustRightInd w:val="0"/>
        <w:jc w:val="center"/>
        <w:rPr>
          <w:b/>
          <w:bCs/>
          <w:color w:val="000000"/>
          <w:szCs w:val="22"/>
        </w:rPr>
      </w:pPr>
    </w:p>
    <w:p w:rsidR="0078688C" w:rsidP="00D04034">
      <w:pPr>
        <w:autoSpaceDE w:val="0"/>
        <w:autoSpaceDN w:val="0"/>
        <w:adjustRightInd w:val="0"/>
        <w:jc w:val="center"/>
        <w:rPr>
          <w:b/>
          <w:color w:val="000000"/>
          <w:szCs w:val="22"/>
        </w:rPr>
      </w:pPr>
      <w:r>
        <w:rPr>
          <w:b/>
          <w:color w:val="000000"/>
          <w:szCs w:val="22"/>
        </w:rPr>
        <w:t>CC Docket No. 9</w:t>
      </w:r>
      <w:r w:rsidR="00711DCB">
        <w:rPr>
          <w:b/>
          <w:color w:val="000000"/>
          <w:szCs w:val="22"/>
        </w:rPr>
        <w:t>9-200</w:t>
      </w:r>
      <w:r>
        <w:rPr>
          <w:b/>
          <w:color w:val="000000"/>
          <w:szCs w:val="22"/>
        </w:rPr>
        <w:br/>
      </w:r>
    </w:p>
    <w:p w:rsidR="0078688C">
      <w:pPr>
        <w:autoSpaceDE w:val="0"/>
        <w:autoSpaceDN w:val="0"/>
        <w:adjustRightInd w:val="0"/>
        <w:rPr>
          <w:b/>
          <w:szCs w:val="22"/>
        </w:rPr>
      </w:pPr>
      <w:r>
        <w:rPr>
          <w:b/>
          <w:szCs w:val="22"/>
        </w:rPr>
        <w:t xml:space="preserve">Comment Date:   </w:t>
      </w:r>
      <w:r w:rsidR="00D77CB7">
        <w:rPr>
          <w:b/>
          <w:szCs w:val="22"/>
        </w:rPr>
        <w:t>July 1, 2019</w:t>
      </w:r>
    </w:p>
    <w:p w:rsidR="0078688C">
      <w:pPr>
        <w:autoSpaceDE w:val="0"/>
        <w:autoSpaceDN w:val="0"/>
        <w:adjustRightInd w:val="0"/>
        <w:rPr>
          <w:b/>
          <w:szCs w:val="22"/>
        </w:rPr>
      </w:pPr>
      <w:r w:rsidRPr="00E832CD">
        <w:rPr>
          <w:b/>
          <w:szCs w:val="22"/>
        </w:rPr>
        <w:t xml:space="preserve">Reply Comment Date:  </w:t>
      </w:r>
      <w:r w:rsidR="00DB1CE5">
        <w:rPr>
          <w:b/>
          <w:szCs w:val="22"/>
        </w:rPr>
        <w:t>July 15, 2019</w:t>
      </w:r>
    </w:p>
    <w:p w:rsidR="006C3E71" w:rsidP="00D04034">
      <w:pPr>
        <w:autoSpaceDE w:val="0"/>
        <w:autoSpaceDN w:val="0"/>
        <w:adjustRightInd w:val="0"/>
        <w:rPr>
          <w:b/>
          <w:szCs w:val="22"/>
        </w:rPr>
      </w:pPr>
    </w:p>
    <w:p w:rsidR="00547D75" w:rsidP="00DB1CE5">
      <w:pPr>
        <w:spacing w:after="120"/>
        <w:ind w:firstLine="720"/>
      </w:pPr>
      <w:r>
        <w:t xml:space="preserve">By this Public Notice, the Wireline Competition Bureau (Bureau) seeks comment on a </w:t>
      </w:r>
      <w:r w:rsidR="00731E6D">
        <w:t>p</w:t>
      </w:r>
      <w:r>
        <w:t xml:space="preserve">etition </w:t>
      </w:r>
      <w:r w:rsidR="006118C0">
        <w:t>filed by the New Hampshire Public Utilities Commission (NHPUC)</w:t>
      </w:r>
      <w:r w:rsidR="00322BEE">
        <w:t>, which requests</w:t>
      </w:r>
      <w:r>
        <w:t xml:space="preserve"> </w:t>
      </w:r>
      <w:r w:rsidR="00711DCB">
        <w:t>additional delegat</w:t>
      </w:r>
      <w:r w:rsidR="006118C0">
        <w:t>ed</w:t>
      </w:r>
      <w:r w:rsidR="00711DCB">
        <w:t xml:space="preserve"> authority</w:t>
      </w:r>
      <w:r w:rsidR="00D43902">
        <w:t xml:space="preserve"> to implement number optimization measures in the 603 area code</w:t>
      </w:r>
      <w:r w:rsidR="006118C0">
        <w:t xml:space="preserve">, the </w:t>
      </w:r>
      <w:r w:rsidR="00731E6D">
        <w:t xml:space="preserve">state’s </w:t>
      </w:r>
      <w:r w:rsidR="006118C0">
        <w:t>sole area code</w:t>
      </w:r>
      <w:r w:rsidR="00711DCB">
        <w:t>.</w:t>
      </w:r>
      <w:r>
        <w:rPr>
          <w:rStyle w:val="FootnoteReference"/>
        </w:rPr>
        <w:footnoteReference w:id="3"/>
      </w:r>
      <w:r>
        <w:t xml:space="preserve"> </w:t>
      </w:r>
      <w:r w:rsidR="00731E6D">
        <w:t xml:space="preserve"> Specifically, </w:t>
      </w:r>
      <w:r>
        <w:t>NHPUC seeks authority to: “1) implement individual telephone number</w:t>
      </w:r>
      <w:r w:rsidR="00322BEE">
        <w:t xml:space="preserve"> </w:t>
      </w:r>
      <w:r>
        <w:t>pooling;</w:t>
      </w:r>
      <w:r>
        <w:rPr>
          <w:rStyle w:val="FootnoteReference"/>
        </w:rPr>
        <w:footnoteReference w:id="4"/>
      </w:r>
      <w:r>
        <w:t xml:space="preserve"> 2) establish the pooling administrator as the holder of blocks for assignment of individual numbers when fewer than 100 numbers are requested by a carrier; and 3) implement single number pooling trials using existing software and methods.”</w:t>
      </w:r>
      <w:r>
        <w:rPr>
          <w:rStyle w:val="FootnoteReference"/>
        </w:rPr>
        <w:footnoteReference w:id="5"/>
      </w:r>
    </w:p>
    <w:p w:rsidR="00BB2CE4" w:rsidRPr="007C7540" w:rsidP="00DB1CE5">
      <w:pPr>
        <w:spacing w:after="120"/>
        <w:ind w:firstLine="720"/>
      </w:pPr>
      <w:r>
        <w:t xml:space="preserve">The </w:t>
      </w:r>
      <w:r w:rsidR="0067749E">
        <w:t>NHPUC</w:t>
      </w:r>
      <w:r>
        <w:t xml:space="preserve"> contends that thousand-block pooling is inefficient in New Hampshire</w:t>
      </w:r>
      <w:r w:rsidR="00F1454A">
        <w:t>,</w:t>
      </w:r>
      <w:r>
        <w:rPr>
          <w:rStyle w:val="FootnoteReference"/>
        </w:rPr>
        <w:footnoteReference w:id="6"/>
      </w:r>
      <w:r w:rsidR="00F1454A">
        <w:t xml:space="preserve"> and</w:t>
      </w:r>
      <w:r w:rsidR="00C250CF">
        <w:t xml:space="preserve"> hastens exhaust</w:t>
      </w:r>
      <w:r w:rsidR="003450F7">
        <w:t xml:space="preserve"> of the 603 area code,</w:t>
      </w:r>
      <w:r>
        <w:rPr>
          <w:rStyle w:val="FootnoteReference"/>
        </w:rPr>
        <w:footnoteReference w:id="7"/>
      </w:r>
      <w:r w:rsidR="003450F7">
        <w:t xml:space="preserve"> which </w:t>
      </w:r>
      <w:r w:rsidR="0067749E">
        <w:t xml:space="preserve">it </w:t>
      </w:r>
      <w:r w:rsidR="003450F7">
        <w:t>describes as “closely linked in the public mind with the state</w:t>
      </w:r>
      <w:r w:rsidR="00F1454A">
        <w:t>.</w:t>
      </w:r>
      <w:r>
        <w:t>”</w:t>
      </w:r>
      <w:r>
        <w:rPr>
          <w:rStyle w:val="FootnoteReference"/>
        </w:rPr>
        <w:footnoteReference w:id="8"/>
      </w:r>
      <w:r w:rsidR="003450F7">
        <w:t xml:space="preserve"> </w:t>
      </w:r>
      <w:r w:rsidR="00731E6D">
        <w:t xml:space="preserve"> </w:t>
      </w:r>
      <w:r w:rsidR="0067749E">
        <w:t xml:space="preserve">The </w:t>
      </w:r>
      <w:r w:rsidR="00322BEE">
        <w:t xml:space="preserve">NHPUC </w:t>
      </w:r>
      <w:r w:rsidR="006C3E71">
        <w:t>believ</w:t>
      </w:r>
      <w:r w:rsidR="00322BEE">
        <w:t>es that a trial implementing individual telephone number pooling would have an immediate impact on the efficient use of numbers</w:t>
      </w:r>
      <w:r>
        <w:t xml:space="preserve">; allow </w:t>
      </w:r>
      <w:r w:rsidR="003E02DA">
        <w:t>the unfettered assignment of numbers to all users;</w:t>
      </w:r>
      <w:r w:rsidR="006C3E71">
        <w:t xml:space="preserve"> and forestall the premature exhaust of the </w:t>
      </w:r>
      <w:r w:rsidR="00AC6BDB">
        <w:t xml:space="preserve">numbers in the 603 </w:t>
      </w:r>
      <w:r w:rsidR="006C3E71">
        <w:t>code, thereby delaying the introduction of a new area code for the state.</w:t>
      </w:r>
      <w:r>
        <w:rPr>
          <w:rStyle w:val="FootnoteReference"/>
        </w:rPr>
        <w:footnoteReference w:id="9"/>
      </w:r>
      <w:r w:rsidR="00322BEE">
        <w:t xml:space="preserve"> </w:t>
      </w:r>
    </w:p>
    <w:p w:rsidR="002729D6" w:rsidP="00A11D0F">
      <w:pPr>
        <w:widowControl/>
        <w:ind w:firstLine="720"/>
      </w:pPr>
      <w:r>
        <w:t xml:space="preserve">Pursuant to section 1.419 of the Commission’s rules, 47 CFR § 1.419, interested parties may file comments and reply comments on or before the dates indicated above.  </w:t>
      </w:r>
      <w:r>
        <w:rPr>
          <w:rFonts w:eastAsia="Calibri"/>
        </w:rPr>
        <w:t>All filings should refer to CC Docket No.</w:t>
      </w:r>
      <w:r w:rsidR="00FC26B2">
        <w:rPr>
          <w:rFonts w:eastAsia="Calibri"/>
        </w:rPr>
        <w:t xml:space="preserve"> 99-200</w:t>
      </w:r>
      <w:r>
        <w:rPr>
          <w:rFonts w:eastAsia="Calibri"/>
        </w:rPr>
        <w:t xml:space="preserve">.  Filings must be addressed to the Commission’s Secretary, Office of the Secretary, Federal Communications Commission.  </w:t>
      </w:r>
      <w:r>
        <w:t xml:space="preserve">Comments may be filed by paper or by using the Commission’s </w:t>
      </w:r>
      <w:r>
        <w:t xml:space="preserve">Electronic Comment Filing System (ECFS).  </w:t>
      </w:r>
      <w:r>
        <w:rPr>
          <w:i/>
        </w:rPr>
        <w:t>See Electronic Filing of Documents in Rulemaking Proceedings</w:t>
      </w:r>
      <w:r>
        <w:t>, 63 FR 24121 (1998).</w:t>
      </w:r>
    </w:p>
    <w:p w:rsidR="00A11D0F" w:rsidP="00A11D0F">
      <w:pPr>
        <w:widowControl/>
        <w:ind w:firstLine="720"/>
      </w:pPr>
      <w:bookmarkStart w:id="1" w:name="_GoBack"/>
      <w:bookmarkEnd w:id="1"/>
    </w:p>
    <w:p w:rsidR="0078688C" w:rsidRPr="0078688C" w:rsidP="0078688C">
      <w:pPr>
        <w:widowControl/>
        <w:numPr>
          <w:ilvl w:val="0"/>
          <w:numId w:val="7"/>
        </w:numPr>
        <w:spacing w:after="120"/>
        <w:rPr>
          <w:rFonts w:eastAsia="Calibri"/>
          <w:szCs w:val="22"/>
        </w:rPr>
      </w:pPr>
      <w:r>
        <w:rPr>
          <w:rFonts w:eastAsia="Calibri"/>
          <w:szCs w:val="22"/>
        </w:rPr>
        <w:t xml:space="preserve">Electronic Filers:  Comments and replies may be filed electronically via </w:t>
      </w:r>
      <w:r>
        <w:rPr>
          <w:rFonts w:eastAsia="Calibri"/>
          <w:color w:val="000000"/>
          <w:szCs w:val="22"/>
        </w:rPr>
        <w:t>ECFS</w:t>
      </w:r>
      <w:r>
        <w:rPr>
          <w:rFonts w:eastAsia="Calibri"/>
          <w:szCs w:val="22"/>
        </w:rPr>
        <w:t xml:space="preserve">: </w:t>
      </w:r>
      <w:hyperlink r:id="rId5" w:history="1">
        <w:r>
          <w:rPr>
            <w:rStyle w:val="Hyperlink"/>
            <w:szCs w:val="22"/>
          </w:rPr>
          <w:t>http://apps.fcc.gov/ecfs</w:t>
        </w:r>
      </w:hyperlink>
      <w:r>
        <w:rPr>
          <w:rFonts w:eastAsia="Calibri"/>
          <w:szCs w:val="22"/>
        </w:rPr>
        <w:t>.</w:t>
      </w:r>
    </w:p>
    <w:p w:rsidR="0078688C" w:rsidP="0078688C">
      <w:pPr>
        <w:widowControl/>
        <w:numPr>
          <w:ilvl w:val="0"/>
          <w:numId w:val="7"/>
        </w:numPr>
        <w:spacing w:after="120"/>
        <w:rPr>
          <w:rFonts w:eastAsia="Calibri"/>
          <w:szCs w:val="22"/>
        </w:rPr>
      </w:pPr>
      <w:r>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78688C" w:rsidP="0078688C">
      <w:pPr>
        <w:keepNext/>
        <w:widowControl/>
        <w:numPr>
          <w:ilvl w:val="0"/>
          <w:numId w:val="8"/>
        </w:numPr>
        <w:spacing w:after="120"/>
        <w:ind w:left="1080"/>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78688C" w:rsidRPr="009912F2" w:rsidP="0078688C">
      <w:pPr>
        <w:keepNext/>
        <w:widowControl/>
        <w:numPr>
          <w:ilvl w:val="0"/>
          <w:numId w:val="8"/>
        </w:numPr>
        <w:spacing w:after="120"/>
        <w:ind w:left="1080"/>
        <w:rPr>
          <w:rFonts w:eastAsia="Calibri"/>
          <w:szCs w:val="22"/>
        </w:rPr>
      </w:pPr>
      <w:r w:rsidRPr="009912F2">
        <w:rPr>
          <w:rFonts w:eastAsia="Calibri"/>
          <w:szCs w:val="22"/>
        </w:rPr>
        <w:t>Commercial overnight mail (other than U.S. Postal Service Express Mail and Priority Mail) must be sent to 9050 Junction Drive, Annapolis Junction, MD 20701.</w:t>
      </w:r>
    </w:p>
    <w:p w:rsidR="0078688C" w:rsidP="0078688C">
      <w:pPr>
        <w:widowControl/>
        <w:numPr>
          <w:ilvl w:val="0"/>
          <w:numId w:val="8"/>
        </w:numPr>
        <w:spacing w:after="120"/>
        <w:ind w:left="1080"/>
        <w:rPr>
          <w:rFonts w:eastAsia="Calibri"/>
          <w:szCs w:val="22"/>
        </w:rPr>
      </w:pPr>
      <w:r>
        <w:rPr>
          <w:rFonts w:eastAsia="Calibri"/>
          <w:szCs w:val="22"/>
        </w:rPr>
        <w:t>U.S. Postal Service first-class, Express, and Priority mail must be addressed to 445 12th Street, SW, Washington, DC 20554.</w:t>
      </w:r>
    </w:p>
    <w:p w:rsidR="0078688C" w:rsidP="0078688C">
      <w:pPr>
        <w:spacing w:after="120"/>
        <w:ind w:firstLine="720"/>
        <w:rPr>
          <w:rFonts w:eastAsia="Calibri"/>
          <w:szCs w:val="22"/>
        </w:rPr>
      </w:pPr>
      <w:r>
        <w:rPr>
          <w:rFonts w:eastAsia="Calibri"/>
          <w:szCs w:val="22"/>
        </w:rPr>
        <w:t xml:space="preserve">People with Disabilities:  To request materials in accessible formats for people with disabilities (Braille, large print, electronic files, audio format), send an e-mail to </w:t>
      </w:r>
      <w:hyperlink r:id="rId6" w:history="1">
        <w:r>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09300D" w:rsidRPr="0009300D" w:rsidP="0009300D">
      <w:pPr>
        <w:spacing w:after="120"/>
        <w:ind w:firstLine="720"/>
      </w:pPr>
      <w:r w:rsidRPr="0009300D">
        <w:t>Proceeding CC Docket No. 9</w:t>
      </w:r>
      <w:r w:rsidR="00E92961">
        <w:t>9</w:t>
      </w:r>
      <w:r w:rsidRPr="0009300D">
        <w:t>-</w:t>
      </w:r>
      <w:r w:rsidR="00E92961">
        <w:t>200</w:t>
      </w:r>
      <w:r w:rsidRPr="0009300D">
        <w:t xml:space="preserve"> ha</w:t>
      </w:r>
      <w:r w:rsidR="00E92961">
        <w:t>s</w:t>
      </w:r>
      <w:r w:rsidRPr="0009300D">
        <w:t xml:space="preserve"> been designated as a “permit-but-disclose” proceeding in accordance with the Commission's </w:t>
      </w:r>
      <w:r w:rsidRPr="0009300D">
        <w:rPr>
          <w:i/>
        </w:rPr>
        <w:t>ex parte</w:t>
      </w:r>
      <w:r w:rsidRPr="0009300D">
        <w:t xml:space="preserve"> rules.</w:t>
      </w:r>
      <w:r>
        <w:rPr>
          <w:vertAlign w:val="superscript"/>
        </w:rPr>
        <w:footnoteReference w:id="10"/>
      </w:r>
      <w:r w:rsidRPr="0009300D">
        <w:t xml:space="preserve">  Persons making </w:t>
      </w:r>
      <w:r w:rsidRPr="0009300D">
        <w:rPr>
          <w:i/>
        </w:rPr>
        <w:t>ex parte</w:t>
      </w:r>
      <w:r w:rsidRPr="0009300D">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300D">
        <w:rPr>
          <w:i/>
        </w:rPr>
        <w:t>ex parte</w:t>
      </w:r>
      <w:r w:rsidRPr="0009300D">
        <w:t xml:space="preserve"> presentations are reminded that memoranda summarizing the presentation must (1) list all persons attending or otherwise participating in the meeting at which the </w:t>
      </w:r>
      <w:r w:rsidRPr="0009300D">
        <w:rPr>
          <w:i/>
        </w:rPr>
        <w:t>ex parte</w:t>
      </w:r>
      <w:r w:rsidRPr="0009300D">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300D">
        <w:rPr>
          <w:i/>
        </w:rPr>
        <w:t>ex parte</w:t>
      </w:r>
      <w:r w:rsidRPr="0009300D">
        <w:t xml:space="preserve"> meetings are deemed to be written </w:t>
      </w:r>
      <w:r w:rsidRPr="0009300D">
        <w:rPr>
          <w:i/>
        </w:rPr>
        <w:t>ex parte</w:t>
      </w:r>
      <w:r w:rsidRPr="0009300D">
        <w:t xml:space="preserve"> presentations and must be filed consistent with rule 1.1206(b).  In proceedings governed by rule 1.49(f) or for which the Commission has made available a method of electronic filing, written ex parte presentations and memoranda summarizing oral </w:t>
      </w:r>
      <w:r w:rsidRPr="0009300D">
        <w:rPr>
          <w:i/>
        </w:rPr>
        <w:t>ex parte</w:t>
      </w:r>
      <w:r w:rsidRPr="0009300D">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09300D">
        <w:rPr>
          <w:i/>
        </w:rPr>
        <w:t>ex parte</w:t>
      </w:r>
      <w:r w:rsidRPr="0009300D">
        <w:t xml:space="preserve"> rules.</w:t>
      </w:r>
    </w:p>
    <w:p w:rsidR="0078688C" w:rsidP="0078688C">
      <w:pPr>
        <w:spacing w:after="120"/>
        <w:ind w:firstLine="720"/>
        <w:rPr>
          <w:rFonts w:eastAsia="Calibri"/>
          <w:szCs w:val="22"/>
        </w:rPr>
      </w:pPr>
      <w:r>
        <w:rPr>
          <w:rFonts w:eastAsia="Calibri"/>
          <w:szCs w:val="22"/>
        </w:rPr>
        <w:t xml:space="preserve">For further information, please contact </w:t>
      </w:r>
      <w:r w:rsidR="006E2A4B">
        <w:rPr>
          <w:rFonts w:eastAsia="Calibri"/>
          <w:szCs w:val="22"/>
        </w:rPr>
        <w:t>Jordan M. Reth</w:t>
      </w:r>
      <w:r>
        <w:rPr>
          <w:rFonts w:eastAsia="Calibri"/>
          <w:szCs w:val="22"/>
        </w:rPr>
        <w:t>, Competition Policy Division, Wireline Competition Bureau, at (202) 418</w:t>
      </w:r>
      <w:r w:rsidRPr="006E2A4B">
        <w:rPr>
          <w:rFonts w:eastAsia="Calibri"/>
          <w:szCs w:val="22"/>
        </w:rPr>
        <w:t>-</w:t>
      </w:r>
      <w:r w:rsidRPr="006E2A4B" w:rsidR="006E2A4B">
        <w:rPr>
          <w:rFonts w:eastAsia="Calibri"/>
          <w:szCs w:val="22"/>
        </w:rPr>
        <w:t>1418</w:t>
      </w:r>
      <w:r>
        <w:rPr>
          <w:rFonts w:eastAsia="Calibri"/>
          <w:szCs w:val="22"/>
        </w:rPr>
        <w:t xml:space="preserve"> or via email at </w:t>
      </w:r>
      <w:hyperlink r:id="rId7" w:history="1">
        <w:r w:rsidRPr="00BA6732" w:rsidR="006E2A4B">
          <w:rPr>
            <w:rStyle w:val="Hyperlink"/>
          </w:rPr>
          <w:t>jordan.reth@fcc.gov</w:t>
        </w:r>
      </w:hyperlink>
      <w:r>
        <w:t xml:space="preserve">. </w:t>
      </w:r>
    </w:p>
    <w:p w:rsidR="00DB1CE5" w:rsidP="008C6561">
      <w:pPr>
        <w:spacing w:after="120"/>
        <w:jc w:val="center"/>
        <w:rPr>
          <w:rFonts w:eastAsia="Calibri"/>
          <w:b/>
          <w:szCs w:val="22"/>
        </w:rPr>
      </w:pPr>
    </w:p>
    <w:p w:rsidR="00930ECF" w:rsidRPr="00930ECF" w:rsidP="008C6561">
      <w:pPr>
        <w:spacing w:after="120"/>
        <w:jc w:val="center"/>
        <w:rPr>
          <w:sz w:val="24"/>
        </w:rPr>
      </w:pPr>
      <w:r>
        <w:rPr>
          <w:rFonts w:eastAsia="Calibri"/>
          <w:b/>
          <w:szCs w:val="22"/>
        </w:rPr>
        <w:t>- FCC</w:t>
      </w:r>
      <w:bookmarkEnd w:id="0"/>
      <w:r w:rsidR="008C6561">
        <w:rPr>
          <w:rFonts w:eastAsia="Calibri"/>
          <w:b/>
          <w:szCs w:val="22"/>
        </w:rPr>
        <w:t xml:space="preserve"> -</w:t>
      </w: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3A4">
      <w:r>
        <w:separator/>
      </w:r>
    </w:p>
  </w:footnote>
  <w:footnote w:type="continuationSeparator" w:id="1">
    <w:p w:rsidR="00F363A4">
      <w:pPr>
        <w:rPr>
          <w:sz w:val="20"/>
        </w:rPr>
      </w:pPr>
      <w:r>
        <w:rPr>
          <w:sz w:val="20"/>
        </w:rPr>
        <w:t xml:space="preserve">(Continued from previous page)  </w:t>
      </w:r>
      <w:r>
        <w:rPr>
          <w:sz w:val="20"/>
        </w:rPr>
        <w:separator/>
      </w:r>
    </w:p>
  </w:footnote>
  <w:footnote w:type="continuationNotice" w:id="2">
    <w:p w:rsidR="00F363A4" w:rsidP="00910F12">
      <w:pPr>
        <w:jc w:val="right"/>
        <w:rPr>
          <w:sz w:val="20"/>
        </w:rPr>
      </w:pPr>
      <w:r>
        <w:rPr>
          <w:sz w:val="20"/>
        </w:rPr>
        <w:t>(continued….)</w:t>
      </w:r>
    </w:p>
  </w:footnote>
  <w:footnote w:id="3">
    <w:p w:rsidR="00711DCB" w:rsidRPr="00AF33D9">
      <w:pPr>
        <w:pStyle w:val="FootnoteText"/>
      </w:pPr>
      <w:r w:rsidRPr="00AF33D9">
        <w:rPr>
          <w:rStyle w:val="FootnoteReference"/>
          <w:sz w:val="20"/>
        </w:rPr>
        <w:footnoteRef/>
      </w:r>
      <w:r w:rsidRPr="00AF33D9">
        <w:t xml:space="preserve"> </w:t>
      </w:r>
      <w:r w:rsidRPr="00AF33D9">
        <w:rPr>
          <w:i/>
        </w:rPr>
        <w:t xml:space="preserve">See generally </w:t>
      </w:r>
      <w:r w:rsidRPr="00AF33D9">
        <w:t>Petition by the New Hampshire Public Utilities Commission for Additional Delegated Authority to Implement Number Optimization Measures in the 603 Area Code, CC Docket No. 99-200 (filed Apr</w:t>
      </w:r>
      <w:r w:rsidRPr="00AF33D9" w:rsidR="0067749E">
        <w:t>.</w:t>
      </w:r>
      <w:r w:rsidRPr="00AF33D9">
        <w:t xml:space="preserve"> 26, 2019) (Petition), </w:t>
      </w:r>
      <w:hyperlink r:id="rId1" w:history="1">
        <w:r w:rsidRPr="00AF33D9" w:rsidR="0009300D">
          <w:rPr>
            <w:rStyle w:val="Hyperlink"/>
          </w:rPr>
          <w:t>https://ecfsapi.fcc.gov/file/10426251258868/20190426-NHPUC-ITN-Petition-to-FCC.pdf</w:t>
        </w:r>
      </w:hyperlink>
      <w:r w:rsidRPr="00AF33D9" w:rsidR="0009300D">
        <w:t>.</w:t>
      </w:r>
    </w:p>
  </w:footnote>
  <w:footnote w:id="4">
    <w:p w:rsidR="007E4202" w:rsidRPr="00AF33D9" w:rsidP="007E4202">
      <w:pPr>
        <w:widowControl/>
        <w:autoSpaceDE w:val="0"/>
        <w:autoSpaceDN w:val="0"/>
        <w:adjustRightInd w:val="0"/>
        <w:spacing w:after="120"/>
        <w:rPr>
          <w:sz w:val="20"/>
        </w:rPr>
      </w:pPr>
      <w:r w:rsidRPr="00AF33D9">
        <w:rPr>
          <w:rStyle w:val="FootnoteReference"/>
          <w:sz w:val="20"/>
        </w:rPr>
        <w:footnoteRef/>
      </w:r>
      <w:r w:rsidRPr="00AF33D9">
        <w:rPr>
          <w:sz w:val="20"/>
        </w:rPr>
        <w:t xml:space="preserve"> </w:t>
      </w:r>
      <w:r w:rsidRPr="00AF33D9" w:rsidR="008B29B1">
        <w:rPr>
          <w:i/>
          <w:sz w:val="20"/>
        </w:rPr>
        <w:t>See</w:t>
      </w:r>
      <w:r w:rsidRPr="00AF33D9" w:rsidR="006A2B92">
        <w:rPr>
          <w:i/>
          <w:sz w:val="20"/>
        </w:rPr>
        <w:t xml:space="preserve"> generally</w:t>
      </w:r>
      <w:r w:rsidRPr="00AF33D9" w:rsidR="008B29B1">
        <w:rPr>
          <w:i/>
          <w:sz w:val="20"/>
        </w:rPr>
        <w:t xml:space="preserve"> </w:t>
      </w:r>
      <w:r w:rsidRPr="00AF33D9" w:rsidR="00C35C6A">
        <w:rPr>
          <w:sz w:val="20"/>
        </w:rPr>
        <w:t xml:space="preserve">ATIS, </w:t>
      </w:r>
      <w:r w:rsidRPr="00AF33D9" w:rsidR="008B29B1">
        <w:rPr>
          <w:sz w:val="20"/>
        </w:rPr>
        <w:t>Initial Report to the North American Numbering Council (NANC) on Number Pooling</w:t>
      </w:r>
      <w:r w:rsidRPr="00AF33D9" w:rsidR="006A2B92">
        <w:rPr>
          <w:sz w:val="20"/>
        </w:rPr>
        <w:t xml:space="preserve"> </w:t>
      </w:r>
      <w:r w:rsidRPr="00AF33D9" w:rsidR="008B29B1">
        <w:rPr>
          <w:sz w:val="20"/>
        </w:rPr>
        <w:t>(1997)</w:t>
      </w:r>
      <w:r w:rsidRPr="00AF33D9" w:rsidR="00B05569">
        <w:rPr>
          <w:sz w:val="20"/>
        </w:rPr>
        <w:t xml:space="preserve">, </w:t>
      </w:r>
      <w:hyperlink r:id="rId2" w:history="1">
        <w:r w:rsidRPr="00AF33D9" w:rsidR="00B05569">
          <w:rPr>
            <w:rStyle w:val="Hyperlink"/>
            <w:sz w:val="20"/>
          </w:rPr>
          <w:t>https://access.atis.org/apps/group_public/download.php/46538/ATIS-0300063(1997-12).pdf</w:t>
        </w:r>
      </w:hyperlink>
      <w:r w:rsidRPr="00AF33D9" w:rsidR="00245B69">
        <w:rPr>
          <w:sz w:val="20"/>
        </w:rPr>
        <w:t xml:space="preserve">. </w:t>
      </w:r>
      <w:r w:rsidRPr="00AF33D9" w:rsidR="00263ECD">
        <w:rPr>
          <w:sz w:val="20"/>
        </w:rPr>
        <w:t xml:space="preserve">Unlike block number pooling, </w:t>
      </w:r>
      <w:r w:rsidRPr="00AF33D9" w:rsidR="00263ECD">
        <w:rPr>
          <w:snapToGrid/>
          <w:kern w:val="0"/>
          <w:sz w:val="20"/>
        </w:rPr>
        <w:t xml:space="preserve">a process that provides blocks of numbers to individual carriers to hold in inventory until needed, </w:t>
      </w:r>
      <w:r w:rsidRPr="00AF33D9" w:rsidR="00263ECD">
        <w:rPr>
          <w:sz w:val="20"/>
        </w:rPr>
        <w:t>i</w:t>
      </w:r>
      <w:r w:rsidRPr="00AF33D9">
        <w:rPr>
          <w:sz w:val="20"/>
        </w:rPr>
        <w:t>ndividual telephone number pooling is a process by which numbers are taken from a pool available to all carriers</w:t>
      </w:r>
      <w:r w:rsidRPr="00AF33D9" w:rsidR="00263ECD">
        <w:rPr>
          <w:sz w:val="20"/>
        </w:rPr>
        <w:t xml:space="preserve">. </w:t>
      </w:r>
    </w:p>
  </w:footnote>
  <w:footnote w:id="5">
    <w:p w:rsidR="00547D75" w:rsidRPr="00AF33D9">
      <w:pPr>
        <w:pStyle w:val="FootnoteText"/>
      </w:pPr>
      <w:r w:rsidRPr="00AF33D9">
        <w:rPr>
          <w:rStyle w:val="FootnoteReference"/>
          <w:sz w:val="20"/>
        </w:rPr>
        <w:footnoteRef/>
      </w:r>
      <w:r w:rsidRPr="00AF33D9">
        <w:t xml:space="preserve"> </w:t>
      </w:r>
      <w:r w:rsidRPr="00AF33D9">
        <w:rPr>
          <w:i/>
        </w:rPr>
        <w:t xml:space="preserve">See </w:t>
      </w:r>
      <w:r w:rsidRPr="00AF33D9">
        <w:t>Petition at 2.</w:t>
      </w:r>
    </w:p>
  </w:footnote>
  <w:footnote w:id="6">
    <w:p w:rsidR="009D7A40" w:rsidRPr="00AF33D9">
      <w:pPr>
        <w:pStyle w:val="FootnoteText"/>
      </w:pPr>
      <w:r w:rsidRPr="00AF33D9">
        <w:rPr>
          <w:rStyle w:val="FootnoteReference"/>
          <w:sz w:val="20"/>
        </w:rPr>
        <w:footnoteRef/>
      </w:r>
      <w:r w:rsidRPr="00AF33D9">
        <w:t xml:space="preserve"> </w:t>
      </w:r>
      <w:r w:rsidRPr="00AF33D9">
        <w:rPr>
          <w:i/>
        </w:rPr>
        <w:t xml:space="preserve">See </w:t>
      </w:r>
      <w:r w:rsidRPr="00AF33D9" w:rsidR="006C3E71">
        <w:rPr>
          <w:i/>
        </w:rPr>
        <w:t>id</w:t>
      </w:r>
      <w:r w:rsidRPr="00AF33D9" w:rsidR="006C3E71">
        <w:t xml:space="preserve">. </w:t>
      </w:r>
      <w:r w:rsidRPr="00AF33D9">
        <w:t>at 2, 3, and 6.</w:t>
      </w:r>
    </w:p>
  </w:footnote>
  <w:footnote w:id="7">
    <w:p w:rsidR="003450F7" w:rsidRPr="00AF33D9">
      <w:pPr>
        <w:pStyle w:val="FootnoteText"/>
      </w:pPr>
      <w:r w:rsidRPr="00AF33D9">
        <w:rPr>
          <w:rStyle w:val="FootnoteReference"/>
          <w:sz w:val="20"/>
        </w:rPr>
        <w:footnoteRef/>
      </w:r>
      <w:r w:rsidRPr="00AF33D9">
        <w:t xml:space="preserve"> </w:t>
      </w:r>
      <w:r w:rsidRPr="00AF33D9">
        <w:rPr>
          <w:i/>
        </w:rPr>
        <w:t xml:space="preserve">See </w:t>
      </w:r>
      <w:r w:rsidRPr="00AF33D9" w:rsidR="006C3E71">
        <w:rPr>
          <w:i/>
        </w:rPr>
        <w:t xml:space="preserve">id. </w:t>
      </w:r>
      <w:r w:rsidRPr="00AF33D9" w:rsidR="007C7540">
        <w:t xml:space="preserve">at </w:t>
      </w:r>
      <w:r w:rsidRPr="00AF33D9">
        <w:t xml:space="preserve">4 and 7. </w:t>
      </w:r>
    </w:p>
  </w:footnote>
  <w:footnote w:id="8">
    <w:p w:rsidR="003450F7" w:rsidRPr="00AF33D9">
      <w:pPr>
        <w:pStyle w:val="FootnoteText"/>
      </w:pPr>
      <w:r w:rsidRPr="00AF33D9">
        <w:rPr>
          <w:rStyle w:val="FootnoteReference"/>
          <w:sz w:val="20"/>
        </w:rPr>
        <w:footnoteRef/>
      </w:r>
      <w:r w:rsidRPr="00AF33D9">
        <w:t xml:space="preserve"> </w:t>
      </w:r>
      <w:r w:rsidRPr="00AF33D9">
        <w:rPr>
          <w:i/>
        </w:rPr>
        <w:t xml:space="preserve">See </w:t>
      </w:r>
      <w:r w:rsidRPr="00AF33D9" w:rsidR="006C3E71">
        <w:rPr>
          <w:i/>
        </w:rPr>
        <w:t xml:space="preserve">id. </w:t>
      </w:r>
      <w:r w:rsidRPr="00AF33D9" w:rsidR="007C7540">
        <w:t xml:space="preserve">at </w:t>
      </w:r>
      <w:r w:rsidRPr="00AF33D9">
        <w:t>6 and 7.</w:t>
      </w:r>
    </w:p>
  </w:footnote>
  <w:footnote w:id="9">
    <w:p w:rsidR="006C3E71" w:rsidRPr="00AF33D9">
      <w:pPr>
        <w:pStyle w:val="FootnoteText"/>
      </w:pPr>
      <w:r w:rsidRPr="00AF33D9">
        <w:rPr>
          <w:rStyle w:val="FootnoteReference"/>
          <w:sz w:val="20"/>
        </w:rPr>
        <w:footnoteRef/>
      </w:r>
      <w:r w:rsidRPr="00AF33D9">
        <w:t xml:space="preserve"> </w:t>
      </w:r>
      <w:r w:rsidRPr="00AF33D9">
        <w:rPr>
          <w:i/>
        </w:rPr>
        <w:t>See id</w:t>
      </w:r>
      <w:r w:rsidRPr="00AF33D9">
        <w:t>. at 4.</w:t>
      </w:r>
    </w:p>
  </w:footnote>
  <w:footnote w:id="10">
    <w:p w:rsidR="0009300D" w:rsidRPr="00AF33D9" w:rsidP="0009300D">
      <w:pPr>
        <w:pStyle w:val="FootnoteText"/>
      </w:pPr>
      <w:r w:rsidRPr="00AF33D9">
        <w:rPr>
          <w:rStyle w:val="FootnoteReference"/>
          <w:sz w:val="20"/>
        </w:rPr>
        <w:footnoteRef/>
      </w:r>
      <w:r w:rsidRPr="00AF33D9">
        <w:t xml:space="preserve"> </w:t>
      </w:r>
      <w:r w:rsidRPr="00AF33D9">
        <w:rPr>
          <w:i/>
        </w:rPr>
        <w:t>See</w:t>
      </w:r>
      <w:r w:rsidRPr="00AF33D9">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 xml:space="preserve">DA </w:t>
    </w:r>
    <w:r w:rsidR="006C3E71">
      <w:rPr>
        <w:b/>
      </w:rPr>
      <w:t>19</w:t>
    </w:r>
    <w:r>
      <w:rPr>
        <w:b/>
      </w:rPr>
      <w:t>-</w:t>
    </w:r>
    <w:r w:rsidR="008340B2">
      <w:rPr>
        <w:b/>
      </w:rPr>
      <w:t>495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56143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2F"/>
    <w:rsid w:val="0009300D"/>
    <w:rsid w:val="00104AEE"/>
    <w:rsid w:val="001E5638"/>
    <w:rsid w:val="00245B69"/>
    <w:rsid w:val="00263ECD"/>
    <w:rsid w:val="002729D6"/>
    <w:rsid w:val="002B0DCA"/>
    <w:rsid w:val="00322BEE"/>
    <w:rsid w:val="003450F7"/>
    <w:rsid w:val="00357D50"/>
    <w:rsid w:val="003963BB"/>
    <w:rsid w:val="003E02DA"/>
    <w:rsid w:val="004005B5"/>
    <w:rsid w:val="004C63A2"/>
    <w:rsid w:val="00547D75"/>
    <w:rsid w:val="0055614C"/>
    <w:rsid w:val="005B2FCF"/>
    <w:rsid w:val="006118C0"/>
    <w:rsid w:val="006273C7"/>
    <w:rsid w:val="00647295"/>
    <w:rsid w:val="0067749E"/>
    <w:rsid w:val="006A2B92"/>
    <w:rsid w:val="006C3E71"/>
    <w:rsid w:val="006E2A4B"/>
    <w:rsid w:val="006E3981"/>
    <w:rsid w:val="006F50B8"/>
    <w:rsid w:val="006F7393"/>
    <w:rsid w:val="007004CA"/>
    <w:rsid w:val="00711DCB"/>
    <w:rsid w:val="00731E6D"/>
    <w:rsid w:val="0078688C"/>
    <w:rsid w:val="007B0698"/>
    <w:rsid w:val="007C7540"/>
    <w:rsid w:val="007E4202"/>
    <w:rsid w:val="008079F4"/>
    <w:rsid w:val="008340B2"/>
    <w:rsid w:val="008B29B1"/>
    <w:rsid w:val="008C6561"/>
    <w:rsid w:val="008D0C2F"/>
    <w:rsid w:val="008E13A8"/>
    <w:rsid w:val="00910F12"/>
    <w:rsid w:val="00930ECF"/>
    <w:rsid w:val="009838BC"/>
    <w:rsid w:val="009912F2"/>
    <w:rsid w:val="009B3F9C"/>
    <w:rsid w:val="009D7A40"/>
    <w:rsid w:val="00A11D0F"/>
    <w:rsid w:val="00A866AC"/>
    <w:rsid w:val="00AC6BDB"/>
    <w:rsid w:val="00AF33D9"/>
    <w:rsid w:val="00B05569"/>
    <w:rsid w:val="00B15332"/>
    <w:rsid w:val="00B425D9"/>
    <w:rsid w:val="00B92F1C"/>
    <w:rsid w:val="00BA6732"/>
    <w:rsid w:val="00BB2CE4"/>
    <w:rsid w:val="00BF3E03"/>
    <w:rsid w:val="00C16274"/>
    <w:rsid w:val="00C250CF"/>
    <w:rsid w:val="00C35C6A"/>
    <w:rsid w:val="00C53304"/>
    <w:rsid w:val="00CA7E91"/>
    <w:rsid w:val="00D04034"/>
    <w:rsid w:val="00D216CD"/>
    <w:rsid w:val="00D43902"/>
    <w:rsid w:val="00D77CB7"/>
    <w:rsid w:val="00D95972"/>
    <w:rsid w:val="00DB1CE5"/>
    <w:rsid w:val="00E16C7A"/>
    <w:rsid w:val="00E277D9"/>
    <w:rsid w:val="00E832CD"/>
    <w:rsid w:val="00E846FC"/>
    <w:rsid w:val="00E92961"/>
    <w:rsid w:val="00ED3DCC"/>
    <w:rsid w:val="00F1454A"/>
    <w:rsid w:val="00F363A4"/>
    <w:rsid w:val="00F9498F"/>
    <w:rsid w:val="00FA4915"/>
    <w:rsid w:val="00FC26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F413912-C8BF-4F0D-BBC5-9B4A9B77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3D9"/>
    <w:pPr>
      <w:widowControl w:val="0"/>
    </w:pPr>
    <w:rPr>
      <w:snapToGrid w:val="0"/>
      <w:kern w:val="28"/>
      <w:sz w:val="22"/>
    </w:rPr>
  </w:style>
  <w:style w:type="paragraph" w:styleId="Heading1">
    <w:name w:val="heading 1"/>
    <w:basedOn w:val="Normal"/>
    <w:next w:val="ParaNum"/>
    <w:qFormat/>
    <w:rsid w:val="00AF33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F33D9"/>
    <w:pPr>
      <w:keepNext/>
      <w:numPr>
        <w:ilvl w:val="1"/>
        <w:numId w:val="3"/>
      </w:numPr>
      <w:spacing w:after="120"/>
      <w:outlineLvl w:val="1"/>
    </w:pPr>
    <w:rPr>
      <w:b/>
    </w:rPr>
  </w:style>
  <w:style w:type="paragraph" w:styleId="Heading3">
    <w:name w:val="heading 3"/>
    <w:basedOn w:val="Normal"/>
    <w:next w:val="ParaNum"/>
    <w:qFormat/>
    <w:rsid w:val="00AF33D9"/>
    <w:pPr>
      <w:keepNext/>
      <w:numPr>
        <w:ilvl w:val="2"/>
        <w:numId w:val="3"/>
      </w:numPr>
      <w:tabs>
        <w:tab w:val="left" w:pos="2160"/>
      </w:tabs>
      <w:spacing w:after="120"/>
      <w:outlineLvl w:val="2"/>
    </w:pPr>
    <w:rPr>
      <w:b/>
    </w:rPr>
  </w:style>
  <w:style w:type="paragraph" w:styleId="Heading4">
    <w:name w:val="heading 4"/>
    <w:basedOn w:val="Normal"/>
    <w:next w:val="ParaNum"/>
    <w:qFormat/>
    <w:rsid w:val="00AF33D9"/>
    <w:pPr>
      <w:keepNext/>
      <w:numPr>
        <w:ilvl w:val="3"/>
        <w:numId w:val="3"/>
      </w:numPr>
      <w:tabs>
        <w:tab w:val="left" w:pos="2880"/>
      </w:tabs>
      <w:spacing w:after="120"/>
      <w:outlineLvl w:val="3"/>
    </w:pPr>
    <w:rPr>
      <w:b/>
    </w:rPr>
  </w:style>
  <w:style w:type="paragraph" w:styleId="Heading5">
    <w:name w:val="heading 5"/>
    <w:basedOn w:val="Normal"/>
    <w:next w:val="ParaNum"/>
    <w:qFormat/>
    <w:rsid w:val="00AF33D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F33D9"/>
    <w:pPr>
      <w:numPr>
        <w:ilvl w:val="5"/>
        <w:numId w:val="3"/>
      </w:numPr>
      <w:tabs>
        <w:tab w:val="left" w:pos="4320"/>
      </w:tabs>
      <w:spacing w:after="120"/>
      <w:outlineLvl w:val="5"/>
    </w:pPr>
    <w:rPr>
      <w:b/>
    </w:rPr>
  </w:style>
  <w:style w:type="paragraph" w:styleId="Heading7">
    <w:name w:val="heading 7"/>
    <w:basedOn w:val="Normal"/>
    <w:next w:val="ParaNum"/>
    <w:qFormat/>
    <w:rsid w:val="00AF33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33D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F33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F33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F33D9"/>
  </w:style>
  <w:style w:type="paragraph" w:customStyle="1" w:styleId="ParaNum">
    <w:name w:val="ParaNum"/>
    <w:basedOn w:val="Normal"/>
    <w:rsid w:val="00AF33D9"/>
    <w:pPr>
      <w:numPr>
        <w:numId w:val="2"/>
      </w:numPr>
      <w:tabs>
        <w:tab w:val="clear" w:pos="1080"/>
        <w:tab w:val="num" w:pos="1440"/>
      </w:tabs>
      <w:spacing w:after="120"/>
    </w:pPr>
  </w:style>
  <w:style w:type="paragraph" w:styleId="EndnoteText">
    <w:name w:val="endnote text"/>
    <w:basedOn w:val="Normal"/>
    <w:semiHidden/>
    <w:rsid w:val="00AF33D9"/>
    <w:rPr>
      <w:sz w:val="20"/>
    </w:rPr>
  </w:style>
  <w:style w:type="character" w:styleId="EndnoteReference">
    <w:name w:val="endnote reference"/>
    <w:semiHidden/>
    <w:rsid w:val="00AF33D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AF33D9"/>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F33D9"/>
    <w:rPr>
      <w:rFonts w:ascii="Times New Roman" w:hAnsi="Times New Roman"/>
      <w:dstrike w:val="0"/>
      <w:color w:val="auto"/>
      <w:sz w:val="22"/>
      <w:vertAlign w:val="superscript"/>
    </w:rPr>
  </w:style>
  <w:style w:type="paragraph" w:styleId="TOC1">
    <w:name w:val="toc 1"/>
    <w:basedOn w:val="Normal"/>
    <w:next w:val="Normal"/>
    <w:uiPriority w:val="39"/>
    <w:rsid w:val="00AF33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F33D9"/>
    <w:pPr>
      <w:tabs>
        <w:tab w:val="left" w:pos="720"/>
        <w:tab w:val="right" w:leader="dot" w:pos="9360"/>
      </w:tabs>
      <w:suppressAutoHyphens/>
      <w:ind w:left="720" w:right="720" w:hanging="360"/>
    </w:pPr>
    <w:rPr>
      <w:noProof/>
    </w:rPr>
  </w:style>
  <w:style w:type="paragraph" w:styleId="TOC3">
    <w:name w:val="toc 3"/>
    <w:basedOn w:val="Normal"/>
    <w:next w:val="Normal"/>
    <w:semiHidden/>
    <w:rsid w:val="00AF33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33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33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33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33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33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33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33D9"/>
    <w:pPr>
      <w:tabs>
        <w:tab w:val="right" w:pos="9360"/>
      </w:tabs>
      <w:suppressAutoHyphens/>
    </w:pPr>
  </w:style>
  <w:style w:type="character" w:customStyle="1" w:styleId="EquationCaption">
    <w:name w:val="_Equation Caption"/>
    <w:rsid w:val="00AF33D9"/>
  </w:style>
  <w:style w:type="paragraph" w:styleId="Header">
    <w:name w:val="header"/>
    <w:basedOn w:val="Normal"/>
    <w:autoRedefine/>
    <w:rsid w:val="00AF33D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F33D9"/>
    <w:pPr>
      <w:tabs>
        <w:tab w:val="center" w:pos="4320"/>
        <w:tab w:val="right" w:pos="8640"/>
      </w:tabs>
    </w:pPr>
  </w:style>
  <w:style w:type="character" w:styleId="PageNumber">
    <w:name w:val="page number"/>
    <w:basedOn w:val="DefaultParagraphFont"/>
    <w:rsid w:val="00AF33D9"/>
  </w:style>
  <w:style w:type="paragraph" w:styleId="BlockText">
    <w:name w:val="Block Text"/>
    <w:basedOn w:val="Normal"/>
    <w:rsid w:val="00AF33D9"/>
    <w:pPr>
      <w:spacing w:after="240"/>
      <w:ind w:left="1440" w:right="1440"/>
    </w:pPr>
  </w:style>
  <w:style w:type="paragraph" w:customStyle="1" w:styleId="Paratitle">
    <w:name w:val="Para title"/>
    <w:basedOn w:val="Normal"/>
    <w:rsid w:val="00AF33D9"/>
    <w:pPr>
      <w:tabs>
        <w:tab w:val="center" w:pos="9270"/>
      </w:tabs>
      <w:spacing w:after="240"/>
    </w:pPr>
    <w:rPr>
      <w:spacing w:val="-2"/>
    </w:rPr>
  </w:style>
  <w:style w:type="paragraph" w:customStyle="1" w:styleId="Bullet">
    <w:name w:val="Bullet"/>
    <w:basedOn w:val="Normal"/>
    <w:rsid w:val="00AF33D9"/>
    <w:pPr>
      <w:numPr>
        <w:numId w:val="1"/>
      </w:numPr>
      <w:tabs>
        <w:tab w:val="clear" w:pos="360"/>
        <w:tab w:val="left" w:pos="2160"/>
      </w:tabs>
      <w:spacing w:after="220"/>
      <w:ind w:left="2160" w:hanging="720"/>
    </w:pPr>
  </w:style>
  <w:style w:type="paragraph" w:customStyle="1" w:styleId="TableFormat">
    <w:name w:val="TableFormat"/>
    <w:basedOn w:val="Bullet"/>
    <w:rsid w:val="00AF33D9"/>
    <w:pPr>
      <w:numPr>
        <w:numId w:val="0"/>
      </w:numPr>
      <w:tabs>
        <w:tab w:val="clear" w:pos="2160"/>
        <w:tab w:val="left" w:pos="5040"/>
      </w:tabs>
      <w:ind w:left="5040" w:hanging="3600"/>
    </w:pPr>
  </w:style>
  <w:style w:type="paragraph" w:customStyle="1" w:styleId="TOCTitle">
    <w:name w:val="TOC Title"/>
    <w:basedOn w:val="Normal"/>
    <w:rsid w:val="00AF33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33D9"/>
    <w:pPr>
      <w:jc w:val="center"/>
    </w:pPr>
    <w:rPr>
      <w:rFonts w:ascii="Times New Roman Bold" w:hAnsi="Times New Roman Bold"/>
      <w:b/>
      <w:bCs/>
      <w:caps/>
      <w:szCs w:val="22"/>
    </w:rPr>
  </w:style>
  <w:style w:type="character" w:styleId="Hyperlink">
    <w:name w:val="Hyperlink"/>
    <w:rsid w:val="00AF33D9"/>
    <w:rPr>
      <w:color w:val="0000FF"/>
      <w:u w:val="single"/>
    </w:rPr>
  </w:style>
  <w:style w:type="character" w:customStyle="1" w:styleId="FooterChar">
    <w:name w:val="Footer Char"/>
    <w:link w:val="Footer"/>
    <w:uiPriority w:val="99"/>
    <w:rsid w:val="00AF33D9"/>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78688C"/>
  </w:style>
  <w:style w:type="character" w:customStyle="1" w:styleId="UnresolvedMention">
    <w:name w:val="Unresolved Mention"/>
    <w:basedOn w:val="DefaultParagraphFont"/>
    <w:uiPriority w:val="99"/>
    <w:rsid w:val="00D43902"/>
    <w:rPr>
      <w:color w:val="605E5C"/>
      <w:shd w:val="clear" w:color="auto" w:fill="E1DFDD"/>
    </w:rPr>
  </w:style>
  <w:style w:type="paragraph" w:styleId="BalloonText">
    <w:name w:val="Balloon Text"/>
    <w:basedOn w:val="Normal"/>
    <w:link w:val="BalloonTextChar"/>
    <w:uiPriority w:val="99"/>
    <w:semiHidden/>
    <w:unhideWhenUsed/>
    <w:rsid w:val="00BB2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E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jordan.re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26251258868/20190426-NHPUC-ITN-Petition-to-FCC.pdf" TargetMode="External" /><Relationship Id="rId2" Type="http://schemas.openxmlformats.org/officeDocument/2006/relationships/hyperlink" Target="https://access.atis.org/apps/group_public/download.php/46538/ATIS-0300063(1997-12).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