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0314E7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9B7788" w14:textId="77777777">
      <w:pPr>
        <w:pStyle w:val="StyleBoldCentered"/>
      </w:pPr>
      <w:r>
        <w:t>F</w:t>
      </w:r>
      <w:r>
        <w:rPr>
          <w:caps w:val="0"/>
        </w:rPr>
        <w:t>ederal Communications Commission</w:t>
      </w:r>
    </w:p>
    <w:p w:rsidR="004C2EE3" w:rsidP="00096D8C" w14:paraId="1D4569A9" w14:textId="77777777">
      <w:pPr>
        <w:pStyle w:val="StyleBoldCentered"/>
      </w:pPr>
      <w:r>
        <w:rPr>
          <w:caps w:val="0"/>
        </w:rPr>
        <w:t>Washington, D.C. 20554</w:t>
      </w:r>
    </w:p>
    <w:p w:rsidR="004C2EE3" w:rsidP="0070224F" w14:paraId="0AF3364A" w14:textId="77777777"/>
    <w:p w:rsidR="004C2EE3" w:rsidP="0070224F" w14:paraId="2F7669B5" w14:textId="77777777"/>
    <w:tbl>
      <w:tblPr>
        <w:tblW w:w="0" w:type="auto"/>
        <w:tblLayout w:type="fixed"/>
        <w:tblLook w:val="0000"/>
      </w:tblPr>
      <w:tblGrid>
        <w:gridCol w:w="4698"/>
        <w:gridCol w:w="630"/>
        <w:gridCol w:w="4248"/>
      </w:tblGrid>
      <w:tr w14:paraId="4A6796FA" w14:textId="77777777" w:rsidTr="006F7F2C">
        <w:tblPrEx>
          <w:tblW w:w="0" w:type="auto"/>
          <w:tblLayout w:type="fixed"/>
          <w:tblLook w:val="0000"/>
        </w:tblPrEx>
        <w:tc>
          <w:tcPr>
            <w:tcW w:w="4698" w:type="dxa"/>
          </w:tcPr>
          <w:p w:rsidR="00314925" w:rsidP="006F7F2C" w14:paraId="6CC220C3" w14:textId="77777777">
            <w:pPr>
              <w:tabs>
                <w:tab w:val="center" w:pos="4680"/>
              </w:tabs>
              <w:suppressAutoHyphens/>
              <w:rPr>
                <w:spacing w:val="-2"/>
              </w:rPr>
            </w:pPr>
            <w:r>
              <w:rPr>
                <w:spacing w:val="-2"/>
              </w:rPr>
              <w:t>In the Matter of</w:t>
            </w:r>
          </w:p>
          <w:p w:rsidR="00314925" w:rsidP="006F7F2C" w14:paraId="6E6FDB23" w14:textId="77777777">
            <w:pPr>
              <w:tabs>
                <w:tab w:val="center" w:pos="4680"/>
              </w:tabs>
              <w:suppressAutoHyphens/>
              <w:rPr>
                <w:spacing w:val="-2"/>
              </w:rPr>
            </w:pPr>
          </w:p>
          <w:p w:rsidR="00CA5FC1" w:rsidRPr="00CA5FC1" w:rsidP="00CA5FC1" w14:paraId="5436C91F" w14:textId="77777777">
            <w:pPr>
              <w:tabs>
                <w:tab w:val="center" w:pos="4680"/>
              </w:tabs>
              <w:suppressAutoHyphens/>
              <w:rPr>
                <w:spacing w:val="-2"/>
              </w:rPr>
            </w:pPr>
            <w:r w:rsidRPr="00CA5FC1">
              <w:rPr>
                <w:spacing w:val="-2"/>
              </w:rPr>
              <w:t>Regulation of Business Data Services for Rate-of-</w:t>
            </w:r>
          </w:p>
          <w:p w:rsidR="00314925" w:rsidP="00CA5FC1" w14:paraId="54CE8A65" w14:textId="77777777">
            <w:pPr>
              <w:tabs>
                <w:tab w:val="center" w:pos="4680"/>
              </w:tabs>
              <w:suppressAutoHyphens/>
              <w:rPr>
                <w:spacing w:val="-2"/>
              </w:rPr>
            </w:pPr>
            <w:r w:rsidRPr="00CA5FC1">
              <w:rPr>
                <w:spacing w:val="-2"/>
              </w:rPr>
              <w:t>Return Local Exchange Carriers</w:t>
            </w:r>
          </w:p>
          <w:p w:rsidR="00314925" w:rsidP="006F7F2C" w14:paraId="12A02042" w14:textId="77777777">
            <w:pPr>
              <w:tabs>
                <w:tab w:val="center" w:pos="4680"/>
              </w:tabs>
              <w:suppressAutoHyphens/>
              <w:rPr>
                <w:spacing w:val="-2"/>
              </w:rPr>
            </w:pPr>
          </w:p>
          <w:p w:rsidR="00314925" w:rsidRPr="007115F7" w:rsidP="006F7F2C" w14:paraId="2402361B" w14:textId="77777777">
            <w:pPr>
              <w:tabs>
                <w:tab w:val="center" w:pos="4680"/>
              </w:tabs>
              <w:suppressAutoHyphens/>
              <w:rPr>
                <w:spacing w:val="-2"/>
              </w:rPr>
            </w:pPr>
          </w:p>
        </w:tc>
        <w:tc>
          <w:tcPr>
            <w:tcW w:w="630" w:type="dxa"/>
          </w:tcPr>
          <w:p w:rsidR="00314925" w:rsidP="006F7F2C" w14:paraId="03E27125" w14:textId="77777777">
            <w:pPr>
              <w:tabs>
                <w:tab w:val="center" w:pos="4680"/>
              </w:tabs>
              <w:suppressAutoHyphens/>
              <w:rPr>
                <w:b/>
                <w:spacing w:val="-2"/>
              </w:rPr>
            </w:pPr>
            <w:r>
              <w:rPr>
                <w:b/>
                <w:spacing w:val="-2"/>
              </w:rPr>
              <w:t>)</w:t>
            </w:r>
          </w:p>
          <w:p w:rsidR="00314925" w:rsidP="006F7F2C" w14:paraId="211B48EC" w14:textId="77777777">
            <w:pPr>
              <w:tabs>
                <w:tab w:val="center" w:pos="4680"/>
              </w:tabs>
              <w:suppressAutoHyphens/>
              <w:rPr>
                <w:b/>
                <w:spacing w:val="-2"/>
              </w:rPr>
            </w:pPr>
            <w:r>
              <w:rPr>
                <w:b/>
                <w:spacing w:val="-2"/>
              </w:rPr>
              <w:t>)</w:t>
            </w:r>
          </w:p>
          <w:p w:rsidR="00314925" w:rsidP="006F7F2C" w14:paraId="2EC94D38" w14:textId="77777777">
            <w:pPr>
              <w:tabs>
                <w:tab w:val="center" w:pos="4680"/>
              </w:tabs>
              <w:suppressAutoHyphens/>
              <w:rPr>
                <w:b/>
                <w:spacing w:val="-2"/>
              </w:rPr>
            </w:pPr>
            <w:r>
              <w:rPr>
                <w:b/>
                <w:spacing w:val="-2"/>
              </w:rPr>
              <w:t>)</w:t>
            </w:r>
          </w:p>
          <w:p w:rsidR="00314925" w:rsidP="006F7F2C" w14:paraId="7BA41BC1" w14:textId="77777777">
            <w:pPr>
              <w:tabs>
                <w:tab w:val="center" w:pos="4680"/>
              </w:tabs>
              <w:suppressAutoHyphens/>
              <w:rPr>
                <w:b/>
                <w:spacing w:val="-2"/>
              </w:rPr>
            </w:pPr>
            <w:r>
              <w:rPr>
                <w:b/>
                <w:spacing w:val="-2"/>
              </w:rPr>
              <w:t>)</w:t>
            </w:r>
          </w:p>
          <w:p w:rsidR="00314925" w:rsidP="006F7F2C" w14:paraId="61C9C714" w14:textId="77777777">
            <w:pPr>
              <w:tabs>
                <w:tab w:val="center" w:pos="4680"/>
              </w:tabs>
              <w:suppressAutoHyphens/>
              <w:rPr>
                <w:b/>
                <w:spacing w:val="-2"/>
              </w:rPr>
            </w:pPr>
            <w:r>
              <w:rPr>
                <w:b/>
                <w:spacing w:val="-2"/>
              </w:rPr>
              <w:t>)</w:t>
            </w:r>
          </w:p>
          <w:p w:rsidR="00314925" w:rsidP="006F7F2C" w14:paraId="14E72FCC" w14:textId="77777777">
            <w:pPr>
              <w:tabs>
                <w:tab w:val="center" w:pos="4680"/>
              </w:tabs>
              <w:suppressAutoHyphens/>
              <w:rPr>
                <w:spacing w:val="-2"/>
              </w:rPr>
            </w:pPr>
          </w:p>
        </w:tc>
        <w:tc>
          <w:tcPr>
            <w:tcW w:w="4248" w:type="dxa"/>
          </w:tcPr>
          <w:p w:rsidR="00314925" w:rsidP="006F7F2C" w14:paraId="04215D4F" w14:textId="77777777">
            <w:pPr>
              <w:tabs>
                <w:tab w:val="center" w:pos="4680"/>
              </w:tabs>
              <w:suppressAutoHyphens/>
              <w:rPr>
                <w:spacing w:val="-2"/>
              </w:rPr>
            </w:pPr>
          </w:p>
          <w:p w:rsidR="00314925" w:rsidP="006F7F2C" w14:paraId="0F055C05" w14:textId="77777777">
            <w:pPr>
              <w:pStyle w:val="TOAHeading"/>
              <w:tabs>
                <w:tab w:val="center" w:pos="4680"/>
                <w:tab w:val="clear" w:pos="9360"/>
              </w:tabs>
              <w:rPr>
                <w:spacing w:val="-2"/>
              </w:rPr>
            </w:pPr>
          </w:p>
          <w:p w:rsidR="00314925" w:rsidP="006F7F2C" w14:paraId="5BA7E7C2" w14:textId="77777777">
            <w:pPr>
              <w:tabs>
                <w:tab w:val="center" w:pos="4680"/>
              </w:tabs>
              <w:suppressAutoHyphens/>
              <w:rPr>
                <w:spacing w:val="-2"/>
              </w:rPr>
            </w:pPr>
            <w:r>
              <w:rPr>
                <w:spacing w:val="-2"/>
              </w:rPr>
              <w:t xml:space="preserve">WC Docket No. </w:t>
            </w:r>
            <w:r w:rsidR="00CA5FC1">
              <w:rPr>
                <w:spacing w:val="-2"/>
              </w:rPr>
              <w:t>17-144</w:t>
            </w:r>
          </w:p>
          <w:p w:rsidR="00314925" w:rsidP="006F7F2C" w14:paraId="5372E34E" w14:textId="77777777">
            <w:pPr>
              <w:tabs>
                <w:tab w:val="center" w:pos="4680"/>
              </w:tabs>
              <w:suppressAutoHyphens/>
              <w:rPr>
                <w:spacing w:val="-2"/>
              </w:rPr>
            </w:pPr>
          </w:p>
          <w:p w:rsidR="00314925" w:rsidP="006F7F2C" w14:paraId="7986FB67" w14:textId="77777777">
            <w:pPr>
              <w:tabs>
                <w:tab w:val="center" w:pos="4680"/>
              </w:tabs>
              <w:suppressAutoHyphens/>
              <w:rPr>
                <w:spacing w:val="-2"/>
              </w:rPr>
            </w:pPr>
          </w:p>
        </w:tc>
      </w:tr>
      <w:tr w14:paraId="7A555F12" w14:textId="77777777" w:rsidTr="006F7F2C">
        <w:tblPrEx>
          <w:tblW w:w="0" w:type="auto"/>
          <w:tblLayout w:type="fixed"/>
          <w:tblLook w:val="0000"/>
        </w:tblPrEx>
        <w:tc>
          <w:tcPr>
            <w:tcW w:w="4698" w:type="dxa"/>
          </w:tcPr>
          <w:p w:rsidR="00314925" w:rsidP="006F7F2C" w14:paraId="0317D8B4" w14:textId="77777777">
            <w:pPr>
              <w:tabs>
                <w:tab w:val="center" w:pos="4680"/>
              </w:tabs>
              <w:suppressAutoHyphens/>
              <w:rPr>
                <w:spacing w:val="-2"/>
              </w:rPr>
            </w:pPr>
          </w:p>
        </w:tc>
        <w:tc>
          <w:tcPr>
            <w:tcW w:w="630" w:type="dxa"/>
          </w:tcPr>
          <w:p w:rsidR="00314925" w:rsidP="006F7F2C" w14:paraId="44E129BD" w14:textId="77777777">
            <w:pPr>
              <w:tabs>
                <w:tab w:val="center" w:pos="4680"/>
              </w:tabs>
              <w:suppressAutoHyphens/>
              <w:rPr>
                <w:b/>
                <w:spacing w:val="-2"/>
              </w:rPr>
            </w:pPr>
          </w:p>
        </w:tc>
        <w:tc>
          <w:tcPr>
            <w:tcW w:w="4248" w:type="dxa"/>
          </w:tcPr>
          <w:p w:rsidR="00314925" w:rsidP="006F7F2C" w14:paraId="0D0B01EB" w14:textId="77777777">
            <w:pPr>
              <w:tabs>
                <w:tab w:val="center" w:pos="4680"/>
              </w:tabs>
              <w:suppressAutoHyphens/>
              <w:rPr>
                <w:spacing w:val="-2"/>
              </w:rPr>
            </w:pPr>
          </w:p>
        </w:tc>
      </w:tr>
    </w:tbl>
    <w:p w:rsidR="00841AB1" w:rsidP="00F021FA" w14:paraId="382D396A" w14:textId="77777777">
      <w:pPr>
        <w:pStyle w:val="StyleBoldCentered"/>
      </w:pPr>
      <w:r>
        <w:t>ORDER</w:t>
      </w:r>
    </w:p>
    <w:p w:rsidR="004C2EE3" w14:paraId="3A00655C" w14:textId="77777777">
      <w:pPr>
        <w:tabs>
          <w:tab w:val="left" w:pos="-720"/>
        </w:tabs>
        <w:suppressAutoHyphens/>
        <w:spacing w:line="227" w:lineRule="auto"/>
        <w:rPr>
          <w:spacing w:val="-2"/>
        </w:rPr>
      </w:pPr>
    </w:p>
    <w:p w:rsidR="004C2EE3" w:rsidP="00133F79" w14:paraId="3C3D49B2" w14:textId="0A860A97">
      <w:pPr>
        <w:tabs>
          <w:tab w:val="left" w:pos="720"/>
          <w:tab w:val="right" w:pos="9360"/>
        </w:tabs>
        <w:suppressAutoHyphens/>
        <w:spacing w:line="227" w:lineRule="auto"/>
        <w:rPr>
          <w:spacing w:val="-2"/>
        </w:rPr>
      </w:pPr>
      <w:r>
        <w:rPr>
          <w:b/>
          <w:spacing w:val="-2"/>
        </w:rPr>
        <w:t xml:space="preserve">Adopted:  </w:t>
      </w:r>
      <w:r w:rsidR="00FE24E2">
        <w:rPr>
          <w:b/>
          <w:spacing w:val="-2"/>
        </w:rPr>
        <w:t>May</w:t>
      </w:r>
      <w:r w:rsidR="00CA5FC1">
        <w:rPr>
          <w:b/>
          <w:spacing w:val="-2"/>
        </w:rPr>
        <w:t xml:space="preserve"> </w:t>
      </w:r>
      <w:r w:rsidR="002C3FFE">
        <w:rPr>
          <w:b/>
          <w:spacing w:val="-2"/>
        </w:rPr>
        <w:t>31</w:t>
      </w:r>
      <w:r w:rsidR="00314925">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24E2">
        <w:rPr>
          <w:b/>
          <w:spacing w:val="-2"/>
        </w:rPr>
        <w:t>May</w:t>
      </w:r>
      <w:r w:rsidR="00CA5FC1">
        <w:rPr>
          <w:b/>
          <w:spacing w:val="-2"/>
        </w:rPr>
        <w:t xml:space="preserve"> </w:t>
      </w:r>
      <w:r w:rsidR="002C3FFE">
        <w:rPr>
          <w:b/>
          <w:spacing w:val="-2"/>
        </w:rPr>
        <w:t>31</w:t>
      </w:r>
      <w:r w:rsidR="00314925">
        <w:rPr>
          <w:b/>
          <w:spacing w:val="-2"/>
        </w:rPr>
        <w:t>, 2019</w:t>
      </w:r>
    </w:p>
    <w:p w:rsidR="00822CE0" w14:paraId="16411240" w14:textId="77777777"/>
    <w:p w:rsidR="00822CE0" w14:paraId="5965D9E5" w14:textId="4EBED18B">
      <w:pPr>
        <w:rPr>
          <w:spacing w:val="-2"/>
        </w:rPr>
      </w:pPr>
      <w:r>
        <w:t xml:space="preserve">By </w:t>
      </w:r>
      <w:r w:rsidR="004E4A22">
        <w:t>the</w:t>
      </w:r>
      <w:r w:rsidR="002A2D2E">
        <w:t xml:space="preserve"> </w:t>
      </w:r>
      <w:r w:rsidR="00314925">
        <w:t xml:space="preserve">Chief, </w:t>
      </w:r>
      <w:r w:rsidR="00314925">
        <w:rPr>
          <w:spacing w:val="-2"/>
        </w:rPr>
        <w:t>Wireline Competition Bureau:</w:t>
      </w:r>
    </w:p>
    <w:p w:rsidR="00314925" w14:paraId="33650C52" w14:textId="77777777">
      <w:pPr>
        <w:rPr>
          <w:spacing w:val="-2"/>
        </w:rPr>
      </w:pPr>
    </w:p>
    <w:p w:rsidR="00252A8F" w:rsidP="00606667" w14:paraId="6460FB33" w14:textId="71C914E0">
      <w:pPr>
        <w:pStyle w:val="Heading1"/>
      </w:pPr>
      <w:r>
        <w:t>Introduction</w:t>
      </w:r>
    </w:p>
    <w:p w:rsidR="00314925" w:rsidP="00606667" w14:paraId="46966F5E" w14:textId="0D2979DB">
      <w:pPr>
        <w:pStyle w:val="ParaNum"/>
      </w:pPr>
      <w:r>
        <w:t>In this Order, the Wireline Competition Bureau</w:t>
      </w:r>
      <w:r w:rsidR="00CA5FC1">
        <w:t xml:space="preserve"> (Bureau)</w:t>
      </w:r>
      <w:r>
        <w:t xml:space="preserve"> </w:t>
      </w:r>
      <w:bookmarkStart w:id="0" w:name="_Hlk8812712"/>
      <w:r>
        <w:t xml:space="preserve">grants </w:t>
      </w:r>
      <w:r w:rsidR="00885FE4">
        <w:t xml:space="preserve">petitions filed by </w:t>
      </w:r>
      <w:r w:rsidR="00CA5FC1">
        <w:t>Cass Telephone Company</w:t>
      </w:r>
      <w:r>
        <w:t xml:space="preserve"> (</w:t>
      </w:r>
      <w:r w:rsidR="00CA5FC1">
        <w:t>Cass</w:t>
      </w:r>
      <w:r>
        <w:t xml:space="preserve">) </w:t>
      </w:r>
      <w:r w:rsidR="009336E7">
        <w:t>and Magna5</w:t>
      </w:r>
      <w:r w:rsidR="003B37DD">
        <w:t xml:space="preserve"> RTC LLC</w:t>
      </w:r>
      <w:r w:rsidR="00B572D4">
        <w:t xml:space="preserve"> d/b/a</w:t>
      </w:r>
      <w:r w:rsidRPr="003B37DD" w:rsidR="003B37DD">
        <w:t xml:space="preserve"> </w:t>
      </w:r>
      <w:r w:rsidR="003B37DD">
        <w:t xml:space="preserve">Richmond Telephone </w:t>
      </w:r>
      <w:bookmarkStart w:id="1" w:name="_GoBack"/>
      <w:bookmarkEnd w:id="1"/>
      <w:r w:rsidR="003B37DD">
        <w:t>Company</w:t>
      </w:r>
      <w:r w:rsidR="009336E7">
        <w:t xml:space="preserve"> (Magna5) </w:t>
      </w:r>
      <w:r w:rsidR="00BA3EBD">
        <w:t xml:space="preserve">for </w:t>
      </w:r>
      <w:r>
        <w:t xml:space="preserve">waiver </w:t>
      </w:r>
      <w:bookmarkEnd w:id="0"/>
      <w:r w:rsidRPr="00D95ECE" w:rsidR="00D95ECE">
        <w:t>of</w:t>
      </w:r>
      <w:r w:rsidR="00F8365B">
        <w:t xml:space="preserve"> </w:t>
      </w:r>
      <w:r w:rsidRPr="00D95ECE" w:rsidR="00F8365B">
        <w:t>the rule</w:t>
      </w:r>
      <w:r w:rsidR="00F8365B">
        <w:t xml:space="preserve"> requiring a rate-of-return carrier to </w:t>
      </w:r>
      <w:r w:rsidRPr="00E72C1C" w:rsidR="00F8365B">
        <w:t>notify the Bureau</w:t>
      </w:r>
      <w:r w:rsidR="00F8365B">
        <w:t xml:space="preserve"> by May 1, 2019, of its intention to</w:t>
      </w:r>
      <w:r w:rsidRPr="00427CB3" w:rsidR="00F8365B">
        <w:t xml:space="preserve"> </w:t>
      </w:r>
      <w:r w:rsidR="00F8365B">
        <w:t xml:space="preserve">elect </w:t>
      </w:r>
      <w:r w:rsidRPr="00427CB3" w:rsidR="00F8365B">
        <w:t xml:space="preserve">incentive regulation for its business data services </w:t>
      </w:r>
      <w:r w:rsidR="00F8365B">
        <w:t>(BDS).</w:t>
      </w:r>
      <w:r>
        <w:rPr>
          <w:rStyle w:val="FootnoteReference"/>
        </w:rPr>
        <w:footnoteReference w:id="3"/>
      </w:r>
      <w:r w:rsidR="00F8365B">
        <w:t xml:space="preserve">  Upon review of the Petitions</w:t>
      </w:r>
      <w:r w:rsidR="002F4003">
        <w:t>,</w:t>
      </w:r>
      <w:r w:rsidR="00F8365B">
        <w:t xml:space="preserve"> </w:t>
      </w:r>
      <w:r w:rsidRPr="00AE21DD" w:rsidR="00AE21DD">
        <w:t xml:space="preserve">we find that </w:t>
      </w:r>
      <w:r w:rsidR="005A45D1">
        <w:t xml:space="preserve">both </w:t>
      </w:r>
      <w:r w:rsidR="00AE21DD">
        <w:t>Cass and Magna5</w:t>
      </w:r>
      <w:r w:rsidR="007F5716">
        <w:t xml:space="preserve"> </w:t>
      </w:r>
      <w:r w:rsidR="00AE21DD">
        <w:t xml:space="preserve">have </w:t>
      </w:r>
      <w:r w:rsidRPr="00AE21DD" w:rsidR="00AE21DD">
        <w:t>demonstrate</w:t>
      </w:r>
      <w:r w:rsidR="00AE21DD">
        <w:t>d</w:t>
      </w:r>
      <w:r w:rsidRPr="00AE21DD" w:rsidR="00AE21DD">
        <w:t xml:space="preserve"> that </w:t>
      </w:r>
      <w:r w:rsidR="00AE21DD">
        <w:t>their</w:t>
      </w:r>
      <w:r w:rsidRPr="00AE21DD" w:rsidR="00AE21DD">
        <w:t xml:space="preserve"> request</w:t>
      </w:r>
      <w:r w:rsidR="00AE21DD">
        <w:t>s</w:t>
      </w:r>
      <w:r w:rsidRPr="00AE21DD" w:rsidR="00AE21DD">
        <w:t xml:space="preserve"> for waiver present special circumstances that warrant deviation from our rules</w:t>
      </w:r>
      <w:r w:rsidR="000F0E08">
        <w:t>—</w:t>
      </w:r>
      <w:r w:rsidRPr="00AE21DD" w:rsidR="00AE21DD">
        <w:t xml:space="preserve">and that </w:t>
      </w:r>
      <w:r w:rsidR="00885FE4">
        <w:t xml:space="preserve">the grant of </w:t>
      </w:r>
      <w:r w:rsidR="000A2BC7">
        <w:t>their</w:t>
      </w:r>
      <w:r w:rsidRPr="00AE21DD" w:rsidR="00AE21DD">
        <w:t xml:space="preserve"> request</w:t>
      </w:r>
      <w:r w:rsidR="000A2BC7">
        <w:t>s</w:t>
      </w:r>
      <w:r w:rsidRPr="00AE21DD" w:rsidR="00AE21DD">
        <w:t xml:space="preserve"> serve the public interest by </w:t>
      </w:r>
      <w:r w:rsidR="0087662E">
        <w:t xml:space="preserve">furthering </w:t>
      </w:r>
      <w:r w:rsidR="00BF5DB7">
        <w:t>the Commission’s</w:t>
      </w:r>
      <w:r w:rsidR="0087662E">
        <w:t xml:space="preserve"> </w:t>
      </w:r>
      <w:r w:rsidR="0076674E">
        <w:t>goal</w:t>
      </w:r>
      <w:r w:rsidR="00792930">
        <w:t>s</w:t>
      </w:r>
      <w:r w:rsidR="0076674E">
        <w:t xml:space="preserve"> of </w:t>
      </w:r>
      <w:r w:rsidR="00792930">
        <w:t xml:space="preserve">encouraging competition and reducing regulatory burden by allowing certain </w:t>
      </w:r>
      <w:r w:rsidR="00AC2C02">
        <w:t xml:space="preserve">carriers subject to </w:t>
      </w:r>
      <w:r w:rsidRPr="00AC2C02" w:rsidR="00AC2C02">
        <w:t xml:space="preserve">rate-of-return regulation to </w:t>
      </w:r>
      <w:r w:rsidR="00AC2C02">
        <w:t>transition to</w:t>
      </w:r>
      <w:r w:rsidR="00A8193C">
        <w:t xml:space="preserve"> a</w:t>
      </w:r>
      <w:r w:rsidRPr="00AC2C02" w:rsidR="00AC2C02">
        <w:t xml:space="preserve"> lighter touch </w:t>
      </w:r>
      <w:r w:rsidR="009416AF">
        <w:t xml:space="preserve">regulatory </w:t>
      </w:r>
      <w:r w:rsidRPr="00AC2C02" w:rsidR="00AC2C02">
        <w:t>framework</w:t>
      </w:r>
      <w:r w:rsidR="009416AF">
        <w:t xml:space="preserve"> for their BDS</w:t>
      </w:r>
      <w:r w:rsidR="000F0E08">
        <w:t xml:space="preserve"> offerings</w:t>
      </w:r>
      <w:r w:rsidR="000A2BC7">
        <w:t>.</w:t>
      </w:r>
    </w:p>
    <w:p w:rsidR="00252A8F" w:rsidRPr="00614360" w:rsidP="00606667" w14:paraId="1B130245" w14:textId="55E703E1">
      <w:pPr>
        <w:pStyle w:val="Heading1"/>
      </w:pPr>
      <w:r>
        <w:t>Background</w:t>
      </w:r>
    </w:p>
    <w:p w:rsidR="00EE297E" w:rsidRPr="00EE297E" w:rsidP="00EE297E" w14:paraId="50B63B46" w14:textId="1B6DE34A">
      <w:pPr>
        <w:pStyle w:val="ParaNum"/>
        <w:rPr>
          <w:snapToGrid/>
        </w:rPr>
      </w:pPr>
      <w:r w:rsidRPr="00EE297E">
        <w:rPr>
          <w:snapToGrid/>
        </w:rPr>
        <w:t xml:space="preserve">In the </w:t>
      </w:r>
      <w:r w:rsidRPr="00EE297E">
        <w:rPr>
          <w:rFonts w:ascii="TimesNewRoman,Italic" w:hAnsi="TimesNewRoman,Italic" w:cs="TimesNewRoman,Italic"/>
          <w:i/>
          <w:iCs/>
          <w:snapToGrid/>
        </w:rPr>
        <w:t>Rate-of-Return BDS Order</w:t>
      </w:r>
      <w:r w:rsidRPr="00EE297E">
        <w:rPr>
          <w:snapToGrid/>
        </w:rPr>
        <w:t>, the Commission adopted a path for rate-of-return</w:t>
      </w:r>
      <w:r>
        <w:rPr>
          <w:snapToGrid/>
        </w:rPr>
        <w:t xml:space="preserve"> </w:t>
      </w:r>
      <w:r w:rsidRPr="00EE297E">
        <w:rPr>
          <w:snapToGrid/>
        </w:rPr>
        <w:t>carriers that receive model-based or other forms of fixed high cost universal service support to voluntarily elect to transition their</w:t>
      </w:r>
      <w:r w:rsidR="00E33D38">
        <w:rPr>
          <w:snapToGrid/>
        </w:rPr>
        <w:t xml:space="preserve"> BDS</w:t>
      </w:r>
      <w:r w:rsidRPr="00EE297E">
        <w:rPr>
          <w:snapToGrid/>
        </w:rPr>
        <w:t xml:space="preserve"> offerings </w:t>
      </w:r>
      <w:r w:rsidR="00786242">
        <w:rPr>
          <w:snapToGrid/>
        </w:rPr>
        <w:t xml:space="preserve">to incentive </w:t>
      </w:r>
      <w:r w:rsidRPr="00EE297E">
        <w:rPr>
          <w:snapToGrid/>
        </w:rPr>
        <w:t>regulation.</w:t>
      </w:r>
      <w:r>
        <w:rPr>
          <w:rStyle w:val="FootnoteReference"/>
          <w:rFonts w:cs="TimesNewRoman"/>
          <w:snapToGrid/>
          <w:kern w:val="0"/>
          <w:szCs w:val="22"/>
        </w:rPr>
        <w:footnoteReference w:id="4"/>
      </w:r>
      <w:r w:rsidRPr="00EE297E">
        <w:rPr>
          <w:snapToGrid/>
        </w:rPr>
        <w:t xml:space="preserve">  </w:t>
      </w:r>
      <w:r w:rsidR="00F8365B">
        <w:rPr>
          <w:snapToGrid/>
        </w:rPr>
        <w:t xml:space="preserve">Carriers </w:t>
      </w:r>
      <w:r w:rsidRPr="00EE297E">
        <w:rPr>
          <w:snapToGrid/>
        </w:rPr>
        <w:t xml:space="preserve">electing </w:t>
      </w:r>
      <w:r w:rsidR="00F8365B">
        <w:rPr>
          <w:snapToGrid/>
        </w:rPr>
        <w:t xml:space="preserve">to move their BDS offerings </w:t>
      </w:r>
      <w:r w:rsidR="002F4003">
        <w:rPr>
          <w:snapToGrid/>
        </w:rPr>
        <w:t xml:space="preserve">to </w:t>
      </w:r>
      <w:r w:rsidR="00F8365B">
        <w:rPr>
          <w:snapToGrid/>
        </w:rPr>
        <w:t>in</w:t>
      </w:r>
      <w:r w:rsidR="00E01686">
        <w:rPr>
          <w:snapToGrid/>
        </w:rPr>
        <w:t>c</w:t>
      </w:r>
      <w:r w:rsidR="00F8365B">
        <w:rPr>
          <w:snapToGrid/>
        </w:rPr>
        <w:t xml:space="preserve">entive regulation in 2019 and </w:t>
      </w:r>
      <w:r w:rsidR="00885FE4">
        <w:rPr>
          <w:snapToGrid/>
        </w:rPr>
        <w:t xml:space="preserve">that participate </w:t>
      </w:r>
      <w:r w:rsidRPr="00EE297E">
        <w:rPr>
          <w:snapToGrid/>
        </w:rPr>
        <w:t xml:space="preserve">in the </w:t>
      </w:r>
      <w:r w:rsidRPr="000D2DCD" w:rsidR="000D2DCD">
        <w:rPr>
          <w:snapToGrid/>
        </w:rPr>
        <w:t xml:space="preserve">National Exchange Carrier Association </w:t>
      </w:r>
      <w:r w:rsidR="000D2DCD">
        <w:rPr>
          <w:snapToGrid/>
        </w:rPr>
        <w:t xml:space="preserve">(NECA) </w:t>
      </w:r>
      <w:r w:rsidRPr="00EE297E">
        <w:rPr>
          <w:snapToGrid/>
        </w:rPr>
        <w:t xml:space="preserve">pool </w:t>
      </w:r>
      <w:r w:rsidR="00F8365B">
        <w:rPr>
          <w:snapToGrid/>
        </w:rPr>
        <w:t xml:space="preserve">were required </w:t>
      </w:r>
      <w:r w:rsidRPr="00EE297E">
        <w:rPr>
          <w:snapToGrid/>
        </w:rPr>
        <w:t xml:space="preserve">to </w:t>
      </w:r>
      <w:r w:rsidR="0047795B">
        <w:rPr>
          <w:snapToGrid/>
        </w:rPr>
        <w:t>noti</w:t>
      </w:r>
      <w:r w:rsidR="00E25115">
        <w:rPr>
          <w:snapToGrid/>
        </w:rPr>
        <w:t xml:space="preserve">fy NECA </w:t>
      </w:r>
      <w:r w:rsidRPr="00EE297E">
        <w:rPr>
          <w:snapToGrid/>
        </w:rPr>
        <w:t xml:space="preserve">by March 1, 2019, that they would not participate in the upcoming </w:t>
      </w:r>
      <w:r w:rsidR="00A96973">
        <w:rPr>
          <w:snapToGrid/>
        </w:rPr>
        <w:t xml:space="preserve">annual filing of the </w:t>
      </w:r>
      <w:r w:rsidRPr="00EE297E">
        <w:rPr>
          <w:snapToGrid/>
        </w:rPr>
        <w:t>NECA traffic-sensitive tariff for their BDS offerings</w:t>
      </w:r>
      <w:r w:rsidR="00E551F2">
        <w:rPr>
          <w:snapToGrid/>
        </w:rPr>
        <w:t>,</w:t>
      </w:r>
      <w:r>
        <w:rPr>
          <w:rStyle w:val="FootnoteReference"/>
          <w:snapToGrid/>
        </w:rPr>
        <w:footnoteReference w:id="5"/>
      </w:r>
      <w:r w:rsidR="00E551F2">
        <w:rPr>
          <w:snapToGrid/>
        </w:rPr>
        <w:t xml:space="preserve"> </w:t>
      </w:r>
      <w:r w:rsidR="00E01686">
        <w:rPr>
          <w:snapToGrid/>
        </w:rPr>
        <w:t xml:space="preserve">a requirement of our rules designed to </w:t>
      </w:r>
      <w:r w:rsidR="00E551F2">
        <w:rPr>
          <w:snapToGrid/>
        </w:rPr>
        <w:t>provid</w:t>
      </w:r>
      <w:r w:rsidR="00E01686">
        <w:rPr>
          <w:snapToGrid/>
        </w:rPr>
        <w:t>e</w:t>
      </w:r>
      <w:r w:rsidR="00E551F2">
        <w:rPr>
          <w:snapToGrid/>
        </w:rPr>
        <w:t xml:space="preserve"> NECA</w:t>
      </w:r>
      <w:r w:rsidR="00DC17E1">
        <w:rPr>
          <w:snapToGrid/>
        </w:rPr>
        <w:t xml:space="preserve"> </w:t>
      </w:r>
      <w:r w:rsidR="00D801D1">
        <w:rPr>
          <w:snapToGrid/>
        </w:rPr>
        <w:t>sufficient</w:t>
      </w:r>
      <w:r w:rsidR="00E551F2">
        <w:rPr>
          <w:snapToGrid/>
        </w:rPr>
        <w:t xml:space="preserve"> time </w:t>
      </w:r>
      <w:r w:rsidR="00E01686">
        <w:rPr>
          <w:snapToGrid/>
        </w:rPr>
        <w:t>to prepare annual access tariff filings for participating pool members.</w:t>
      </w:r>
      <w:r>
        <w:rPr>
          <w:rStyle w:val="FootnoteReference"/>
          <w:snapToGrid/>
        </w:rPr>
        <w:footnoteReference w:id="6"/>
      </w:r>
      <w:r w:rsidR="0056265C">
        <w:rPr>
          <w:snapToGrid/>
        </w:rPr>
        <w:t xml:space="preserve">  They </w:t>
      </w:r>
      <w:r w:rsidR="00590398">
        <w:rPr>
          <w:snapToGrid/>
        </w:rPr>
        <w:t>were</w:t>
      </w:r>
      <w:r w:rsidR="0056265C">
        <w:rPr>
          <w:snapToGrid/>
        </w:rPr>
        <w:t xml:space="preserve"> also required to</w:t>
      </w:r>
      <w:r w:rsidRPr="00EE297E">
        <w:rPr>
          <w:snapToGrid/>
        </w:rPr>
        <w:t xml:space="preserve"> notify the Bureau of their election by May 1, 2019</w:t>
      </w:r>
      <w:r w:rsidR="00EA50DB">
        <w:rPr>
          <w:snapToGrid/>
        </w:rPr>
        <w:t xml:space="preserve"> “to </w:t>
      </w:r>
      <w:r w:rsidR="00EA50DB">
        <w:rPr>
          <w:snapToGrid/>
        </w:rPr>
        <w:t>facilitate implementation of the revised tariffs</w:t>
      </w:r>
      <w:r w:rsidRPr="00EE297E">
        <w:rPr>
          <w:snapToGrid/>
        </w:rPr>
        <w:t>.</w:t>
      </w:r>
      <w:r w:rsidR="00EA50DB">
        <w:rPr>
          <w:snapToGrid/>
        </w:rPr>
        <w:t>”</w:t>
      </w:r>
      <w:r>
        <w:rPr>
          <w:rStyle w:val="FootnoteReference"/>
          <w:rFonts w:cs="TimesNewRoman"/>
          <w:snapToGrid/>
          <w:kern w:val="0"/>
          <w:szCs w:val="22"/>
        </w:rPr>
        <w:footnoteReference w:id="7"/>
      </w:r>
      <w:r w:rsidRPr="00EE297E">
        <w:rPr>
          <w:snapToGrid/>
        </w:rPr>
        <w:t xml:space="preserve">  </w:t>
      </w:r>
      <w:r w:rsidR="00792930">
        <w:rPr>
          <w:snapToGrid/>
        </w:rPr>
        <w:t xml:space="preserve">Neither the </w:t>
      </w:r>
      <w:r w:rsidRPr="00FB7455" w:rsidR="00792930">
        <w:rPr>
          <w:i/>
          <w:snapToGrid/>
        </w:rPr>
        <w:t>Order</w:t>
      </w:r>
      <w:r w:rsidR="00792930">
        <w:rPr>
          <w:snapToGrid/>
        </w:rPr>
        <w:t xml:space="preserve"> nor </w:t>
      </w:r>
      <w:r w:rsidR="00776C2E">
        <w:rPr>
          <w:snapToGrid/>
        </w:rPr>
        <w:t>our r</w:t>
      </w:r>
      <w:r w:rsidR="00792930">
        <w:rPr>
          <w:snapToGrid/>
        </w:rPr>
        <w:t xml:space="preserve">ules provided specific direction on </w:t>
      </w:r>
      <w:r w:rsidR="00776C2E">
        <w:rPr>
          <w:snapToGrid/>
        </w:rPr>
        <w:t xml:space="preserve">what mailing or electronic address </w:t>
      </w:r>
      <w:r w:rsidR="00792930">
        <w:rPr>
          <w:snapToGrid/>
        </w:rPr>
        <w:t xml:space="preserve">electing carriers should </w:t>
      </w:r>
      <w:r w:rsidR="00776C2E">
        <w:rPr>
          <w:snapToGrid/>
        </w:rPr>
        <w:t xml:space="preserve">use to notify the Bureau that a carrier is moving to incentive regulation. </w:t>
      </w:r>
    </w:p>
    <w:p w:rsidR="00EE297E" w:rsidP="00FB7455" w14:paraId="1B2928D1" w14:textId="44FF7A19">
      <w:pPr>
        <w:pStyle w:val="ParaNum"/>
        <w:widowControl/>
      </w:pPr>
      <w:r>
        <w:rPr>
          <w:i/>
        </w:rPr>
        <w:t xml:space="preserve">The Petitions.  </w:t>
      </w:r>
      <w:r>
        <w:t>Petitioners are</w:t>
      </w:r>
      <w:r w:rsidR="00776C2E">
        <w:t xml:space="preserve"> small</w:t>
      </w:r>
      <w:r>
        <w:t xml:space="preserve"> </w:t>
      </w:r>
      <w:r w:rsidR="000A34C6">
        <w:t xml:space="preserve">rate-of-return </w:t>
      </w:r>
      <w:r w:rsidR="00F62616">
        <w:t xml:space="preserve">local exchange </w:t>
      </w:r>
      <w:r w:rsidR="000A34C6">
        <w:t>carrier</w:t>
      </w:r>
      <w:r w:rsidR="002A7FBF">
        <w:t>s</w:t>
      </w:r>
      <w:r w:rsidR="00B33EEF">
        <w:t xml:space="preserve"> </w:t>
      </w:r>
      <w:r w:rsidR="00346417">
        <w:t xml:space="preserve">(LEC) </w:t>
      </w:r>
      <w:r w:rsidR="00B33EEF">
        <w:t>that receive</w:t>
      </w:r>
      <w:r w:rsidRPr="000D2DCD" w:rsidR="000D2DCD">
        <w:t xml:space="preserve"> </w:t>
      </w:r>
      <w:r w:rsidR="00FB27EA">
        <w:t xml:space="preserve">model-based </w:t>
      </w:r>
      <w:r w:rsidR="000D2DCD">
        <w:t>universal service support</w:t>
      </w:r>
      <w:r w:rsidR="00792930">
        <w:t>, but do not make regular filings with the Commission</w:t>
      </w:r>
      <w:r w:rsidR="00B33EEF">
        <w:t>.</w:t>
      </w:r>
      <w:r w:rsidR="00410F97">
        <w:t xml:space="preserve">  </w:t>
      </w:r>
      <w:r>
        <w:t xml:space="preserve">Each of the Petitioners </w:t>
      </w:r>
      <w:r w:rsidR="00410F97">
        <w:t>notified NECA</w:t>
      </w:r>
      <w:r w:rsidR="005E1060">
        <w:t xml:space="preserve"> </w:t>
      </w:r>
      <w:r w:rsidR="00F204FE">
        <w:t>in advance of the</w:t>
      </w:r>
      <w:r w:rsidR="005E1060">
        <w:t xml:space="preserve"> March 1, 2019</w:t>
      </w:r>
      <w:r w:rsidR="00F204FE">
        <w:t xml:space="preserve"> deadline</w:t>
      </w:r>
      <w:r w:rsidR="00410F97">
        <w:t xml:space="preserve"> that it would elect to </w:t>
      </w:r>
      <w:r w:rsidR="00D04E7C">
        <w:t xml:space="preserve">remove its BDS offerings from </w:t>
      </w:r>
      <w:r w:rsidR="00410F97">
        <w:t xml:space="preserve">the </w:t>
      </w:r>
      <w:r w:rsidR="00D04E7C">
        <w:t xml:space="preserve">NECA </w:t>
      </w:r>
      <w:r w:rsidR="00410F97">
        <w:t>pool</w:t>
      </w:r>
      <w:r w:rsidR="00C22479">
        <w:t>, effective July 2, 2019</w:t>
      </w:r>
      <w:r w:rsidR="00462BF2">
        <w:t>.</w:t>
      </w:r>
      <w:r w:rsidR="006E6543">
        <w:t xml:space="preserve">  </w:t>
      </w:r>
      <w:r>
        <w:t xml:space="preserve">Both Petitioners explain that they intended to notify the Commission in advance of the May </w:t>
      </w:r>
      <w:r w:rsidR="00792930">
        <w:t>1</w:t>
      </w:r>
      <w:r w:rsidR="002A7FBF">
        <w:t>, 2019</w:t>
      </w:r>
      <w:r w:rsidR="00792930">
        <w:t xml:space="preserve"> </w:t>
      </w:r>
      <w:r w:rsidR="00776C2E">
        <w:t xml:space="preserve">Bureau notification </w:t>
      </w:r>
      <w:r w:rsidR="00792930">
        <w:t>deadline.  According to Cass, it mailed its notification 10 days in advance, but to an address the Commission has not used since 2017.</w:t>
      </w:r>
      <w:r>
        <w:rPr>
          <w:rStyle w:val="FootnoteReference"/>
        </w:rPr>
        <w:footnoteReference w:id="8"/>
      </w:r>
      <w:r w:rsidR="00792930">
        <w:t xml:space="preserve">  Magna5 acknowledges that it did not timely submit its notice, because its Chief Financial Officer was not available to sign the notice until May 3</w:t>
      </w:r>
      <w:r w:rsidR="002A7FBF">
        <w:t>, 2019</w:t>
      </w:r>
      <w:r w:rsidR="00792930">
        <w:t>.</w:t>
      </w:r>
      <w:r>
        <w:rPr>
          <w:rStyle w:val="FootnoteReference"/>
        </w:rPr>
        <w:footnoteReference w:id="9"/>
      </w:r>
      <w:r w:rsidR="00792930">
        <w:t xml:space="preserve"> </w:t>
      </w:r>
      <w:r w:rsidR="002A7FBF">
        <w:t xml:space="preserve"> </w:t>
      </w:r>
      <w:r w:rsidR="00C91D82">
        <w:t xml:space="preserve">Proper routing of Magna5’s notice within the Commission also did not take place in a timely fashion </w:t>
      </w:r>
      <w:r w:rsidR="00CB4266">
        <w:t>because</w:t>
      </w:r>
      <w:r w:rsidR="00C91D82">
        <w:t xml:space="preserve"> the notice contained no reference </w:t>
      </w:r>
      <w:r w:rsidR="00CD4C58">
        <w:t xml:space="preserve">to </w:t>
      </w:r>
      <w:r w:rsidR="00C91D82">
        <w:t xml:space="preserve">the </w:t>
      </w:r>
      <w:r w:rsidR="00CD4C58">
        <w:t xml:space="preserve">relevant </w:t>
      </w:r>
      <w:r w:rsidR="00C91D82">
        <w:t>docket.</w:t>
      </w:r>
      <w:r>
        <w:rPr>
          <w:rStyle w:val="FootnoteReference"/>
        </w:rPr>
        <w:footnoteReference w:id="10"/>
      </w:r>
      <w:r w:rsidR="00C91D82">
        <w:t xml:space="preserve">  </w:t>
      </w:r>
      <w:r>
        <w:t xml:space="preserve">As soon as they discovered their elections were not received by the Bureau, Cass and Magna5 </w:t>
      </w:r>
      <w:r w:rsidR="00792930">
        <w:t xml:space="preserve">each </w:t>
      </w:r>
      <w:r>
        <w:t xml:space="preserve">sought a waiver of the requirement that they notify the Bureau of their election by May 1, 2019. </w:t>
      </w:r>
    </w:p>
    <w:p w:rsidR="000042D6" w:rsidRPr="000042D6" w:rsidP="00606667" w14:paraId="132B1504" w14:textId="78120878">
      <w:pPr>
        <w:pStyle w:val="Heading1"/>
      </w:pPr>
      <w:r>
        <w:t>Discussion</w:t>
      </w:r>
    </w:p>
    <w:p w:rsidR="009252E1" w:rsidP="006F5FB6" w14:paraId="41040A3D" w14:textId="7B899494">
      <w:pPr>
        <w:pStyle w:val="ParaNum"/>
      </w:pPr>
      <w:r>
        <w:t>T</w:t>
      </w:r>
      <w:r w:rsidR="00B62F9B">
        <w:t>he Commission’s rules may be waived for good cause shown.</w:t>
      </w:r>
      <w:r>
        <w:rPr>
          <w:rStyle w:val="FootnoteReference"/>
        </w:rPr>
        <w:footnoteReference w:id="11"/>
      </w:r>
      <w:r w:rsidR="00B62F9B">
        <w:t xml:space="preserve">  </w:t>
      </w:r>
      <w:r w:rsidRPr="00BB3C3D" w:rsidR="00B62F9B">
        <w:t>W</w:t>
      </w:r>
      <w:r w:rsidRPr="00BB3C3D" w:rsidR="00B62F9B">
        <w:rPr>
          <w:bCs/>
        </w:rPr>
        <w:t>aiver</w:t>
      </w:r>
      <w:r w:rsidRPr="00BB3C3D" w:rsidR="00B62F9B">
        <w:t xml:space="preserve"> of the Commission’s rules is appropriate only if both: (1) special circumstances warrant a deviation from the general rule, and (2) such deviation will serve the public interest.</w:t>
      </w:r>
      <w:r>
        <w:rPr>
          <w:rStyle w:val="FootnoteReference"/>
          <w:spacing w:val="-2"/>
        </w:rPr>
        <w:footnoteReference w:id="12"/>
      </w:r>
      <w:r w:rsidR="006F5FB6">
        <w:t xml:space="preserve">  </w:t>
      </w:r>
      <w:r w:rsidR="00F00B1D">
        <w:rPr>
          <w:snapToGrid/>
        </w:rPr>
        <w:t>T</w:t>
      </w:r>
      <w:r w:rsidRPr="00132DF1" w:rsidR="00F00B1D">
        <w:rPr>
          <w:snapToGrid/>
        </w:rPr>
        <w:t>he Commission may take into account considerations of hardship, equity, or more effective implementation of overall policy on an individual basis.</w:t>
      </w:r>
      <w:r>
        <w:rPr>
          <w:rStyle w:val="FootnoteReference"/>
          <w:snapToGrid/>
        </w:rPr>
        <w:footnoteReference w:id="13"/>
      </w:r>
      <w:r w:rsidRPr="00132DF1" w:rsidR="00F00B1D">
        <w:rPr>
          <w:snapToGrid/>
        </w:rPr>
        <w:t xml:space="preserve"> </w:t>
      </w:r>
      <w:r w:rsidR="00F00B1D">
        <w:rPr>
          <w:snapToGrid/>
        </w:rPr>
        <w:t xml:space="preserve"> </w:t>
      </w:r>
      <w:r w:rsidR="00193527">
        <w:t>Here, w</w:t>
      </w:r>
      <w:r w:rsidRPr="008405CC" w:rsidR="008405CC">
        <w:t>e find good cause to grant</w:t>
      </w:r>
      <w:r w:rsidR="006F5FB6">
        <w:t xml:space="preserve"> both</w:t>
      </w:r>
      <w:r w:rsidRPr="008405CC" w:rsidR="008405CC">
        <w:t xml:space="preserve"> </w:t>
      </w:r>
      <w:r w:rsidR="002E7D3A">
        <w:t>Cass’s</w:t>
      </w:r>
      <w:r w:rsidRPr="008405CC" w:rsidR="008405CC">
        <w:t xml:space="preserve"> </w:t>
      </w:r>
      <w:r w:rsidR="006F5FB6">
        <w:t>and Magna5</w:t>
      </w:r>
      <w:r w:rsidR="007559EC">
        <w:t>’s</w:t>
      </w:r>
      <w:r w:rsidR="00E25115">
        <w:t xml:space="preserve"> </w:t>
      </w:r>
      <w:r w:rsidRPr="008405CC" w:rsidR="008405CC">
        <w:t>petition</w:t>
      </w:r>
      <w:r w:rsidR="006F5FB6">
        <w:t>s</w:t>
      </w:r>
      <w:r w:rsidR="007559EC">
        <w:t>.</w:t>
      </w:r>
      <w:r w:rsidR="00193527">
        <w:t xml:space="preserve"> </w:t>
      </w:r>
      <w:r w:rsidR="007559EC">
        <w:t xml:space="preserve"> </w:t>
      </w:r>
    </w:p>
    <w:p w:rsidR="00CB4266" w:rsidP="0046284E" w14:paraId="703A3E8E" w14:textId="373AAE9A">
      <w:pPr>
        <w:pStyle w:val="ParaNum"/>
      </w:pPr>
      <w:r>
        <w:rPr>
          <w:i/>
        </w:rPr>
        <w:t xml:space="preserve">Special Circumstances.  </w:t>
      </w:r>
      <w:r w:rsidR="0044322C">
        <w:t>In light of</w:t>
      </w:r>
      <w:r w:rsidR="0044322C">
        <w:t xml:space="preserve"> Petitioners</w:t>
      </w:r>
      <w:r w:rsidR="00395DCF">
        <w:t>’</w:t>
      </w:r>
      <w:r w:rsidR="0044322C">
        <w:t xml:space="preserve"> timely notice to NECA of their intent to transition their BDS services to incentive regulation, the work that NECA has done to implement those withdrawals, and the relatively short delay in the Bureau receiving notice of Petitioners</w:t>
      </w:r>
      <w:r w:rsidR="00C5699B">
        <w:t>’</w:t>
      </w:r>
      <w:r w:rsidR="0044322C">
        <w:t xml:space="preserve"> election of incentive regulation, w</w:t>
      </w:r>
      <w:r>
        <w:t>e find that special circumstances exist to grant this waiver</w:t>
      </w:r>
      <w:r w:rsidR="0044322C">
        <w:t xml:space="preserve">.  </w:t>
      </w:r>
    </w:p>
    <w:p w:rsidR="00A43656" w:rsidP="0046284E" w14:paraId="1F5C92D2" w14:textId="402F00DA">
      <w:pPr>
        <w:pStyle w:val="ParaNum"/>
      </w:pPr>
      <w:r>
        <w:t>A</w:t>
      </w:r>
      <w:r w:rsidR="0044322C">
        <w:t>lthough they missed the May 1</w:t>
      </w:r>
      <w:r w:rsidR="00A42660">
        <w:t>, 2019</w:t>
      </w:r>
      <w:r w:rsidR="0044322C">
        <w:t xml:space="preserve"> deadline to notify the Bureau of their election</w:t>
      </w:r>
      <w:r w:rsidR="006F2DD4">
        <w:t>s</w:t>
      </w:r>
      <w:r w:rsidR="0044322C">
        <w:t xml:space="preserve">, </w:t>
      </w:r>
      <w:r w:rsidR="00723FDB">
        <w:t xml:space="preserve">both </w:t>
      </w:r>
      <w:r w:rsidR="00857148">
        <w:t>Cass</w:t>
      </w:r>
      <w:r w:rsidR="00723FDB">
        <w:t xml:space="preserve"> and Magna5 </w:t>
      </w:r>
      <w:r w:rsidR="00857148">
        <w:t xml:space="preserve">took </w:t>
      </w:r>
      <w:r w:rsidR="00E919E3">
        <w:t xml:space="preserve">the steps that were functionally necessary to move to </w:t>
      </w:r>
      <w:r w:rsidR="003823E8">
        <w:t>incentive regulation</w:t>
      </w:r>
      <w:r w:rsidR="007342F0">
        <w:t xml:space="preserve">.  Cass timely </w:t>
      </w:r>
      <w:r w:rsidR="0044252A">
        <w:t>provided</w:t>
      </w:r>
      <w:r w:rsidR="007342F0">
        <w:t xml:space="preserve"> NECA </w:t>
      </w:r>
      <w:r w:rsidR="0044252A">
        <w:t>with</w:t>
      </w:r>
      <w:r w:rsidR="007342F0">
        <w:t xml:space="preserve"> its </w:t>
      </w:r>
      <w:r w:rsidR="00636ADA">
        <w:t xml:space="preserve">election notice by March 1, 2019, </w:t>
      </w:r>
      <w:r w:rsidR="00030C20">
        <w:t xml:space="preserve">and </w:t>
      </w:r>
      <w:r w:rsidR="00636ADA">
        <w:t>filed its cost study in April 2019</w:t>
      </w:r>
      <w:r w:rsidR="0030172F">
        <w:t xml:space="preserve"> to allow NECA to calculate </w:t>
      </w:r>
      <w:r w:rsidR="003556C3">
        <w:t>revised tariff rates</w:t>
      </w:r>
      <w:r w:rsidR="004A4048">
        <w:t>,</w:t>
      </w:r>
      <w:r>
        <w:rPr>
          <w:rStyle w:val="FootnoteReference"/>
        </w:rPr>
        <w:footnoteReference w:id="14"/>
      </w:r>
      <w:r w:rsidR="004A4048">
        <w:t xml:space="preserve"> </w:t>
      </w:r>
      <w:r w:rsidR="0087150B">
        <w:t>thu</w:t>
      </w:r>
      <w:r w:rsidR="00030C20">
        <w:t>s taking “</w:t>
      </w:r>
      <w:r w:rsidR="004A4048">
        <w:t>all the necessary s</w:t>
      </w:r>
      <w:r w:rsidR="008D14EF">
        <w:t>teps to finalize the BDS Election with NECA</w:t>
      </w:r>
      <w:r w:rsidR="00636ADA">
        <w:t>.</w:t>
      </w:r>
      <w:r w:rsidR="008D14EF">
        <w:t>”</w:t>
      </w:r>
      <w:r>
        <w:rPr>
          <w:rStyle w:val="FootnoteReference"/>
        </w:rPr>
        <w:footnoteReference w:id="15"/>
      </w:r>
      <w:r w:rsidR="00FF31E7">
        <w:t xml:space="preserve">  </w:t>
      </w:r>
      <w:r w:rsidR="009754F8">
        <w:t xml:space="preserve">Magna5 </w:t>
      </w:r>
      <w:r w:rsidR="003E685B">
        <w:t>also</w:t>
      </w:r>
      <w:r w:rsidR="009754F8">
        <w:t xml:space="preserve"> notified NECA of its election </w:t>
      </w:r>
      <w:r w:rsidR="000D491E">
        <w:t>in a timely manner</w:t>
      </w:r>
      <w:r w:rsidR="00D44ABE">
        <w:t>,</w:t>
      </w:r>
      <w:r>
        <w:rPr>
          <w:rStyle w:val="FootnoteReference"/>
        </w:rPr>
        <w:footnoteReference w:id="16"/>
      </w:r>
      <w:r w:rsidR="00D44ABE">
        <w:t xml:space="preserve"> </w:t>
      </w:r>
      <w:r w:rsidR="00395DCF">
        <w:t xml:space="preserve">and </w:t>
      </w:r>
      <w:r w:rsidR="00395DCF">
        <w:t xml:space="preserve">NECA </w:t>
      </w:r>
      <w:r w:rsidR="003A6444">
        <w:t>is “ready to finalize” removing “Magna5 RTC from its NECA F.C.C. No. 5 tariff</w:t>
      </w:r>
      <w:r w:rsidR="009754F8">
        <w:t>.</w:t>
      </w:r>
      <w:r w:rsidR="003A6444">
        <w:t>”</w:t>
      </w:r>
      <w:r>
        <w:rPr>
          <w:rStyle w:val="FootnoteReference"/>
        </w:rPr>
        <w:footnoteReference w:id="17"/>
      </w:r>
      <w:r w:rsidR="009754F8">
        <w:t xml:space="preserve">  </w:t>
      </w:r>
      <w:r w:rsidR="00636F9E">
        <w:t>NECA has been calculating rates for its tariff under the assumption that both Cass and Magna5 would be withdrawing their BDS offerings from the NECA pool.  If we were to deny the carriers’ waiver requests, NECA would have to revisit its rate calculations on very short notice before its deadline for making its annual filing.</w:t>
      </w:r>
      <w:r>
        <w:rPr>
          <w:rStyle w:val="FootnoteReference"/>
        </w:rPr>
        <w:footnoteReference w:id="18"/>
      </w:r>
    </w:p>
    <w:p w:rsidR="00041BFE" w:rsidP="00FB7455" w14:paraId="6FF7EE18" w14:textId="33495390">
      <w:pPr>
        <w:pStyle w:val="ParaNum"/>
      </w:pPr>
      <w:r>
        <w:t>Moreover, no harm has been done by the short delay in the Bureau receiving notice of Petitioners election.</w:t>
      </w:r>
      <w:r>
        <w:rPr>
          <w:rStyle w:val="FootnoteReference"/>
        </w:rPr>
        <w:footnoteReference w:id="19"/>
      </w:r>
      <w:r>
        <w:t xml:space="preserve">  In fact, </w:t>
      </w:r>
      <w:r w:rsidR="00FF31E7">
        <w:t xml:space="preserve">Cass mailed its election </w:t>
      </w:r>
      <w:r w:rsidR="00E93DB3">
        <w:t xml:space="preserve">notice to the </w:t>
      </w:r>
      <w:r w:rsidR="009754F8">
        <w:t>Bureau</w:t>
      </w:r>
      <w:r w:rsidR="00E93DB3">
        <w:t xml:space="preserve"> on April 19, 2019, </w:t>
      </w:r>
      <w:r w:rsidR="00440A0B">
        <w:t xml:space="preserve">more than 10 days </w:t>
      </w:r>
      <w:r w:rsidR="00B82770">
        <w:t xml:space="preserve">before the </w:t>
      </w:r>
      <w:r w:rsidR="00440A0B">
        <w:t>deadline</w:t>
      </w:r>
      <w:r w:rsidR="00765519">
        <w:t xml:space="preserve"> </w:t>
      </w:r>
      <w:r w:rsidR="00B82770">
        <w:t xml:space="preserve">for filing its notice with </w:t>
      </w:r>
      <w:r w:rsidR="00765519">
        <w:t>the Commission</w:t>
      </w:r>
      <w:r w:rsidR="00440A0B">
        <w:t>.</w:t>
      </w:r>
      <w:r>
        <w:rPr>
          <w:rStyle w:val="FootnoteReference"/>
        </w:rPr>
        <w:footnoteReference w:id="20"/>
      </w:r>
      <w:r w:rsidR="00440A0B">
        <w:t xml:space="preserve">  </w:t>
      </w:r>
      <w:r w:rsidR="00D83C88">
        <w:t>B</w:t>
      </w:r>
      <w:r w:rsidR="00440A0B">
        <w:t xml:space="preserve">ut for </w:t>
      </w:r>
      <w:r w:rsidR="00090F15">
        <w:t xml:space="preserve">Cass’s </w:t>
      </w:r>
      <w:r w:rsidR="00440A0B">
        <w:t>use of a</w:t>
      </w:r>
      <w:r w:rsidR="00090F15">
        <w:t xml:space="preserve"> formerly valid </w:t>
      </w:r>
      <w:r w:rsidR="00332366">
        <w:t>mailing address</w:t>
      </w:r>
      <w:r w:rsidR="005B5BC2">
        <w:t>,</w:t>
      </w:r>
      <w:r w:rsidRPr="00090F15" w:rsidR="00090F15">
        <w:t xml:space="preserve"> </w:t>
      </w:r>
      <w:r w:rsidR="00090F15">
        <w:t>which is no longer in use</w:t>
      </w:r>
      <w:r w:rsidR="00332366">
        <w:t xml:space="preserve">, </w:t>
      </w:r>
      <w:r w:rsidR="00090F15">
        <w:t>its</w:t>
      </w:r>
      <w:r w:rsidR="00332366">
        <w:t xml:space="preserve"> election notice would </w:t>
      </w:r>
      <w:r w:rsidR="00E919E3">
        <w:t>have been received by May 1</w:t>
      </w:r>
      <w:r w:rsidR="009862FB">
        <w:t>, 2019</w:t>
      </w:r>
      <w:r w:rsidR="00E919E3">
        <w:t xml:space="preserve">.  </w:t>
      </w:r>
      <w:r>
        <w:t>For its part,</w:t>
      </w:r>
      <w:r w:rsidR="008D14EF">
        <w:t xml:space="preserve"> </w:t>
      </w:r>
      <w:r w:rsidR="00B21B02">
        <w:t>Magna5</w:t>
      </w:r>
      <w:r w:rsidR="002E0892">
        <w:t xml:space="preserve"> </w:t>
      </w:r>
      <w:r w:rsidR="0044322C">
        <w:t xml:space="preserve">mailed its notice a few days late, </w:t>
      </w:r>
      <w:r w:rsidR="00886605">
        <w:t>and, but for an internal routing complication caused by a missing docket number,</w:t>
      </w:r>
      <w:r w:rsidR="0044322C">
        <w:t xml:space="preserve"> the</w:t>
      </w:r>
      <w:r w:rsidR="00636F9E">
        <w:t xml:space="preserve"> </w:t>
      </w:r>
      <w:r w:rsidR="0044322C">
        <w:t>Bureau would have received it a</w:t>
      </w:r>
      <w:r w:rsidR="005F277B">
        <w:t>pproximately</w:t>
      </w:r>
      <w:r w:rsidR="0044322C">
        <w:t xml:space="preserve"> </w:t>
      </w:r>
      <w:r w:rsidR="006F2DD4">
        <w:t>one</w:t>
      </w:r>
      <w:r w:rsidR="005F277B">
        <w:t xml:space="preserve"> </w:t>
      </w:r>
      <w:r w:rsidR="0044322C">
        <w:t xml:space="preserve">week after the deadline. </w:t>
      </w:r>
      <w:r w:rsidR="006F2DD4">
        <w:t xml:space="preserve"> </w:t>
      </w:r>
      <w:r w:rsidR="00090F15">
        <w:t>W</w:t>
      </w:r>
      <w:r w:rsidR="008D14EF">
        <w:t>hen Cass</w:t>
      </w:r>
      <w:r w:rsidR="004A7549">
        <w:t xml:space="preserve"> and </w:t>
      </w:r>
      <w:r w:rsidR="00451703">
        <w:t xml:space="preserve">Magna5 </w:t>
      </w:r>
      <w:r w:rsidR="008D14EF">
        <w:t xml:space="preserve">learned of </w:t>
      </w:r>
      <w:r w:rsidR="00451703">
        <w:t>the</w:t>
      </w:r>
      <w:r w:rsidR="005A3F0E">
        <w:t xml:space="preserve"> problems associated with their filings</w:t>
      </w:r>
      <w:r w:rsidR="00C979C3">
        <w:t xml:space="preserve">, </w:t>
      </w:r>
      <w:r w:rsidR="005A3F0E">
        <w:t xml:space="preserve">they consulted </w:t>
      </w:r>
      <w:r w:rsidR="00DD72CF">
        <w:t xml:space="preserve">with </w:t>
      </w:r>
      <w:r w:rsidR="005A3F0E">
        <w:t xml:space="preserve">NECA and Commission staff, and </w:t>
      </w:r>
      <w:r w:rsidR="00C979C3">
        <w:t>promptly filed petition</w:t>
      </w:r>
      <w:r w:rsidR="005A3F0E">
        <w:t>s</w:t>
      </w:r>
      <w:r w:rsidR="00C979C3">
        <w:t xml:space="preserve"> for waiver</w:t>
      </w:r>
      <w:r w:rsidR="003A6887">
        <w:t xml:space="preserve"> to cure the defect.</w:t>
      </w:r>
      <w:r>
        <w:rPr>
          <w:rStyle w:val="FootnoteReference"/>
        </w:rPr>
        <w:footnoteReference w:id="21"/>
      </w:r>
      <w:r w:rsidR="00D36ABA">
        <w:t xml:space="preserve">  </w:t>
      </w:r>
      <w:r w:rsidR="00E545BC">
        <w:t xml:space="preserve">In this case, grant of the </w:t>
      </w:r>
      <w:r w:rsidR="005F3127">
        <w:t>waivers would be consistent with the purpose of the rule, which is to facilitate implementation of the revised tariffs.</w:t>
      </w:r>
      <w:r w:rsidR="0093319C">
        <w:t xml:space="preserve">  We note that because of NECA’s and the carriers’ </w:t>
      </w:r>
      <w:r w:rsidR="00BE3F17">
        <w:t>prompt actions upon learning of the mail delivery problems, the Bureau received notice in time to facilitate</w:t>
      </w:r>
      <w:r w:rsidR="0003494F">
        <w:t xml:space="preserve"> implementation of the revised tariffs in the 2019 cycle.</w:t>
      </w:r>
    </w:p>
    <w:p w:rsidR="00B3478B" w:rsidRPr="005C684D" w:rsidP="00B3478B" w14:paraId="1501DBF6" w14:textId="534D58BD">
      <w:pPr>
        <w:pStyle w:val="ParaNum"/>
      </w:pPr>
      <w:r>
        <w:rPr>
          <w:i/>
        </w:rPr>
        <w:t>Public Interest.</w:t>
      </w:r>
      <w:r>
        <w:t xml:space="preserve">  </w:t>
      </w:r>
      <w:r w:rsidR="00636F9E">
        <w:t>The public interest will be served by granting t</w:t>
      </w:r>
      <w:r w:rsidR="00C5699B">
        <w:t>h</w:t>
      </w:r>
      <w:r w:rsidR="00886605">
        <w:t>ese</w:t>
      </w:r>
      <w:r w:rsidR="00636F9E">
        <w:t xml:space="preserve"> waiver</w:t>
      </w:r>
      <w:r w:rsidR="00886605">
        <w:t xml:space="preserve"> requests</w:t>
      </w:r>
      <w:r w:rsidR="00636F9E">
        <w:t xml:space="preserve">.  </w:t>
      </w:r>
      <w:r>
        <w:t xml:space="preserve">In the </w:t>
      </w:r>
      <w:r w:rsidRPr="00EE297E">
        <w:rPr>
          <w:rFonts w:ascii="TimesNewRoman,Italic" w:hAnsi="TimesNewRoman,Italic" w:cs="TimesNewRoman,Italic"/>
          <w:i/>
          <w:iCs/>
          <w:snapToGrid/>
        </w:rPr>
        <w:t>Rate-of-Return BDS Order</w:t>
      </w:r>
      <w:r w:rsidRPr="00EE297E">
        <w:rPr>
          <w:snapToGrid/>
        </w:rPr>
        <w:t>, the Commission</w:t>
      </w:r>
      <w:r>
        <w:rPr>
          <w:snapToGrid/>
        </w:rPr>
        <w:t xml:space="preserve"> found that allowing electing carriers to choose a lighter touch regulatory framework </w:t>
      </w:r>
      <w:r w:rsidR="004B35D6">
        <w:rPr>
          <w:snapToGrid/>
        </w:rPr>
        <w:t xml:space="preserve">would </w:t>
      </w:r>
      <w:r w:rsidR="00B4613A">
        <w:rPr>
          <w:snapToGrid/>
        </w:rPr>
        <w:t>“help drive competition for BDS offerings in the communities served by those carriers,” “reduce unnecessary regulatory burdens faced by those carriers</w:t>
      </w:r>
      <w:r w:rsidR="005010E4">
        <w:rPr>
          <w:snapToGrid/>
        </w:rPr>
        <w:t>,</w:t>
      </w:r>
      <w:r w:rsidR="00B4613A">
        <w:rPr>
          <w:snapToGrid/>
        </w:rPr>
        <w:t>”</w:t>
      </w:r>
      <w:r>
        <w:rPr>
          <w:rStyle w:val="FootnoteReference"/>
          <w:snapToGrid/>
        </w:rPr>
        <w:footnoteReference w:id="22"/>
      </w:r>
      <w:r w:rsidR="00B4613A">
        <w:rPr>
          <w:snapToGrid/>
        </w:rPr>
        <w:t xml:space="preserve"> and </w:t>
      </w:r>
      <w:r>
        <w:rPr>
          <w:snapToGrid/>
        </w:rPr>
        <w:t>result in “</w:t>
      </w:r>
      <w:r w:rsidRPr="008865EB">
        <w:rPr>
          <w:snapToGrid/>
        </w:rPr>
        <w:t>the right balance of relief from the burdensome aspects of rate-of-return regulation and pricing discipline.</w:t>
      </w:r>
      <w:r>
        <w:rPr>
          <w:snapToGrid/>
        </w:rPr>
        <w:t>”</w:t>
      </w:r>
      <w:r>
        <w:rPr>
          <w:rStyle w:val="FootnoteReference"/>
          <w:snapToGrid/>
        </w:rPr>
        <w:footnoteReference w:id="23"/>
      </w:r>
      <w:r>
        <w:rPr>
          <w:snapToGrid/>
        </w:rPr>
        <w:t xml:space="preserve">  </w:t>
      </w:r>
      <w:r w:rsidR="00E84926">
        <w:rPr>
          <w:snapToGrid/>
        </w:rPr>
        <w:t xml:space="preserve">For the reasons described therein, the Commission </w:t>
      </w:r>
      <w:r w:rsidR="00AC0022">
        <w:rPr>
          <w:snapToGrid/>
        </w:rPr>
        <w:t xml:space="preserve">has </w:t>
      </w:r>
      <w:r w:rsidR="00356535">
        <w:rPr>
          <w:snapToGrid/>
        </w:rPr>
        <w:t xml:space="preserve">already </w:t>
      </w:r>
      <w:r w:rsidR="00AC0022">
        <w:rPr>
          <w:snapToGrid/>
        </w:rPr>
        <w:t xml:space="preserve">concluded that </w:t>
      </w:r>
      <w:r w:rsidRPr="00AC0022" w:rsidR="00AC0022">
        <w:rPr>
          <w:snapToGrid/>
        </w:rPr>
        <w:t xml:space="preserve">allowing </w:t>
      </w:r>
      <w:r w:rsidR="00AC0022">
        <w:rPr>
          <w:snapToGrid/>
        </w:rPr>
        <w:t xml:space="preserve">rate-of-return </w:t>
      </w:r>
      <w:r w:rsidRPr="00AC0022" w:rsidR="00AC0022">
        <w:rPr>
          <w:snapToGrid/>
        </w:rPr>
        <w:t xml:space="preserve">carriers to transition </w:t>
      </w:r>
      <w:r w:rsidR="008827FE">
        <w:rPr>
          <w:snapToGrid/>
        </w:rPr>
        <w:t xml:space="preserve">to </w:t>
      </w:r>
      <w:r w:rsidR="00E25115">
        <w:rPr>
          <w:snapToGrid/>
        </w:rPr>
        <w:t xml:space="preserve">incentive regulation </w:t>
      </w:r>
      <w:r w:rsidR="00AC0022">
        <w:rPr>
          <w:snapToGrid/>
        </w:rPr>
        <w:t>will</w:t>
      </w:r>
      <w:r w:rsidR="00C20CDF">
        <w:rPr>
          <w:snapToGrid/>
        </w:rPr>
        <w:t xml:space="preserve"> </w:t>
      </w:r>
      <w:r w:rsidR="0032529D">
        <w:rPr>
          <w:snapToGrid/>
        </w:rPr>
        <w:t>“foster network investment . . . impose downward pressure on prices . . . [and] spur entry, innovation, and competition.”</w:t>
      </w:r>
      <w:r>
        <w:rPr>
          <w:rStyle w:val="FootnoteReference"/>
          <w:snapToGrid/>
        </w:rPr>
        <w:footnoteReference w:id="24"/>
      </w:r>
      <w:r w:rsidR="0032529D">
        <w:rPr>
          <w:snapToGrid/>
        </w:rPr>
        <w:t xml:space="preserve">  </w:t>
      </w:r>
      <w:r w:rsidR="003E5083">
        <w:rPr>
          <w:snapToGrid/>
        </w:rPr>
        <w:t xml:space="preserve">Denying these petitions would </w:t>
      </w:r>
      <w:r w:rsidR="00356535">
        <w:rPr>
          <w:snapToGrid/>
        </w:rPr>
        <w:t>delay</w:t>
      </w:r>
      <w:r w:rsidR="004E35BD">
        <w:rPr>
          <w:snapToGrid/>
        </w:rPr>
        <w:t xml:space="preserve"> these </w:t>
      </w:r>
      <w:r w:rsidR="00356535">
        <w:rPr>
          <w:snapToGrid/>
        </w:rPr>
        <w:t>carriers</w:t>
      </w:r>
      <w:r w:rsidR="003E5083">
        <w:rPr>
          <w:snapToGrid/>
        </w:rPr>
        <w:t>’</w:t>
      </w:r>
      <w:r w:rsidR="00356535">
        <w:rPr>
          <w:snapToGrid/>
        </w:rPr>
        <w:t xml:space="preserve"> electi</w:t>
      </w:r>
      <w:r w:rsidR="003E5083">
        <w:rPr>
          <w:snapToGrid/>
        </w:rPr>
        <w:t>on of</w:t>
      </w:r>
      <w:r w:rsidR="00356535">
        <w:rPr>
          <w:snapToGrid/>
        </w:rPr>
        <w:t xml:space="preserve"> </w:t>
      </w:r>
      <w:r w:rsidR="004F2DC8">
        <w:rPr>
          <w:snapToGrid/>
        </w:rPr>
        <w:t xml:space="preserve">incentive regulation </w:t>
      </w:r>
      <w:r w:rsidR="004E35BD">
        <w:rPr>
          <w:snapToGrid/>
        </w:rPr>
        <w:t>for an additional year</w:t>
      </w:r>
      <w:r w:rsidR="00E24E07">
        <w:rPr>
          <w:snapToGrid/>
        </w:rPr>
        <w:t xml:space="preserve"> and</w:t>
      </w:r>
      <w:r w:rsidR="002F5062">
        <w:rPr>
          <w:snapToGrid/>
        </w:rPr>
        <w:t xml:space="preserve"> consequently delay </w:t>
      </w:r>
      <w:r w:rsidR="00FC1F0B">
        <w:rPr>
          <w:snapToGrid/>
        </w:rPr>
        <w:t xml:space="preserve">for a full year </w:t>
      </w:r>
      <w:r w:rsidR="002F5062">
        <w:rPr>
          <w:snapToGrid/>
        </w:rPr>
        <w:t xml:space="preserve">the marketplace benefits associated with the Commission’s </w:t>
      </w:r>
      <w:r w:rsidR="00FC1F0B">
        <w:rPr>
          <w:snapToGrid/>
        </w:rPr>
        <w:t>revised rules</w:t>
      </w:r>
      <w:r w:rsidR="00254075">
        <w:rPr>
          <w:snapToGrid/>
        </w:rPr>
        <w:t>,</w:t>
      </w:r>
      <w:r w:rsidR="004E35BD">
        <w:rPr>
          <w:snapToGrid/>
        </w:rPr>
        <w:t xml:space="preserve"> </w:t>
      </w:r>
      <w:r w:rsidR="005973D1">
        <w:rPr>
          <w:snapToGrid/>
        </w:rPr>
        <w:t xml:space="preserve">which </w:t>
      </w:r>
      <w:r w:rsidR="00280ABA">
        <w:rPr>
          <w:snapToGrid/>
        </w:rPr>
        <w:t xml:space="preserve">would be </w:t>
      </w:r>
      <w:r w:rsidR="00A1485C">
        <w:rPr>
          <w:snapToGrid/>
        </w:rPr>
        <w:t xml:space="preserve">contrary to </w:t>
      </w:r>
      <w:r w:rsidR="00280ABA">
        <w:rPr>
          <w:snapToGrid/>
        </w:rPr>
        <w:t xml:space="preserve">the public </w:t>
      </w:r>
      <w:r w:rsidR="00205175">
        <w:rPr>
          <w:snapToGrid/>
        </w:rPr>
        <w:t>interest</w:t>
      </w:r>
      <w:r w:rsidR="00280ABA">
        <w:rPr>
          <w:snapToGrid/>
        </w:rPr>
        <w:t>.</w:t>
      </w:r>
      <w:r>
        <w:rPr>
          <w:rStyle w:val="FootnoteReference"/>
          <w:snapToGrid/>
        </w:rPr>
        <w:footnoteReference w:id="25"/>
      </w:r>
      <w:r w:rsidR="004E35BD">
        <w:rPr>
          <w:snapToGrid/>
        </w:rPr>
        <w:t xml:space="preserve">  </w:t>
      </w:r>
    </w:p>
    <w:p w:rsidR="003248F1" w:rsidRPr="00B3478B" w:rsidP="00B3478B" w14:paraId="4EB5E336" w14:textId="570F9C4A">
      <w:pPr>
        <w:pStyle w:val="ParaNum"/>
      </w:pPr>
      <w:r>
        <w:t xml:space="preserve">For </w:t>
      </w:r>
      <w:r>
        <w:t>all of</w:t>
      </w:r>
      <w:r>
        <w:t xml:space="preserve"> the reasons explained above, we grant both Cass’s and Magna5’s petitions for waiver.</w:t>
      </w:r>
    </w:p>
    <w:p w:rsidR="009153EA" w:rsidP="009153EA" w14:paraId="28C372C0" w14:textId="5ACD2796">
      <w:pPr>
        <w:pStyle w:val="Heading1"/>
      </w:pPr>
      <w:r>
        <w:t>Ordering Clauses</w:t>
      </w:r>
    </w:p>
    <w:p w:rsidR="00314925" w:rsidRPr="0019242C" w:rsidP="00314925" w14:paraId="43C80015" w14:textId="5B7D12A3">
      <w:pPr>
        <w:pStyle w:val="ParaNum"/>
      </w:pPr>
      <w:r w:rsidRPr="0019242C">
        <w:t>Accordingly, IT IS ORDERED, pursuant to sections 1, 4(i)</w:t>
      </w:r>
      <w:r w:rsidR="00376C51">
        <w:t>—(j)</w:t>
      </w:r>
      <w:r w:rsidRPr="0019242C">
        <w:t>, 5(c)</w:t>
      </w:r>
      <w:r w:rsidR="009B5080">
        <w:t>,</w:t>
      </w:r>
      <w:r w:rsidR="00653F5D">
        <w:t xml:space="preserve"> </w:t>
      </w:r>
      <w:r w:rsidR="009B5080">
        <w:t>201(b), 202(a), and 303(r)</w:t>
      </w:r>
      <w:r w:rsidRPr="0019242C" w:rsidR="00037148">
        <w:t xml:space="preserve"> </w:t>
      </w:r>
      <w:r w:rsidRPr="0019242C">
        <w:t>of the Communications Act of 1934, as amended, 47 U.S.C. §§ 151, 154(i)</w:t>
      </w:r>
      <w:r w:rsidR="00686892">
        <w:t>—(j)</w:t>
      </w:r>
      <w:r w:rsidRPr="0019242C">
        <w:t xml:space="preserve">, 155(c), </w:t>
      </w:r>
      <w:r w:rsidRPr="009B5080" w:rsidR="009B5080">
        <w:t>201(b), 202(a), and 303(r)</w:t>
      </w:r>
      <w:r w:rsidRPr="009B5080" w:rsidR="009B5080">
        <w:t xml:space="preserve"> </w:t>
      </w:r>
      <w:r w:rsidRPr="0019242C">
        <w:t>and sections 0.91, 0.291,</w:t>
      </w:r>
      <w:r>
        <w:t xml:space="preserve"> </w:t>
      </w:r>
      <w:r w:rsidRPr="0019242C">
        <w:t>and 1.3 of the Commission’s rules, 47 CFR §§ 0.91, 0.291,</w:t>
      </w:r>
      <w:r>
        <w:t xml:space="preserve"> </w:t>
      </w:r>
      <w:r w:rsidRPr="0019242C">
        <w:t>1.3, that this Order IS ADOPTED.</w:t>
      </w:r>
    </w:p>
    <w:p w:rsidR="00314925" w:rsidP="00314925" w14:paraId="6AB80E00" w14:textId="318100CC">
      <w:pPr>
        <w:pStyle w:val="ParaNum"/>
      </w:pPr>
      <w:r w:rsidRPr="0019242C">
        <w:t>IT IS FURTHER ORDERED that</w:t>
      </w:r>
      <w:r>
        <w:t xml:space="preserve"> the petition</w:t>
      </w:r>
      <w:r w:rsidR="009160DD">
        <w:t>s</w:t>
      </w:r>
      <w:r>
        <w:t xml:space="preserve"> for waiver filed by </w:t>
      </w:r>
      <w:r w:rsidR="00CA5FC1">
        <w:t>Cass Telephone Company,</w:t>
      </w:r>
      <w:r>
        <w:t xml:space="preserve"> </w:t>
      </w:r>
      <w:r w:rsidR="009160DD">
        <w:t xml:space="preserve">and Magna5 </w:t>
      </w:r>
      <w:r w:rsidR="001C47E9">
        <w:t xml:space="preserve">RTC </w:t>
      </w:r>
      <w:r w:rsidR="009160DD">
        <w:t>d/b/a</w:t>
      </w:r>
      <w:r w:rsidR="001C47E9">
        <w:t xml:space="preserve"> Richmond Telephone Comp</w:t>
      </w:r>
      <w:r w:rsidR="00C54A8B">
        <w:t>a</w:t>
      </w:r>
      <w:r w:rsidR="001C47E9">
        <w:t>ny</w:t>
      </w:r>
      <w:r w:rsidR="009160DD">
        <w:t xml:space="preserve"> ARE</w:t>
      </w:r>
      <w:r>
        <w:t xml:space="preserve"> GRANTED </w:t>
      </w:r>
      <w:r w:rsidRPr="0019242C">
        <w:t>as described herein</w:t>
      </w:r>
      <w:r>
        <w:t>.</w:t>
      </w:r>
    </w:p>
    <w:p w:rsidR="00314925" w:rsidP="005402B2" w14:paraId="7BCBF8E1" w14:textId="47F008A8">
      <w:pPr>
        <w:pStyle w:val="ParaNum"/>
        <w:spacing w:before="120"/>
      </w:pPr>
      <w:r w:rsidRPr="0019242C">
        <w:t>IT IS FURTHER ORDERED that, pursuant to section 1.102(b)(1) of the Commission’s rules, 47 CFR § 1.102(b)(1), this Order SHALL BE EFFECTIVE upon release.</w:t>
      </w:r>
    </w:p>
    <w:p w:rsidR="00606667" w:rsidRPr="0019242C" w:rsidP="00606667" w14:paraId="5E88E2E1" w14:textId="77777777">
      <w:pPr>
        <w:pStyle w:val="ParaNum"/>
        <w:numPr>
          <w:ilvl w:val="0"/>
          <w:numId w:val="0"/>
        </w:numPr>
        <w:spacing w:before="120"/>
        <w:ind w:left="720"/>
      </w:pPr>
    </w:p>
    <w:p w:rsidR="005402B2" w:rsidP="005402B2" w14:paraId="5B17C047" w14:textId="77777777">
      <w:pPr>
        <w:spacing w:before="120"/>
      </w:pPr>
      <w:r>
        <w:tab/>
      </w:r>
      <w:r>
        <w:tab/>
      </w:r>
      <w:r>
        <w:tab/>
      </w:r>
      <w:r>
        <w:tab/>
      </w:r>
      <w:r>
        <w:tab/>
      </w:r>
      <w:r>
        <w:tab/>
        <w:t>FEDERAL COMMUNICATIONS COMMISSION</w:t>
      </w:r>
    </w:p>
    <w:p w:rsidR="005402B2" w:rsidP="0017296B" w14:paraId="39385D67" w14:textId="77777777"/>
    <w:p w:rsidR="005402B2" w:rsidP="0017296B" w14:paraId="42640AB0" w14:textId="77777777"/>
    <w:p w:rsidR="005402B2" w:rsidP="0017296B" w14:paraId="12FAECB7" w14:textId="77777777"/>
    <w:p w:rsidR="005402B2" w:rsidP="0017296B" w14:paraId="3F57D5BD" w14:textId="77777777"/>
    <w:p w:rsidR="005402B2" w:rsidRPr="0019242C" w:rsidP="005402B2" w14:paraId="27AF8269" w14:textId="77777777">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5402B2" w:rsidRPr="0019242C" w:rsidP="005402B2" w14:paraId="132ACC51"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412FC5" w:rsidP="00CC1DD1" w14:paraId="6BECEE8E" w14:textId="77777777">
      <w:pPr>
        <w:pStyle w:val="ParaNum"/>
        <w:numPr>
          <w:ilvl w:val="0"/>
          <w:numId w:val="0"/>
        </w:numPr>
      </w:pPr>
      <w:r w:rsidRPr="0019242C">
        <w:tab/>
      </w:r>
      <w:r w:rsidRPr="0019242C">
        <w:tab/>
      </w:r>
      <w:r w:rsidRPr="0019242C">
        <w:tab/>
      </w:r>
      <w:r w:rsidRPr="0019242C">
        <w:tab/>
      </w:r>
      <w:r w:rsidRPr="0019242C">
        <w:tab/>
      </w:r>
      <w:r>
        <w:tab/>
      </w:r>
      <w:r w:rsidRPr="0019242C">
        <w:t>Wireline Competition Bureau</w:t>
      </w:r>
      <w:r w:rsidRPr="0019242C" w:rsidR="00314925">
        <w:rPr>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E6E1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74B9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2F6C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466B6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59E8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33E4" w14:paraId="769C216E" w14:textId="77777777">
      <w:r>
        <w:separator/>
      </w:r>
    </w:p>
  </w:footnote>
  <w:footnote w:type="continuationSeparator" w:id="1">
    <w:p w:rsidR="003133E4" w:rsidP="00C721AC" w14:paraId="586C1A48" w14:textId="77777777">
      <w:pPr>
        <w:spacing w:before="120"/>
        <w:rPr>
          <w:sz w:val="20"/>
        </w:rPr>
      </w:pPr>
      <w:r>
        <w:rPr>
          <w:sz w:val="20"/>
        </w:rPr>
        <w:t xml:space="preserve">(Continued from previous page)  </w:t>
      </w:r>
      <w:r>
        <w:rPr>
          <w:sz w:val="20"/>
        </w:rPr>
        <w:separator/>
      </w:r>
    </w:p>
  </w:footnote>
  <w:footnote w:type="continuationNotice" w:id="2">
    <w:p w:rsidR="003133E4" w:rsidRPr="008A607E" w:rsidP="008A607E" w14:paraId="174FC656" w14:textId="77777777">
      <w:pPr>
        <w:pStyle w:val="Footer"/>
      </w:pPr>
    </w:p>
  </w:footnote>
  <w:footnote w:id="3">
    <w:p w:rsidR="00F8365B" w:rsidP="00F8365B" w14:paraId="4E3371D5" w14:textId="6EFF901F">
      <w:pPr>
        <w:pStyle w:val="FootnoteText"/>
      </w:pPr>
      <w:r>
        <w:rPr>
          <w:rStyle w:val="FootnoteReference"/>
        </w:rPr>
        <w:footnoteRef/>
      </w:r>
      <w:r>
        <w:t xml:space="preserve"> Petition for Waiver by Cass Telephone Company of the May 1, 2019 BDS Election Notice to the Wireline Competition Bureau, WC Docket No. 17-144 (filed May 22, 2019) (</w:t>
      </w:r>
      <w:r w:rsidRPr="00FE06A7">
        <w:rPr>
          <w:i/>
        </w:rPr>
        <w:t>Cass Petition</w:t>
      </w:r>
      <w:r>
        <w:t>); Petition for Waiver May 1, 2019 BDS Election Notice to the Wireline Competition Bureau, WC Docket No. 17-144 (filed May 23, 2019) (</w:t>
      </w:r>
      <w:r>
        <w:rPr>
          <w:i/>
        </w:rPr>
        <w:t>Magna5</w:t>
      </w:r>
      <w:r w:rsidRPr="00FE06A7">
        <w:rPr>
          <w:i/>
        </w:rPr>
        <w:t xml:space="preserve"> Petition</w:t>
      </w:r>
      <w:r>
        <w:t>)</w:t>
      </w:r>
      <w:r w:rsidR="008A607E">
        <w:t xml:space="preserve"> </w:t>
      </w:r>
      <w:r>
        <w:t>(each seeking a waiver of 47 CFR 61.50(l)(1)).</w:t>
      </w:r>
    </w:p>
  </w:footnote>
  <w:footnote w:id="4">
    <w:p w:rsidR="00EE297E" w:rsidP="00EE297E" w14:paraId="7A0CD3E7" w14:textId="7E0908A2">
      <w:pPr>
        <w:pStyle w:val="FootnoteText"/>
      </w:pPr>
      <w:r>
        <w:rPr>
          <w:rStyle w:val="FootnoteReference"/>
        </w:rPr>
        <w:footnoteRef/>
      </w:r>
      <w:r>
        <w:t xml:space="preserve"> </w:t>
      </w:r>
      <w:r w:rsidRPr="00DE5003">
        <w:rPr>
          <w:i/>
        </w:rPr>
        <w:t>Regulation of Business Data Services for Rate-of-Return Local Exchange Carriers</w:t>
      </w:r>
      <w:r w:rsidR="00F10ABF">
        <w:rPr>
          <w:i/>
        </w:rPr>
        <w:t xml:space="preserve"> et al.</w:t>
      </w:r>
      <w:r>
        <w:t xml:space="preserve">, WC Docket Nos. 17-144 et al., Report and Order, 33 FCC </w:t>
      </w:r>
      <w:r>
        <w:t>Rcd</w:t>
      </w:r>
      <w:r>
        <w:t xml:space="preserve"> 10403 (2018)</w:t>
      </w:r>
      <w:r w:rsidR="00E61003">
        <w:t xml:space="preserve"> (</w:t>
      </w:r>
      <w:bookmarkStart w:id="2" w:name="_Hlk9948210"/>
      <w:r w:rsidRPr="00EE297E" w:rsidR="009D172A">
        <w:rPr>
          <w:rFonts w:ascii="TimesNewRoman,Italic" w:hAnsi="TimesNewRoman,Italic" w:cs="TimesNewRoman,Italic"/>
          <w:i/>
          <w:iCs/>
        </w:rPr>
        <w:t>Rate-of-Return BDS Order</w:t>
      </w:r>
      <w:bookmarkEnd w:id="2"/>
      <w:r w:rsidR="007C2182">
        <w:rPr>
          <w:rFonts w:ascii="TimesNewRoman,Italic" w:hAnsi="TimesNewRoman,Italic" w:cs="TimesNewRoman,Italic"/>
          <w:iCs/>
        </w:rPr>
        <w:t xml:space="preserve"> or </w:t>
      </w:r>
      <w:r w:rsidR="007C2182">
        <w:rPr>
          <w:rFonts w:ascii="TimesNewRoman,Italic" w:hAnsi="TimesNewRoman,Italic" w:cs="TimesNewRoman,Italic"/>
          <w:i/>
          <w:iCs/>
        </w:rPr>
        <w:t>Order</w:t>
      </w:r>
      <w:r w:rsidR="009D172A">
        <w:t>)</w:t>
      </w:r>
      <w:r>
        <w:t>.</w:t>
      </w:r>
    </w:p>
  </w:footnote>
  <w:footnote w:id="5">
    <w:p w:rsidR="00F10ABF" w14:paraId="165C9772" w14:textId="4149D7E2">
      <w:pPr>
        <w:pStyle w:val="FootnoteText"/>
      </w:pPr>
      <w:r>
        <w:rPr>
          <w:rStyle w:val="FootnoteReference"/>
        </w:rPr>
        <w:footnoteRef/>
      </w:r>
      <w:r>
        <w:t xml:space="preserve"> </w:t>
      </w:r>
      <w:r w:rsidRPr="00FB7455">
        <w:rPr>
          <w:i/>
        </w:rPr>
        <w:t>Id</w:t>
      </w:r>
      <w:r>
        <w:t>. at 10445, para. 119.</w:t>
      </w:r>
    </w:p>
  </w:footnote>
  <w:footnote w:id="6">
    <w:p w:rsidR="00847D7F" w:rsidP="00847D7F" w14:paraId="5E9A7F93" w14:textId="5B96E90D">
      <w:pPr>
        <w:pStyle w:val="FootnoteText"/>
      </w:pPr>
      <w:r>
        <w:rPr>
          <w:rStyle w:val="FootnoteReference"/>
        </w:rPr>
        <w:footnoteRef/>
      </w:r>
      <w:r>
        <w:t xml:space="preserve"> </w:t>
      </w:r>
      <w:r w:rsidRPr="00847D7F">
        <w:rPr>
          <w:i/>
        </w:rPr>
        <w:t>See</w:t>
      </w:r>
      <w:r>
        <w:t xml:space="preserve"> </w:t>
      </w:r>
      <w:r w:rsidRPr="00F10ABF" w:rsidR="00F10ABF">
        <w:t xml:space="preserve">47 CFR § 69.3(e)(6); </w:t>
      </w:r>
      <w:r w:rsidRPr="00F10ABF" w:rsidR="00F10ABF">
        <w:rPr>
          <w:i/>
          <w:iCs/>
        </w:rPr>
        <w:t>see also id</w:t>
      </w:r>
      <w:r w:rsidRPr="00F10ABF" w:rsidR="00F10ABF">
        <w:t>. § 69.3(i)(1);</w:t>
      </w:r>
      <w:r w:rsidR="00F10ABF">
        <w:t xml:space="preserve"> </w:t>
      </w:r>
      <w:r>
        <w:t>Letter from Jeffrey E. Dupree, NECA, to Marlene H. Dortch, Secretary, FCC, WC Docket No</w:t>
      </w:r>
      <w:r w:rsidR="00BF3541">
        <w:t>s</w:t>
      </w:r>
      <w:r>
        <w:t>. 17-144 et al., at 1 (filed October 17, 2018)</w:t>
      </w:r>
      <w:r w:rsidR="00E821DD">
        <w:t xml:space="preserve"> (referencing the “administrative efforts that would be required by NECA to </w:t>
      </w:r>
      <w:r w:rsidRPr="00847D7F" w:rsidR="00E821DD">
        <w:t>implement the proposed business data services offerings</w:t>
      </w:r>
      <w:r w:rsidR="00E821DD">
        <w:t>”)</w:t>
      </w:r>
      <w:r>
        <w:t>.</w:t>
      </w:r>
      <w:r w:rsidR="00E821DD">
        <w:t xml:space="preserve">  </w:t>
      </w:r>
    </w:p>
  </w:footnote>
  <w:footnote w:id="7">
    <w:p w:rsidR="00EE297E" w:rsidP="00EE297E" w14:paraId="592A3F33" w14:textId="04082F1D">
      <w:pPr>
        <w:pStyle w:val="FootnoteText"/>
      </w:pPr>
      <w:r>
        <w:rPr>
          <w:rStyle w:val="FootnoteReference"/>
        </w:rPr>
        <w:footnoteRef/>
      </w:r>
      <w:r w:rsidRPr="00EA50DB" w:rsidR="00EA50DB">
        <w:t xml:space="preserve"> </w:t>
      </w:r>
      <w:r w:rsidRPr="00EE297E" w:rsidR="0048647E">
        <w:rPr>
          <w:rFonts w:ascii="TimesNewRoman,Italic" w:hAnsi="TimesNewRoman,Italic" w:cs="TimesNewRoman,Italic"/>
          <w:i/>
          <w:iCs/>
        </w:rPr>
        <w:t>Rate-of-Return BDS Order</w:t>
      </w:r>
      <w:r w:rsidR="0048647E">
        <w:rPr>
          <w:rFonts w:ascii="TimesNewRoman,Italic" w:hAnsi="TimesNewRoman,Italic" w:cs="TimesNewRoman,Italic"/>
          <w:iCs/>
        </w:rPr>
        <w:t xml:space="preserve">, 33 FCC </w:t>
      </w:r>
      <w:r w:rsidR="0048647E">
        <w:rPr>
          <w:rFonts w:ascii="TimesNewRoman,Italic" w:hAnsi="TimesNewRoman,Italic" w:cs="TimesNewRoman,Italic"/>
          <w:iCs/>
        </w:rPr>
        <w:t>Rcd</w:t>
      </w:r>
      <w:r w:rsidR="0048647E">
        <w:t xml:space="preserve"> at 10445, para. 119</w:t>
      </w:r>
      <w:r w:rsidR="00EA50DB">
        <w:t xml:space="preserve">; </w:t>
      </w:r>
      <w:r w:rsidRPr="00FB7455" w:rsidR="00EA50DB">
        <w:rPr>
          <w:i/>
        </w:rPr>
        <w:t>see also</w:t>
      </w:r>
      <w:r w:rsidR="00EA50DB">
        <w:t xml:space="preserve"> 47 CFR 61.50(l)(1) (setting the Bureau deadline at May 1, 2019). </w:t>
      </w:r>
    </w:p>
  </w:footnote>
  <w:footnote w:id="8">
    <w:p w:rsidR="00041BFE" w14:paraId="4B3809F5" w14:textId="0DEA6B04">
      <w:pPr>
        <w:pStyle w:val="FootnoteText"/>
      </w:pPr>
      <w:r>
        <w:rPr>
          <w:rStyle w:val="FootnoteReference"/>
        </w:rPr>
        <w:footnoteRef/>
      </w:r>
      <w:r w:rsidRPr="00FB7455">
        <w:rPr>
          <w:i/>
        </w:rPr>
        <w:t xml:space="preserve"> Cass Petition</w:t>
      </w:r>
      <w:r>
        <w:t xml:space="preserve"> at 2.</w:t>
      </w:r>
    </w:p>
  </w:footnote>
  <w:footnote w:id="9">
    <w:p w:rsidR="00041BFE" w14:paraId="173070A1" w14:textId="2952400B">
      <w:pPr>
        <w:pStyle w:val="FootnoteText"/>
      </w:pPr>
      <w:r>
        <w:rPr>
          <w:rStyle w:val="FootnoteReference"/>
        </w:rPr>
        <w:footnoteRef/>
      </w:r>
      <w:r>
        <w:t xml:space="preserve"> </w:t>
      </w:r>
      <w:r w:rsidRPr="00FB7455">
        <w:rPr>
          <w:i/>
        </w:rPr>
        <w:t>Magna Petition</w:t>
      </w:r>
      <w:r>
        <w:t xml:space="preserve"> at 2.</w:t>
      </w:r>
    </w:p>
  </w:footnote>
  <w:footnote w:id="10">
    <w:p w:rsidR="00C91D82" w14:paraId="522EE1CB" w14:textId="61266B7A">
      <w:pPr>
        <w:pStyle w:val="FootnoteText"/>
      </w:pPr>
      <w:r>
        <w:rPr>
          <w:rStyle w:val="FootnoteReference"/>
        </w:rPr>
        <w:footnoteRef/>
      </w:r>
      <w:r>
        <w:t xml:space="preserve"> </w:t>
      </w:r>
      <w:r w:rsidRPr="00FB7455">
        <w:rPr>
          <w:i/>
        </w:rPr>
        <w:t>See</w:t>
      </w:r>
      <w:r>
        <w:t xml:space="preserve"> Letter from Joseph O’Hara, Chief Financial Officer, Magna5 LLC, to Marlene H. Dortch, Secretary, FCC, WC Docket No. 17-144</w:t>
      </w:r>
      <w:r w:rsidR="00CD4C58">
        <w:t xml:space="preserve"> (filed May 9, 2019).  </w:t>
      </w:r>
    </w:p>
  </w:footnote>
  <w:footnote w:id="11">
    <w:p w:rsidR="00B62F9B" w:rsidP="00B62F9B" w14:paraId="3B431AD3" w14:textId="77777777">
      <w:pPr>
        <w:pStyle w:val="FootnoteText"/>
      </w:pPr>
      <w:r>
        <w:rPr>
          <w:rStyle w:val="FootnoteReference"/>
        </w:rPr>
        <w:footnoteRef/>
      </w:r>
      <w:r>
        <w:t xml:space="preserve"> </w:t>
      </w:r>
      <w:r w:rsidRPr="007F4A5D">
        <w:t>47 CFR § 1.3</w:t>
      </w:r>
      <w:r>
        <w:t>.</w:t>
      </w:r>
    </w:p>
  </w:footnote>
  <w:footnote w:id="12">
    <w:p w:rsidR="00B62F9B" w:rsidRPr="008C2A06" w:rsidP="00B62F9B" w14:paraId="1868F1C3" w14:textId="2E70D188">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w:t>
      </w:r>
      <w:r w:rsidR="007243D7">
        <w:t xml:space="preserve"> </w:t>
      </w:r>
      <w:r>
        <w:t>Ct. 461 (1972)).</w:t>
      </w:r>
      <w:r w:rsidRPr="008C2A06">
        <w:rPr>
          <w:i/>
        </w:rPr>
        <w:t xml:space="preserve"> </w:t>
      </w:r>
    </w:p>
  </w:footnote>
  <w:footnote w:id="13">
    <w:p w:rsidR="00F00B1D" w:rsidP="00F00B1D" w14:paraId="6DDABCCA" w14:textId="77777777">
      <w:pPr>
        <w:pStyle w:val="FootnoteText"/>
      </w:pPr>
      <w:r>
        <w:rPr>
          <w:rStyle w:val="FootnoteReference"/>
        </w:rPr>
        <w:footnoteRef/>
      </w:r>
      <w:r>
        <w:t xml:space="preserve"> </w:t>
      </w:r>
      <w:r w:rsidRPr="00DD2ED8">
        <w:rPr>
          <w:i/>
        </w:rPr>
        <w:t>WAIT Radio</w:t>
      </w:r>
      <w:r w:rsidRPr="00132DF1">
        <w:t>, 418 F.2d</w:t>
      </w:r>
      <w:r>
        <w:t xml:space="preserve"> at</w:t>
      </w:r>
      <w:r w:rsidRPr="00132DF1">
        <w:t xml:space="preserve"> 1159; </w:t>
      </w:r>
      <w:r w:rsidRPr="00DD2ED8">
        <w:rPr>
          <w:i/>
        </w:rPr>
        <w:t>Northeast Cellular</w:t>
      </w:r>
      <w:r w:rsidRPr="00132DF1">
        <w:t>, 897 F.2d at 1166.</w:t>
      </w:r>
    </w:p>
  </w:footnote>
  <w:footnote w:id="14">
    <w:p w:rsidR="00B25EE5" w14:paraId="01EB9D31" w14:textId="0FA21990">
      <w:pPr>
        <w:pStyle w:val="FootnoteText"/>
      </w:pPr>
      <w:r>
        <w:rPr>
          <w:rStyle w:val="FootnoteReference"/>
        </w:rPr>
        <w:footnoteRef/>
      </w:r>
      <w:r>
        <w:t xml:space="preserve"> </w:t>
      </w:r>
      <w:r w:rsidRPr="00B25EE5">
        <w:rPr>
          <w:i/>
        </w:rPr>
        <w:t>Cass Petition</w:t>
      </w:r>
      <w:r w:rsidRPr="00B25EE5">
        <w:t xml:space="preserve"> at </w:t>
      </w:r>
      <w:r>
        <w:t>2</w:t>
      </w:r>
      <w:r w:rsidRPr="00B25EE5">
        <w:t>.</w:t>
      </w:r>
      <w:r>
        <w:t xml:space="preserve">  </w:t>
      </w:r>
    </w:p>
  </w:footnote>
  <w:footnote w:id="15">
    <w:p w:rsidR="003556C3" w14:paraId="1A985EB0" w14:textId="3C8A1289">
      <w:pPr>
        <w:pStyle w:val="FootnoteText"/>
      </w:pPr>
      <w:r>
        <w:rPr>
          <w:rStyle w:val="FootnoteReference"/>
        </w:rPr>
        <w:footnoteRef/>
      </w:r>
      <w:r>
        <w:t xml:space="preserve"> </w:t>
      </w:r>
      <w:r w:rsidRPr="00FE06A7" w:rsidR="004E5D5A">
        <w:rPr>
          <w:i/>
        </w:rPr>
        <w:t>Cass Petition</w:t>
      </w:r>
      <w:r w:rsidR="004E5D5A">
        <w:t xml:space="preserve"> at 3</w:t>
      </w:r>
      <w:r w:rsidR="008D14EF">
        <w:t>-4</w:t>
      </w:r>
      <w:r w:rsidR="004E5D5A">
        <w:t>.</w:t>
      </w:r>
    </w:p>
  </w:footnote>
  <w:footnote w:id="16">
    <w:p w:rsidR="007C2182" w14:paraId="35A8A048" w14:textId="6A2F0845">
      <w:pPr>
        <w:pStyle w:val="FootnoteText"/>
      </w:pPr>
      <w:r>
        <w:rPr>
          <w:rStyle w:val="FootnoteReference"/>
        </w:rPr>
        <w:footnoteRef/>
      </w:r>
      <w:r>
        <w:t xml:space="preserve"> </w:t>
      </w:r>
      <w:r w:rsidRPr="000A2D09">
        <w:rPr>
          <w:i/>
        </w:rPr>
        <w:t>Magna5 Petition</w:t>
      </w:r>
      <w:r>
        <w:t>, Attach. 5 (confirmation email to Joe O’Hara).</w:t>
      </w:r>
    </w:p>
  </w:footnote>
  <w:footnote w:id="17">
    <w:p w:rsidR="00DB0B2A" w14:paraId="11DB3A68" w14:textId="468868FF">
      <w:pPr>
        <w:pStyle w:val="FootnoteText"/>
      </w:pPr>
      <w:r>
        <w:rPr>
          <w:rStyle w:val="FootnoteReference"/>
        </w:rPr>
        <w:footnoteRef/>
      </w:r>
      <w:r>
        <w:t xml:space="preserve"> </w:t>
      </w:r>
      <w:r w:rsidRPr="007C2182" w:rsidR="007C2182">
        <w:rPr>
          <w:i/>
        </w:rPr>
        <w:t>Magna5 Petition</w:t>
      </w:r>
      <w:r w:rsidR="007C2182">
        <w:t xml:space="preserve"> at 3.  </w:t>
      </w:r>
    </w:p>
  </w:footnote>
  <w:footnote w:id="18">
    <w:p w:rsidR="00636F9E" w:rsidP="00636F9E" w14:paraId="102BCE43" w14:textId="77777777">
      <w:pPr>
        <w:pStyle w:val="FootnoteText"/>
      </w:pPr>
      <w:r>
        <w:rPr>
          <w:rStyle w:val="FootnoteReference"/>
        </w:rPr>
        <w:footnoteRef/>
      </w:r>
      <w:r>
        <w:t xml:space="preserve"> Magna5 observes that “[t]</w:t>
      </w:r>
      <w:r>
        <w:t>ime</w:t>
      </w:r>
      <w:r>
        <w:t xml:space="preserve"> is of the essence in order for NECA to complete its tariff preparation.”  </w:t>
      </w:r>
      <w:r w:rsidRPr="001C0CB8">
        <w:rPr>
          <w:i/>
        </w:rPr>
        <w:t>Magna5 Petition</w:t>
      </w:r>
      <w:r>
        <w:t xml:space="preserve"> at 4.  Entities filing tariffs on 15 days’ notice must make their annual access tariff filings no later than June 17, 2019 to be effective July 2, 2019.  </w:t>
      </w:r>
      <w:r w:rsidRPr="004C078E">
        <w:rPr>
          <w:i/>
        </w:rPr>
        <w:t>See</w:t>
      </w:r>
      <w:r>
        <w:t xml:space="preserve"> </w:t>
      </w:r>
      <w:r w:rsidRPr="004C078E">
        <w:rPr>
          <w:i/>
        </w:rPr>
        <w:t>July 1, 2019 Annual Access Charge Tariff Filings</w:t>
      </w:r>
      <w:r>
        <w:t xml:space="preserve">, Order, WC Docket No. 19-47, at 1-2, paras. 2-3 (WCB Apr. 4, 2019).  </w:t>
      </w:r>
    </w:p>
  </w:footnote>
  <w:footnote w:id="19">
    <w:p w:rsidR="000B787E" w14:paraId="33806024" w14:textId="0C591F48">
      <w:pPr>
        <w:pStyle w:val="FootnoteText"/>
      </w:pPr>
      <w:r>
        <w:rPr>
          <w:rStyle w:val="FootnoteReference"/>
        </w:rPr>
        <w:footnoteRef/>
      </w:r>
      <w:r>
        <w:t xml:space="preserve"> </w:t>
      </w:r>
      <w:r w:rsidR="001E7BE9">
        <w:t>The requests for waiver are unopposed and there is no indication that any entity would be harmed by grant of the requested waivers.</w:t>
      </w:r>
    </w:p>
  </w:footnote>
  <w:footnote w:id="20">
    <w:p w:rsidR="00440A0B" w14:paraId="0FAF0576" w14:textId="1C59EBD1">
      <w:pPr>
        <w:pStyle w:val="FootnoteText"/>
      </w:pPr>
      <w:r>
        <w:rPr>
          <w:rStyle w:val="FootnoteReference"/>
        </w:rPr>
        <w:footnoteRef/>
      </w:r>
      <w:r>
        <w:t xml:space="preserve"> </w:t>
      </w:r>
      <w:r w:rsidRPr="00FE06A7">
        <w:rPr>
          <w:i/>
        </w:rPr>
        <w:t>Cass Petition</w:t>
      </w:r>
      <w:r>
        <w:t xml:space="preserve"> at 3.</w:t>
      </w:r>
    </w:p>
  </w:footnote>
  <w:footnote w:id="21">
    <w:p w:rsidR="003A6887" w14:paraId="2924C581" w14:textId="35CF4F7D">
      <w:pPr>
        <w:pStyle w:val="FootnoteText"/>
      </w:pPr>
      <w:r>
        <w:rPr>
          <w:rStyle w:val="FootnoteReference"/>
        </w:rPr>
        <w:footnoteRef/>
      </w:r>
      <w:r>
        <w:t xml:space="preserve"> </w:t>
      </w:r>
      <w:r w:rsidRPr="001C47E9" w:rsidR="00971387">
        <w:rPr>
          <w:i/>
        </w:rPr>
        <w:t>See generally</w:t>
      </w:r>
      <w:r w:rsidR="00971387">
        <w:t xml:space="preserve"> </w:t>
      </w:r>
      <w:r w:rsidRPr="003A6887">
        <w:rPr>
          <w:i/>
        </w:rPr>
        <w:t>Cass Petition</w:t>
      </w:r>
      <w:r w:rsidR="00971387">
        <w:t xml:space="preserve">; </w:t>
      </w:r>
      <w:r w:rsidRPr="00FF327A" w:rsidR="00FF327A">
        <w:rPr>
          <w:i/>
        </w:rPr>
        <w:t>Magna5 Petition</w:t>
      </w:r>
      <w:r>
        <w:t>.</w:t>
      </w:r>
    </w:p>
  </w:footnote>
  <w:footnote w:id="22">
    <w:p w:rsidR="00B4613A" w14:paraId="29462FCD" w14:textId="58DD79E6">
      <w:pPr>
        <w:pStyle w:val="FootnoteText"/>
      </w:pPr>
      <w:r>
        <w:rPr>
          <w:rStyle w:val="FootnoteReference"/>
        </w:rPr>
        <w:footnoteRef/>
      </w:r>
      <w:r>
        <w:t xml:space="preserve"> </w:t>
      </w:r>
      <w:r w:rsidRPr="00B4613A">
        <w:rPr>
          <w:i/>
        </w:rPr>
        <w:t>Rate</w:t>
      </w:r>
      <w:r>
        <w:rPr>
          <w:i/>
        </w:rPr>
        <w:t>-</w:t>
      </w:r>
      <w:r w:rsidRPr="00B4613A">
        <w:rPr>
          <w:i/>
        </w:rPr>
        <w:t>of</w:t>
      </w:r>
      <w:r>
        <w:rPr>
          <w:i/>
        </w:rPr>
        <w:t>-</w:t>
      </w:r>
      <w:r w:rsidRPr="00B4613A">
        <w:rPr>
          <w:i/>
        </w:rPr>
        <w:t>Return BDS Order</w:t>
      </w:r>
      <w:r w:rsidRPr="00B4613A">
        <w:t xml:space="preserve">, 33 FCC </w:t>
      </w:r>
      <w:r w:rsidRPr="00B4613A">
        <w:t>Rcd</w:t>
      </w:r>
      <w:r w:rsidRPr="00B4613A">
        <w:t xml:space="preserve"> at 104</w:t>
      </w:r>
      <w:r>
        <w:t>05</w:t>
      </w:r>
      <w:r w:rsidRPr="00B4613A">
        <w:t xml:space="preserve">, para. </w:t>
      </w:r>
      <w:r>
        <w:t>4</w:t>
      </w:r>
      <w:r w:rsidRPr="00B4613A">
        <w:t>.</w:t>
      </w:r>
    </w:p>
  </w:footnote>
  <w:footnote w:id="23">
    <w:p w:rsidR="00B3478B" w:rsidP="00B3478B" w14:paraId="036018E2" w14:textId="096798BB">
      <w:pPr>
        <w:pStyle w:val="FootnoteText"/>
      </w:pPr>
      <w:r>
        <w:rPr>
          <w:rStyle w:val="FootnoteReference"/>
        </w:rPr>
        <w:footnoteRef/>
      </w:r>
      <w:r>
        <w:t xml:space="preserve"> </w:t>
      </w:r>
      <w:r w:rsidRPr="005C684D" w:rsidR="00B4613A">
        <w:rPr>
          <w:i/>
        </w:rPr>
        <w:t>Id</w:t>
      </w:r>
      <w:r w:rsidR="00B4613A">
        <w:t xml:space="preserve">. </w:t>
      </w:r>
      <w:r>
        <w:t>at 10415, para. 30.</w:t>
      </w:r>
    </w:p>
  </w:footnote>
  <w:footnote w:id="24">
    <w:p w:rsidR="0032529D" w14:paraId="3EA1FBB9" w14:textId="3EDAB0A6">
      <w:pPr>
        <w:pStyle w:val="FootnoteText"/>
      </w:pPr>
      <w:r>
        <w:rPr>
          <w:rStyle w:val="FootnoteReference"/>
        </w:rPr>
        <w:footnoteRef/>
      </w:r>
      <w:r>
        <w:t xml:space="preserve"> </w:t>
      </w:r>
      <w:r w:rsidRPr="005C684D">
        <w:rPr>
          <w:i/>
        </w:rPr>
        <w:t>Id</w:t>
      </w:r>
      <w:r>
        <w:t xml:space="preserve">. </w:t>
      </w:r>
    </w:p>
  </w:footnote>
  <w:footnote w:id="25">
    <w:p w:rsidR="00254075" w:rsidP="00254075" w14:paraId="53C787D3" w14:textId="610270BC">
      <w:pPr>
        <w:pStyle w:val="FootnoteText"/>
      </w:pPr>
      <w:r>
        <w:rPr>
          <w:rStyle w:val="FootnoteReference"/>
        </w:rPr>
        <w:footnoteRef/>
      </w:r>
      <w:r>
        <w:t xml:space="preserve"> The next opportunity for rate-of-return carriers to elect incentive regulation for their BDS is in 2020.  </w:t>
      </w:r>
      <w:r w:rsidRPr="001357E7">
        <w:rPr>
          <w:i/>
        </w:rPr>
        <w:t>See</w:t>
      </w:r>
      <w:r>
        <w:t xml:space="preserve"> </w:t>
      </w:r>
      <w:r>
        <w:rPr>
          <w:i/>
        </w:rPr>
        <w:t>Rate</w:t>
      </w:r>
      <w:r w:rsidR="00FC460F">
        <w:rPr>
          <w:i/>
        </w:rPr>
        <w:t>-</w:t>
      </w:r>
      <w:r>
        <w:rPr>
          <w:i/>
        </w:rPr>
        <w:t>of</w:t>
      </w:r>
      <w:r w:rsidR="00FC460F">
        <w:rPr>
          <w:i/>
        </w:rPr>
        <w:t>-</w:t>
      </w:r>
      <w:r>
        <w:rPr>
          <w:i/>
        </w:rPr>
        <w:t>Return BDS</w:t>
      </w:r>
      <w:r w:rsidRPr="00F90C9A">
        <w:rPr>
          <w:i/>
        </w:rPr>
        <w:t xml:space="preserve"> Order</w:t>
      </w:r>
      <w:r>
        <w:t xml:space="preserve">, </w:t>
      </w:r>
      <w:r w:rsidRPr="00F90C9A">
        <w:t>33</w:t>
      </w:r>
      <w:r>
        <w:t xml:space="preserve"> FCC </w:t>
      </w:r>
      <w:r>
        <w:t>Rcd</w:t>
      </w:r>
      <w:r>
        <w:t xml:space="preserve"> at 10412-13,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C3211" w14:textId="0BBB3CC6">
    <w:pPr>
      <w:pStyle w:val="Header"/>
      <w:rPr>
        <w:b w:val="0"/>
      </w:rPr>
    </w:pPr>
    <w:r>
      <w:tab/>
      <w:t>Federal Communications Commission</w:t>
    </w:r>
    <w:r>
      <w:tab/>
    </w:r>
    <w:r w:rsidR="00CC1DD1">
      <w:t>DA 19-</w:t>
    </w:r>
    <w:r w:rsidR="002C3FFE">
      <w:t>496</w:t>
    </w:r>
  </w:p>
  <w:p w:rsidR="00D25FB5" w14:paraId="09F97AA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2E37F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F56323" w14:textId="0F5CD02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C1DD1">
      <w:rPr>
        <w:spacing w:val="-2"/>
      </w:rPr>
      <w:t>DA 19-</w:t>
    </w:r>
    <w:r w:rsidR="002C3FFE">
      <w:rPr>
        <w:spacing w:val="-2"/>
      </w:rPr>
      <w:t>496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25"/>
    <w:rsid w:val="000042D6"/>
    <w:rsid w:val="000046FB"/>
    <w:rsid w:val="00005B81"/>
    <w:rsid w:val="0001541E"/>
    <w:rsid w:val="00023EC0"/>
    <w:rsid w:val="00024BE4"/>
    <w:rsid w:val="00027A76"/>
    <w:rsid w:val="00030C20"/>
    <w:rsid w:val="000320F1"/>
    <w:rsid w:val="000343E6"/>
    <w:rsid w:val="0003494F"/>
    <w:rsid w:val="00036039"/>
    <w:rsid w:val="00037148"/>
    <w:rsid w:val="00037F90"/>
    <w:rsid w:val="00041BFE"/>
    <w:rsid w:val="00046FE1"/>
    <w:rsid w:val="00056E07"/>
    <w:rsid w:val="00067367"/>
    <w:rsid w:val="000875BF"/>
    <w:rsid w:val="00090F15"/>
    <w:rsid w:val="00092E56"/>
    <w:rsid w:val="00096D8C"/>
    <w:rsid w:val="00096ED0"/>
    <w:rsid w:val="000A2BC7"/>
    <w:rsid w:val="000A2D09"/>
    <w:rsid w:val="000A34C6"/>
    <w:rsid w:val="000A4071"/>
    <w:rsid w:val="000B1129"/>
    <w:rsid w:val="000B37A0"/>
    <w:rsid w:val="000B787E"/>
    <w:rsid w:val="000C0B65"/>
    <w:rsid w:val="000C3186"/>
    <w:rsid w:val="000C6828"/>
    <w:rsid w:val="000C686E"/>
    <w:rsid w:val="000D2DCD"/>
    <w:rsid w:val="000D491E"/>
    <w:rsid w:val="000D7915"/>
    <w:rsid w:val="000E05FE"/>
    <w:rsid w:val="000E3D42"/>
    <w:rsid w:val="000F0E08"/>
    <w:rsid w:val="00114CB1"/>
    <w:rsid w:val="0011727B"/>
    <w:rsid w:val="001211EA"/>
    <w:rsid w:val="00122BD5"/>
    <w:rsid w:val="00132DF1"/>
    <w:rsid w:val="00133F79"/>
    <w:rsid w:val="001357E7"/>
    <w:rsid w:val="00135D6A"/>
    <w:rsid w:val="00135E89"/>
    <w:rsid w:val="00147EEC"/>
    <w:rsid w:val="00153036"/>
    <w:rsid w:val="00154559"/>
    <w:rsid w:val="00162100"/>
    <w:rsid w:val="001624A4"/>
    <w:rsid w:val="001640EF"/>
    <w:rsid w:val="00165AB5"/>
    <w:rsid w:val="00167B20"/>
    <w:rsid w:val="0017296B"/>
    <w:rsid w:val="001828A1"/>
    <w:rsid w:val="0019242C"/>
    <w:rsid w:val="00193527"/>
    <w:rsid w:val="00194A66"/>
    <w:rsid w:val="001A19C1"/>
    <w:rsid w:val="001B6BF6"/>
    <w:rsid w:val="001B6E22"/>
    <w:rsid w:val="001C0CB8"/>
    <w:rsid w:val="001C1661"/>
    <w:rsid w:val="001C3040"/>
    <w:rsid w:val="001C47E9"/>
    <w:rsid w:val="001D313E"/>
    <w:rsid w:val="001D481D"/>
    <w:rsid w:val="001D6BCF"/>
    <w:rsid w:val="001E01CA"/>
    <w:rsid w:val="001E7BE9"/>
    <w:rsid w:val="001F19EA"/>
    <w:rsid w:val="001F44C6"/>
    <w:rsid w:val="0020403B"/>
    <w:rsid w:val="00204CB3"/>
    <w:rsid w:val="00204DC4"/>
    <w:rsid w:val="00205175"/>
    <w:rsid w:val="00205C37"/>
    <w:rsid w:val="002176B2"/>
    <w:rsid w:val="00252A8F"/>
    <w:rsid w:val="00254075"/>
    <w:rsid w:val="00254138"/>
    <w:rsid w:val="00257A82"/>
    <w:rsid w:val="0027303D"/>
    <w:rsid w:val="002739C7"/>
    <w:rsid w:val="00275CF5"/>
    <w:rsid w:val="00280ABA"/>
    <w:rsid w:val="0028301F"/>
    <w:rsid w:val="00285017"/>
    <w:rsid w:val="00295688"/>
    <w:rsid w:val="002957F0"/>
    <w:rsid w:val="00295D51"/>
    <w:rsid w:val="00297740"/>
    <w:rsid w:val="002A2D2E"/>
    <w:rsid w:val="002A7FBF"/>
    <w:rsid w:val="002B46C1"/>
    <w:rsid w:val="002C00E8"/>
    <w:rsid w:val="002C37B9"/>
    <w:rsid w:val="002C3FFE"/>
    <w:rsid w:val="002C5CE8"/>
    <w:rsid w:val="002C5F78"/>
    <w:rsid w:val="002D04E9"/>
    <w:rsid w:val="002D0944"/>
    <w:rsid w:val="002D3C92"/>
    <w:rsid w:val="002E0892"/>
    <w:rsid w:val="002E2FFD"/>
    <w:rsid w:val="002E4C6C"/>
    <w:rsid w:val="002E7D3A"/>
    <w:rsid w:val="002F4003"/>
    <w:rsid w:val="002F5062"/>
    <w:rsid w:val="002F50CC"/>
    <w:rsid w:val="003010A1"/>
    <w:rsid w:val="0030172F"/>
    <w:rsid w:val="00305BB1"/>
    <w:rsid w:val="003133E4"/>
    <w:rsid w:val="00314925"/>
    <w:rsid w:val="00316AA9"/>
    <w:rsid w:val="003172F5"/>
    <w:rsid w:val="003248CF"/>
    <w:rsid w:val="003248F1"/>
    <w:rsid w:val="0032529D"/>
    <w:rsid w:val="00332366"/>
    <w:rsid w:val="003333E4"/>
    <w:rsid w:val="00333B62"/>
    <w:rsid w:val="00340A69"/>
    <w:rsid w:val="00343749"/>
    <w:rsid w:val="00346417"/>
    <w:rsid w:val="00350BF3"/>
    <w:rsid w:val="00351CF0"/>
    <w:rsid w:val="003556C3"/>
    <w:rsid w:val="00356535"/>
    <w:rsid w:val="0036342F"/>
    <w:rsid w:val="003660ED"/>
    <w:rsid w:val="00373238"/>
    <w:rsid w:val="00376C51"/>
    <w:rsid w:val="00381FE4"/>
    <w:rsid w:val="003823E8"/>
    <w:rsid w:val="003853F2"/>
    <w:rsid w:val="003859A9"/>
    <w:rsid w:val="00395DCF"/>
    <w:rsid w:val="003A35B8"/>
    <w:rsid w:val="003A6444"/>
    <w:rsid w:val="003A6887"/>
    <w:rsid w:val="003B0550"/>
    <w:rsid w:val="003B30FC"/>
    <w:rsid w:val="003B37DD"/>
    <w:rsid w:val="003B694F"/>
    <w:rsid w:val="003C04AF"/>
    <w:rsid w:val="003C4EE0"/>
    <w:rsid w:val="003D1DEB"/>
    <w:rsid w:val="003D2EB3"/>
    <w:rsid w:val="003D4249"/>
    <w:rsid w:val="003E1D08"/>
    <w:rsid w:val="003E37BB"/>
    <w:rsid w:val="003E5083"/>
    <w:rsid w:val="003E54D6"/>
    <w:rsid w:val="003E685B"/>
    <w:rsid w:val="003F171C"/>
    <w:rsid w:val="00410F97"/>
    <w:rsid w:val="00412FC5"/>
    <w:rsid w:val="00415F6F"/>
    <w:rsid w:val="00422276"/>
    <w:rsid w:val="004229B9"/>
    <w:rsid w:val="004242F1"/>
    <w:rsid w:val="00425E0A"/>
    <w:rsid w:val="00427CB3"/>
    <w:rsid w:val="00432901"/>
    <w:rsid w:val="00440A0B"/>
    <w:rsid w:val="0044252A"/>
    <w:rsid w:val="0044322C"/>
    <w:rsid w:val="00445A00"/>
    <w:rsid w:val="00451703"/>
    <w:rsid w:val="00451B0F"/>
    <w:rsid w:val="00455970"/>
    <w:rsid w:val="00462537"/>
    <w:rsid w:val="0046284E"/>
    <w:rsid w:val="00462BF2"/>
    <w:rsid w:val="00467543"/>
    <w:rsid w:val="00473EE5"/>
    <w:rsid w:val="004759EA"/>
    <w:rsid w:val="0047795B"/>
    <w:rsid w:val="00484F30"/>
    <w:rsid w:val="0048647E"/>
    <w:rsid w:val="00487F18"/>
    <w:rsid w:val="004A0D96"/>
    <w:rsid w:val="004A1E60"/>
    <w:rsid w:val="004A263F"/>
    <w:rsid w:val="004A4048"/>
    <w:rsid w:val="004A62E2"/>
    <w:rsid w:val="004A63A7"/>
    <w:rsid w:val="004A7549"/>
    <w:rsid w:val="004B35D6"/>
    <w:rsid w:val="004B462D"/>
    <w:rsid w:val="004B7DFB"/>
    <w:rsid w:val="004C0641"/>
    <w:rsid w:val="004C078E"/>
    <w:rsid w:val="004C257F"/>
    <w:rsid w:val="004C2EE3"/>
    <w:rsid w:val="004C60C4"/>
    <w:rsid w:val="004E35BD"/>
    <w:rsid w:val="004E48A3"/>
    <w:rsid w:val="004E4A22"/>
    <w:rsid w:val="004E5D5A"/>
    <w:rsid w:val="004F2DC8"/>
    <w:rsid w:val="004F752F"/>
    <w:rsid w:val="005010E4"/>
    <w:rsid w:val="005026E0"/>
    <w:rsid w:val="00511968"/>
    <w:rsid w:val="00511B1E"/>
    <w:rsid w:val="00520705"/>
    <w:rsid w:val="00520FA2"/>
    <w:rsid w:val="00523D92"/>
    <w:rsid w:val="00524746"/>
    <w:rsid w:val="00524795"/>
    <w:rsid w:val="00530BC8"/>
    <w:rsid w:val="00540276"/>
    <w:rsid w:val="005402B2"/>
    <w:rsid w:val="0055614C"/>
    <w:rsid w:val="005613C9"/>
    <w:rsid w:val="0056265C"/>
    <w:rsid w:val="005626CD"/>
    <w:rsid w:val="00565A17"/>
    <w:rsid w:val="00566762"/>
    <w:rsid w:val="00566D06"/>
    <w:rsid w:val="0057279D"/>
    <w:rsid w:val="005741B4"/>
    <w:rsid w:val="0058163C"/>
    <w:rsid w:val="005871E9"/>
    <w:rsid w:val="00587322"/>
    <w:rsid w:val="00590398"/>
    <w:rsid w:val="005973D1"/>
    <w:rsid w:val="005A1E06"/>
    <w:rsid w:val="005A2213"/>
    <w:rsid w:val="005A3F0E"/>
    <w:rsid w:val="005A45D1"/>
    <w:rsid w:val="005A75D1"/>
    <w:rsid w:val="005B00B4"/>
    <w:rsid w:val="005B5BC2"/>
    <w:rsid w:val="005C490B"/>
    <w:rsid w:val="005C549F"/>
    <w:rsid w:val="005C54A0"/>
    <w:rsid w:val="005C684D"/>
    <w:rsid w:val="005C74BD"/>
    <w:rsid w:val="005E0F73"/>
    <w:rsid w:val="005E1060"/>
    <w:rsid w:val="005E14C2"/>
    <w:rsid w:val="005F00E1"/>
    <w:rsid w:val="005F2622"/>
    <w:rsid w:val="005F277B"/>
    <w:rsid w:val="005F2A27"/>
    <w:rsid w:val="005F3127"/>
    <w:rsid w:val="005F688E"/>
    <w:rsid w:val="00606667"/>
    <w:rsid w:val="00607BA5"/>
    <w:rsid w:val="006103B0"/>
    <w:rsid w:val="00610D66"/>
    <w:rsid w:val="0061180A"/>
    <w:rsid w:val="00614360"/>
    <w:rsid w:val="00614A5A"/>
    <w:rsid w:val="006151BD"/>
    <w:rsid w:val="006212BA"/>
    <w:rsid w:val="00626EB6"/>
    <w:rsid w:val="0063518C"/>
    <w:rsid w:val="00636ADA"/>
    <w:rsid w:val="00636F9E"/>
    <w:rsid w:val="006407C9"/>
    <w:rsid w:val="006410A5"/>
    <w:rsid w:val="00646A14"/>
    <w:rsid w:val="00653D96"/>
    <w:rsid w:val="00653F5D"/>
    <w:rsid w:val="00655D03"/>
    <w:rsid w:val="006826BC"/>
    <w:rsid w:val="00683388"/>
    <w:rsid w:val="00683F84"/>
    <w:rsid w:val="0068599B"/>
    <w:rsid w:val="00686892"/>
    <w:rsid w:val="006913C9"/>
    <w:rsid w:val="00691864"/>
    <w:rsid w:val="006924D8"/>
    <w:rsid w:val="00694EFE"/>
    <w:rsid w:val="0069578D"/>
    <w:rsid w:val="00696BBC"/>
    <w:rsid w:val="006A2819"/>
    <w:rsid w:val="006A44F0"/>
    <w:rsid w:val="006A57DF"/>
    <w:rsid w:val="006A6A81"/>
    <w:rsid w:val="006C34A6"/>
    <w:rsid w:val="006C3FBA"/>
    <w:rsid w:val="006C5B04"/>
    <w:rsid w:val="006D7B43"/>
    <w:rsid w:val="006E5DFD"/>
    <w:rsid w:val="006E606F"/>
    <w:rsid w:val="006E6543"/>
    <w:rsid w:val="006F058F"/>
    <w:rsid w:val="006F0851"/>
    <w:rsid w:val="006F2DD4"/>
    <w:rsid w:val="006F5FB6"/>
    <w:rsid w:val="006F7393"/>
    <w:rsid w:val="006F7F2C"/>
    <w:rsid w:val="0070224F"/>
    <w:rsid w:val="00704D8A"/>
    <w:rsid w:val="007115F7"/>
    <w:rsid w:val="00712863"/>
    <w:rsid w:val="00714B60"/>
    <w:rsid w:val="00723FDB"/>
    <w:rsid w:val="007243D7"/>
    <w:rsid w:val="00726FF4"/>
    <w:rsid w:val="007342F0"/>
    <w:rsid w:val="0073784A"/>
    <w:rsid w:val="0074497B"/>
    <w:rsid w:val="00752DCD"/>
    <w:rsid w:val="0075408E"/>
    <w:rsid w:val="00754AB8"/>
    <w:rsid w:val="00755582"/>
    <w:rsid w:val="007559EC"/>
    <w:rsid w:val="00765519"/>
    <w:rsid w:val="0076579B"/>
    <w:rsid w:val="0076674E"/>
    <w:rsid w:val="00773922"/>
    <w:rsid w:val="00776C2E"/>
    <w:rsid w:val="00785689"/>
    <w:rsid w:val="00786242"/>
    <w:rsid w:val="00787432"/>
    <w:rsid w:val="00792930"/>
    <w:rsid w:val="0079754B"/>
    <w:rsid w:val="00797E0E"/>
    <w:rsid w:val="007A1E6D"/>
    <w:rsid w:val="007A5DEF"/>
    <w:rsid w:val="007B0EB2"/>
    <w:rsid w:val="007B3F30"/>
    <w:rsid w:val="007C2182"/>
    <w:rsid w:val="007D12E0"/>
    <w:rsid w:val="007D1D66"/>
    <w:rsid w:val="007D4FAB"/>
    <w:rsid w:val="007D6E54"/>
    <w:rsid w:val="007E08A9"/>
    <w:rsid w:val="007E3148"/>
    <w:rsid w:val="007E3A70"/>
    <w:rsid w:val="007F4A5D"/>
    <w:rsid w:val="007F5716"/>
    <w:rsid w:val="00810B6F"/>
    <w:rsid w:val="008112C7"/>
    <w:rsid w:val="008207F0"/>
    <w:rsid w:val="00820A4A"/>
    <w:rsid w:val="00822CE0"/>
    <w:rsid w:val="008267DD"/>
    <w:rsid w:val="00831E85"/>
    <w:rsid w:val="00833938"/>
    <w:rsid w:val="008405CC"/>
    <w:rsid w:val="0084185F"/>
    <w:rsid w:val="00841AB1"/>
    <w:rsid w:val="008461B0"/>
    <w:rsid w:val="0084629F"/>
    <w:rsid w:val="00847D70"/>
    <w:rsid w:val="00847D7F"/>
    <w:rsid w:val="00847F1C"/>
    <w:rsid w:val="00857148"/>
    <w:rsid w:val="008615E0"/>
    <w:rsid w:val="0087150B"/>
    <w:rsid w:val="00875372"/>
    <w:rsid w:val="0087662E"/>
    <w:rsid w:val="00876E26"/>
    <w:rsid w:val="008827FE"/>
    <w:rsid w:val="00882859"/>
    <w:rsid w:val="00885FE4"/>
    <w:rsid w:val="008865EB"/>
    <w:rsid w:val="00886605"/>
    <w:rsid w:val="00887D1A"/>
    <w:rsid w:val="00897DA2"/>
    <w:rsid w:val="008A5853"/>
    <w:rsid w:val="008A607E"/>
    <w:rsid w:val="008C2A06"/>
    <w:rsid w:val="008C68F1"/>
    <w:rsid w:val="008D14EF"/>
    <w:rsid w:val="008D44B5"/>
    <w:rsid w:val="008D6745"/>
    <w:rsid w:val="008D6E82"/>
    <w:rsid w:val="008E174F"/>
    <w:rsid w:val="008F5E0F"/>
    <w:rsid w:val="0090186E"/>
    <w:rsid w:val="00901CC0"/>
    <w:rsid w:val="00901D15"/>
    <w:rsid w:val="009153EA"/>
    <w:rsid w:val="009160DD"/>
    <w:rsid w:val="0092133D"/>
    <w:rsid w:val="00921803"/>
    <w:rsid w:val="00924272"/>
    <w:rsid w:val="009252E1"/>
    <w:rsid w:val="00926503"/>
    <w:rsid w:val="00926977"/>
    <w:rsid w:val="0093319C"/>
    <w:rsid w:val="009336E7"/>
    <w:rsid w:val="00935DDD"/>
    <w:rsid w:val="00936E16"/>
    <w:rsid w:val="009416AF"/>
    <w:rsid w:val="00943890"/>
    <w:rsid w:val="00945629"/>
    <w:rsid w:val="00945C4E"/>
    <w:rsid w:val="00951044"/>
    <w:rsid w:val="009524D2"/>
    <w:rsid w:val="00962238"/>
    <w:rsid w:val="00965384"/>
    <w:rsid w:val="00971387"/>
    <w:rsid w:val="00971DEA"/>
    <w:rsid w:val="009726D8"/>
    <w:rsid w:val="009754F8"/>
    <w:rsid w:val="00980F10"/>
    <w:rsid w:val="0098144F"/>
    <w:rsid w:val="0098188A"/>
    <w:rsid w:val="00982B5A"/>
    <w:rsid w:val="009862FB"/>
    <w:rsid w:val="009872F1"/>
    <w:rsid w:val="009A24EC"/>
    <w:rsid w:val="009A27FD"/>
    <w:rsid w:val="009A2D75"/>
    <w:rsid w:val="009A3478"/>
    <w:rsid w:val="009A6254"/>
    <w:rsid w:val="009B04E6"/>
    <w:rsid w:val="009B5080"/>
    <w:rsid w:val="009B5D2D"/>
    <w:rsid w:val="009B7F63"/>
    <w:rsid w:val="009C0218"/>
    <w:rsid w:val="009C1755"/>
    <w:rsid w:val="009C5BF1"/>
    <w:rsid w:val="009D0578"/>
    <w:rsid w:val="009D172A"/>
    <w:rsid w:val="009D7308"/>
    <w:rsid w:val="009E311E"/>
    <w:rsid w:val="009F76DB"/>
    <w:rsid w:val="00A104FC"/>
    <w:rsid w:val="00A1485C"/>
    <w:rsid w:val="00A16AD2"/>
    <w:rsid w:val="00A25F36"/>
    <w:rsid w:val="00A32C3B"/>
    <w:rsid w:val="00A41DE6"/>
    <w:rsid w:val="00A42660"/>
    <w:rsid w:val="00A42A56"/>
    <w:rsid w:val="00A43656"/>
    <w:rsid w:val="00A45F4F"/>
    <w:rsid w:val="00A600A9"/>
    <w:rsid w:val="00A6118C"/>
    <w:rsid w:val="00A636D3"/>
    <w:rsid w:val="00A8193C"/>
    <w:rsid w:val="00A82FD5"/>
    <w:rsid w:val="00A85C32"/>
    <w:rsid w:val="00A87429"/>
    <w:rsid w:val="00A91173"/>
    <w:rsid w:val="00A96973"/>
    <w:rsid w:val="00AA0FF7"/>
    <w:rsid w:val="00AA55B7"/>
    <w:rsid w:val="00AA5B9E"/>
    <w:rsid w:val="00AA76CC"/>
    <w:rsid w:val="00AB2407"/>
    <w:rsid w:val="00AB4E70"/>
    <w:rsid w:val="00AB53DF"/>
    <w:rsid w:val="00AB74B9"/>
    <w:rsid w:val="00AC0022"/>
    <w:rsid w:val="00AC2C02"/>
    <w:rsid w:val="00AC6F15"/>
    <w:rsid w:val="00AC7461"/>
    <w:rsid w:val="00AC7545"/>
    <w:rsid w:val="00AE1CF1"/>
    <w:rsid w:val="00AE21DD"/>
    <w:rsid w:val="00AE6BE7"/>
    <w:rsid w:val="00AE74C3"/>
    <w:rsid w:val="00AF3CC8"/>
    <w:rsid w:val="00AF5229"/>
    <w:rsid w:val="00B063F7"/>
    <w:rsid w:val="00B07E5C"/>
    <w:rsid w:val="00B206DF"/>
    <w:rsid w:val="00B214D3"/>
    <w:rsid w:val="00B21B02"/>
    <w:rsid w:val="00B23326"/>
    <w:rsid w:val="00B23B5F"/>
    <w:rsid w:val="00B25EE5"/>
    <w:rsid w:val="00B33EEF"/>
    <w:rsid w:val="00B34154"/>
    <w:rsid w:val="00B3478B"/>
    <w:rsid w:val="00B36B10"/>
    <w:rsid w:val="00B43FC6"/>
    <w:rsid w:val="00B4613A"/>
    <w:rsid w:val="00B54CCE"/>
    <w:rsid w:val="00B572D4"/>
    <w:rsid w:val="00B62F9B"/>
    <w:rsid w:val="00B65882"/>
    <w:rsid w:val="00B66D0E"/>
    <w:rsid w:val="00B765F9"/>
    <w:rsid w:val="00B774BF"/>
    <w:rsid w:val="00B811F7"/>
    <w:rsid w:val="00B82770"/>
    <w:rsid w:val="00B91AA0"/>
    <w:rsid w:val="00B939A4"/>
    <w:rsid w:val="00B95D78"/>
    <w:rsid w:val="00BA3EBD"/>
    <w:rsid w:val="00BA5A31"/>
    <w:rsid w:val="00BA5DC6"/>
    <w:rsid w:val="00BA6196"/>
    <w:rsid w:val="00BA7B97"/>
    <w:rsid w:val="00BB290A"/>
    <w:rsid w:val="00BB3C3D"/>
    <w:rsid w:val="00BB4AF4"/>
    <w:rsid w:val="00BB54CD"/>
    <w:rsid w:val="00BC6D8C"/>
    <w:rsid w:val="00BD5CDA"/>
    <w:rsid w:val="00BE0AD1"/>
    <w:rsid w:val="00BE3F17"/>
    <w:rsid w:val="00BE5731"/>
    <w:rsid w:val="00BE6CEF"/>
    <w:rsid w:val="00BF0A89"/>
    <w:rsid w:val="00BF3541"/>
    <w:rsid w:val="00BF5DB7"/>
    <w:rsid w:val="00C016CC"/>
    <w:rsid w:val="00C02C10"/>
    <w:rsid w:val="00C0765F"/>
    <w:rsid w:val="00C07CF6"/>
    <w:rsid w:val="00C1088F"/>
    <w:rsid w:val="00C1134A"/>
    <w:rsid w:val="00C20CDF"/>
    <w:rsid w:val="00C22479"/>
    <w:rsid w:val="00C23322"/>
    <w:rsid w:val="00C34006"/>
    <w:rsid w:val="00C36B4C"/>
    <w:rsid w:val="00C426B1"/>
    <w:rsid w:val="00C4574A"/>
    <w:rsid w:val="00C54A8B"/>
    <w:rsid w:val="00C5699B"/>
    <w:rsid w:val="00C576FD"/>
    <w:rsid w:val="00C611B3"/>
    <w:rsid w:val="00C66117"/>
    <w:rsid w:val="00C66160"/>
    <w:rsid w:val="00C721AC"/>
    <w:rsid w:val="00C86DE1"/>
    <w:rsid w:val="00C87B90"/>
    <w:rsid w:val="00C90D6A"/>
    <w:rsid w:val="00C91D82"/>
    <w:rsid w:val="00C979C3"/>
    <w:rsid w:val="00CA19D9"/>
    <w:rsid w:val="00CA1F04"/>
    <w:rsid w:val="00CA1F19"/>
    <w:rsid w:val="00CA247E"/>
    <w:rsid w:val="00CA5FC1"/>
    <w:rsid w:val="00CA6D21"/>
    <w:rsid w:val="00CB4266"/>
    <w:rsid w:val="00CB451B"/>
    <w:rsid w:val="00CB57D0"/>
    <w:rsid w:val="00CB70BC"/>
    <w:rsid w:val="00CC1DD1"/>
    <w:rsid w:val="00CC21B7"/>
    <w:rsid w:val="00CC2D4F"/>
    <w:rsid w:val="00CC2FC1"/>
    <w:rsid w:val="00CC72B6"/>
    <w:rsid w:val="00CD4C58"/>
    <w:rsid w:val="00CE0A6E"/>
    <w:rsid w:val="00CE0FCC"/>
    <w:rsid w:val="00CE46A7"/>
    <w:rsid w:val="00CE4714"/>
    <w:rsid w:val="00CF2C4F"/>
    <w:rsid w:val="00CF6315"/>
    <w:rsid w:val="00CF7FBA"/>
    <w:rsid w:val="00D0218D"/>
    <w:rsid w:val="00D02FF9"/>
    <w:rsid w:val="00D04E7C"/>
    <w:rsid w:val="00D13787"/>
    <w:rsid w:val="00D17FBC"/>
    <w:rsid w:val="00D25FB5"/>
    <w:rsid w:val="00D3447A"/>
    <w:rsid w:val="00D36ABA"/>
    <w:rsid w:val="00D44223"/>
    <w:rsid w:val="00D44ABE"/>
    <w:rsid w:val="00D45826"/>
    <w:rsid w:val="00D51380"/>
    <w:rsid w:val="00D6210D"/>
    <w:rsid w:val="00D62B77"/>
    <w:rsid w:val="00D75B51"/>
    <w:rsid w:val="00D7719B"/>
    <w:rsid w:val="00D801D1"/>
    <w:rsid w:val="00D82887"/>
    <w:rsid w:val="00D83C88"/>
    <w:rsid w:val="00D95ECE"/>
    <w:rsid w:val="00DA2529"/>
    <w:rsid w:val="00DA35BB"/>
    <w:rsid w:val="00DA5057"/>
    <w:rsid w:val="00DA7DD1"/>
    <w:rsid w:val="00DB06DB"/>
    <w:rsid w:val="00DB0B2A"/>
    <w:rsid w:val="00DB130A"/>
    <w:rsid w:val="00DB2A8F"/>
    <w:rsid w:val="00DB2EBB"/>
    <w:rsid w:val="00DB49B2"/>
    <w:rsid w:val="00DC10A1"/>
    <w:rsid w:val="00DC17E1"/>
    <w:rsid w:val="00DC1B8E"/>
    <w:rsid w:val="00DC3693"/>
    <w:rsid w:val="00DC655F"/>
    <w:rsid w:val="00DD0B59"/>
    <w:rsid w:val="00DD2ED8"/>
    <w:rsid w:val="00DD72CF"/>
    <w:rsid w:val="00DD7EBD"/>
    <w:rsid w:val="00DE202B"/>
    <w:rsid w:val="00DE5003"/>
    <w:rsid w:val="00DF06E6"/>
    <w:rsid w:val="00DF32A5"/>
    <w:rsid w:val="00DF5355"/>
    <w:rsid w:val="00DF62B6"/>
    <w:rsid w:val="00E01686"/>
    <w:rsid w:val="00E02F9F"/>
    <w:rsid w:val="00E07225"/>
    <w:rsid w:val="00E10BA5"/>
    <w:rsid w:val="00E20DD9"/>
    <w:rsid w:val="00E24E07"/>
    <w:rsid w:val="00E25115"/>
    <w:rsid w:val="00E33D38"/>
    <w:rsid w:val="00E372A4"/>
    <w:rsid w:val="00E45039"/>
    <w:rsid w:val="00E53FDC"/>
    <w:rsid w:val="00E5409F"/>
    <w:rsid w:val="00E545BC"/>
    <w:rsid w:val="00E5465B"/>
    <w:rsid w:val="00E551F2"/>
    <w:rsid w:val="00E56AEB"/>
    <w:rsid w:val="00E61003"/>
    <w:rsid w:val="00E72C1C"/>
    <w:rsid w:val="00E73178"/>
    <w:rsid w:val="00E75F79"/>
    <w:rsid w:val="00E76027"/>
    <w:rsid w:val="00E80220"/>
    <w:rsid w:val="00E821DD"/>
    <w:rsid w:val="00E84926"/>
    <w:rsid w:val="00E86CEE"/>
    <w:rsid w:val="00E919E3"/>
    <w:rsid w:val="00E92BD7"/>
    <w:rsid w:val="00E93DB3"/>
    <w:rsid w:val="00EA50DB"/>
    <w:rsid w:val="00EB53E3"/>
    <w:rsid w:val="00EB5909"/>
    <w:rsid w:val="00EC4E53"/>
    <w:rsid w:val="00EC5F63"/>
    <w:rsid w:val="00ED0255"/>
    <w:rsid w:val="00ED5762"/>
    <w:rsid w:val="00EE1A56"/>
    <w:rsid w:val="00EE297E"/>
    <w:rsid w:val="00EE4528"/>
    <w:rsid w:val="00EE5A97"/>
    <w:rsid w:val="00EE6488"/>
    <w:rsid w:val="00EE6C6A"/>
    <w:rsid w:val="00EF0B46"/>
    <w:rsid w:val="00EF616E"/>
    <w:rsid w:val="00F00B1D"/>
    <w:rsid w:val="00F021FA"/>
    <w:rsid w:val="00F061C5"/>
    <w:rsid w:val="00F10ABF"/>
    <w:rsid w:val="00F10EC4"/>
    <w:rsid w:val="00F11F6C"/>
    <w:rsid w:val="00F204FE"/>
    <w:rsid w:val="00F35E45"/>
    <w:rsid w:val="00F5183F"/>
    <w:rsid w:val="00F51B5E"/>
    <w:rsid w:val="00F5526E"/>
    <w:rsid w:val="00F615D2"/>
    <w:rsid w:val="00F62616"/>
    <w:rsid w:val="00F62E97"/>
    <w:rsid w:val="00F64209"/>
    <w:rsid w:val="00F6525B"/>
    <w:rsid w:val="00F6751B"/>
    <w:rsid w:val="00F72E3F"/>
    <w:rsid w:val="00F775A3"/>
    <w:rsid w:val="00F8365B"/>
    <w:rsid w:val="00F850FC"/>
    <w:rsid w:val="00F90C9A"/>
    <w:rsid w:val="00F92403"/>
    <w:rsid w:val="00F93BF5"/>
    <w:rsid w:val="00F95466"/>
    <w:rsid w:val="00FA1065"/>
    <w:rsid w:val="00FB07C9"/>
    <w:rsid w:val="00FB27EA"/>
    <w:rsid w:val="00FB33FC"/>
    <w:rsid w:val="00FB7455"/>
    <w:rsid w:val="00FC118B"/>
    <w:rsid w:val="00FC1F0B"/>
    <w:rsid w:val="00FC4121"/>
    <w:rsid w:val="00FC460F"/>
    <w:rsid w:val="00FC7262"/>
    <w:rsid w:val="00FD1D50"/>
    <w:rsid w:val="00FE06A7"/>
    <w:rsid w:val="00FE24E2"/>
    <w:rsid w:val="00FE556D"/>
    <w:rsid w:val="00FF02E1"/>
    <w:rsid w:val="00FF31E7"/>
    <w:rsid w:val="00FF32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67"/>
    <w:pPr>
      <w:widowControl w:val="0"/>
    </w:pPr>
    <w:rPr>
      <w:snapToGrid w:val="0"/>
      <w:kern w:val="28"/>
      <w:sz w:val="22"/>
    </w:rPr>
  </w:style>
  <w:style w:type="paragraph" w:styleId="Heading1">
    <w:name w:val="heading 1"/>
    <w:basedOn w:val="Normal"/>
    <w:next w:val="ParaNum"/>
    <w:qFormat/>
    <w:rsid w:val="006066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6667"/>
    <w:pPr>
      <w:keepNext/>
      <w:numPr>
        <w:ilvl w:val="1"/>
        <w:numId w:val="3"/>
      </w:numPr>
      <w:spacing w:after="120"/>
      <w:outlineLvl w:val="1"/>
    </w:pPr>
    <w:rPr>
      <w:b/>
    </w:rPr>
  </w:style>
  <w:style w:type="paragraph" w:styleId="Heading3">
    <w:name w:val="heading 3"/>
    <w:basedOn w:val="Normal"/>
    <w:next w:val="ParaNum"/>
    <w:qFormat/>
    <w:rsid w:val="00606667"/>
    <w:pPr>
      <w:keepNext/>
      <w:numPr>
        <w:ilvl w:val="2"/>
        <w:numId w:val="3"/>
      </w:numPr>
      <w:tabs>
        <w:tab w:val="left" w:pos="2160"/>
      </w:tabs>
      <w:spacing w:after="120"/>
      <w:outlineLvl w:val="2"/>
    </w:pPr>
    <w:rPr>
      <w:b/>
    </w:rPr>
  </w:style>
  <w:style w:type="paragraph" w:styleId="Heading4">
    <w:name w:val="heading 4"/>
    <w:basedOn w:val="Normal"/>
    <w:next w:val="ParaNum"/>
    <w:qFormat/>
    <w:rsid w:val="00606667"/>
    <w:pPr>
      <w:keepNext/>
      <w:numPr>
        <w:ilvl w:val="3"/>
        <w:numId w:val="3"/>
      </w:numPr>
      <w:tabs>
        <w:tab w:val="left" w:pos="2880"/>
      </w:tabs>
      <w:spacing w:after="120"/>
      <w:outlineLvl w:val="3"/>
    </w:pPr>
    <w:rPr>
      <w:b/>
    </w:rPr>
  </w:style>
  <w:style w:type="paragraph" w:styleId="Heading5">
    <w:name w:val="heading 5"/>
    <w:basedOn w:val="Normal"/>
    <w:next w:val="ParaNum"/>
    <w:qFormat/>
    <w:rsid w:val="0060666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6667"/>
    <w:pPr>
      <w:numPr>
        <w:ilvl w:val="5"/>
        <w:numId w:val="3"/>
      </w:numPr>
      <w:tabs>
        <w:tab w:val="left" w:pos="4320"/>
      </w:tabs>
      <w:spacing w:after="120"/>
      <w:outlineLvl w:val="5"/>
    </w:pPr>
    <w:rPr>
      <w:b/>
    </w:rPr>
  </w:style>
  <w:style w:type="paragraph" w:styleId="Heading7">
    <w:name w:val="heading 7"/>
    <w:basedOn w:val="Normal"/>
    <w:next w:val="ParaNum"/>
    <w:qFormat/>
    <w:rsid w:val="0060666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66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66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66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667"/>
  </w:style>
  <w:style w:type="paragraph" w:customStyle="1" w:styleId="ParaNum">
    <w:name w:val="ParaNum"/>
    <w:basedOn w:val="Normal"/>
    <w:link w:val="ParaNumChar"/>
    <w:rsid w:val="00606667"/>
    <w:pPr>
      <w:numPr>
        <w:numId w:val="2"/>
      </w:numPr>
      <w:tabs>
        <w:tab w:val="clear" w:pos="1080"/>
        <w:tab w:val="num" w:pos="1440"/>
      </w:tabs>
      <w:spacing w:after="120"/>
    </w:pPr>
  </w:style>
  <w:style w:type="paragraph" w:styleId="EndnoteText">
    <w:name w:val="endnote text"/>
    <w:basedOn w:val="Normal"/>
    <w:semiHidden/>
    <w:rsid w:val="00606667"/>
    <w:rPr>
      <w:sz w:val="20"/>
    </w:rPr>
  </w:style>
  <w:style w:type="character" w:styleId="EndnoteReference">
    <w:name w:val="endnote reference"/>
    <w:semiHidden/>
    <w:rsid w:val="00606667"/>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60666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06667"/>
    <w:rPr>
      <w:rFonts w:ascii="Times New Roman" w:hAnsi="Times New Roman"/>
      <w:dstrike w:val="0"/>
      <w:color w:val="auto"/>
      <w:sz w:val="20"/>
      <w:vertAlign w:val="superscript"/>
    </w:rPr>
  </w:style>
  <w:style w:type="paragraph" w:styleId="TOC1">
    <w:name w:val="toc 1"/>
    <w:basedOn w:val="Normal"/>
    <w:next w:val="Normal"/>
    <w:semiHidden/>
    <w:rsid w:val="0060666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06667"/>
    <w:pPr>
      <w:tabs>
        <w:tab w:val="left" w:pos="720"/>
        <w:tab w:val="right" w:leader="dot" w:pos="9360"/>
      </w:tabs>
      <w:suppressAutoHyphens/>
      <w:ind w:left="720" w:right="720" w:hanging="360"/>
    </w:pPr>
    <w:rPr>
      <w:noProof/>
    </w:rPr>
  </w:style>
  <w:style w:type="paragraph" w:styleId="TOC3">
    <w:name w:val="toc 3"/>
    <w:basedOn w:val="Normal"/>
    <w:next w:val="Normal"/>
    <w:semiHidden/>
    <w:rsid w:val="006066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66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66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66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66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66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66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6667"/>
    <w:pPr>
      <w:tabs>
        <w:tab w:val="right" w:pos="9360"/>
      </w:tabs>
      <w:suppressAutoHyphens/>
    </w:pPr>
  </w:style>
  <w:style w:type="character" w:customStyle="1" w:styleId="EquationCaption">
    <w:name w:val="_Equation Caption"/>
    <w:rsid w:val="00606667"/>
  </w:style>
  <w:style w:type="paragraph" w:styleId="Header">
    <w:name w:val="header"/>
    <w:basedOn w:val="Normal"/>
    <w:link w:val="HeaderChar"/>
    <w:autoRedefine/>
    <w:rsid w:val="00606667"/>
    <w:pPr>
      <w:tabs>
        <w:tab w:val="center" w:pos="4680"/>
        <w:tab w:val="right" w:pos="9360"/>
      </w:tabs>
    </w:pPr>
    <w:rPr>
      <w:b/>
    </w:rPr>
  </w:style>
  <w:style w:type="paragraph" w:styleId="Footer">
    <w:name w:val="footer"/>
    <w:basedOn w:val="Normal"/>
    <w:link w:val="FooterChar"/>
    <w:uiPriority w:val="99"/>
    <w:rsid w:val="00606667"/>
    <w:pPr>
      <w:tabs>
        <w:tab w:val="center" w:pos="4320"/>
        <w:tab w:val="right" w:pos="8640"/>
      </w:tabs>
    </w:pPr>
  </w:style>
  <w:style w:type="character" w:styleId="PageNumber">
    <w:name w:val="page number"/>
    <w:basedOn w:val="DefaultParagraphFont"/>
    <w:rsid w:val="00606667"/>
  </w:style>
  <w:style w:type="paragraph" w:styleId="BlockText">
    <w:name w:val="Block Text"/>
    <w:basedOn w:val="Normal"/>
    <w:rsid w:val="00606667"/>
    <w:pPr>
      <w:spacing w:after="240"/>
      <w:ind w:left="1440" w:right="1440"/>
    </w:pPr>
  </w:style>
  <w:style w:type="paragraph" w:customStyle="1" w:styleId="Paratitle">
    <w:name w:val="Para title"/>
    <w:basedOn w:val="Normal"/>
    <w:rsid w:val="00606667"/>
    <w:pPr>
      <w:tabs>
        <w:tab w:val="center" w:pos="9270"/>
      </w:tabs>
      <w:spacing w:after="240"/>
    </w:pPr>
    <w:rPr>
      <w:spacing w:val="-2"/>
    </w:rPr>
  </w:style>
  <w:style w:type="paragraph" w:customStyle="1" w:styleId="Bullet">
    <w:name w:val="Bullet"/>
    <w:basedOn w:val="Normal"/>
    <w:rsid w:val="00606667"/>
    <w:pPr>
      <w:tabs>
        <w:tab w:val="left" w:pos="2160"/>
      </w:tabs>
      <w:spacing w:after="220"/>
      <w:ind w:left="2160" w:hanging="720"/>
    </w:pPr>
  </w:style>
  <w:style w:type="paragraph" w:customStyle="1" w:styleId="TableFormat">
    <w:name w:val="TableFormat"/>
    <w:basedOn w:val="Bullet"/>
    <w:rsid w:val="00606667"/>
    <w:pPr>
      <w:tabs>
        <w:tab w:val="clear" w:pos="2160"/>
        <w:tab w:val="left" w:pos="5040"/>
      </w:tabs>
      <w:ind w:left="5040" w:hanging="3600"/>
    </w:pPr>
  </w:style>
  <w:style w:type="paragraph" w:customStyle="1" w:styleId="TOCTitle">
    <w:name w:val="TOC Title"/>
    <w:basedOn w:val="Normal"/>
    <w:rsid w:val="006066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6667"/>
    <w:pPr>
      <w:jc w:val="center"/>
    </w:pPr>
    <w:rPr>
      <w:rFonts w:ascii="Times New Roman Bold" w:hAnsi="Times New Roman Bold"/>
      <w:b/>
      <w:bCs/>
      <w:caps/>
      <w:szCs w:val="22"/>
    </w:rPr>
  </w:style>
  <w:style w:type="character" w:styleId="Hyperlink">
    <w:name w:val="Hyperlink"/>
    <w:rsid w:val="00606667"/>
    <w:rPr>
      <w:color w:val="0000FF"/>
      <w:u w:val="single"/>
    </w:rPr>
  </w:style>
  <w:style w:type="character" w:customStyle="1" w:styleId="FooterChar">
    <w:name w:val="Footer Char"/>
    <w:link w:val="Footer"/>
    <w:uiPriority w:val="99"/>
    <w:rsid w:val="00606667"/>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314925"/>
  </w:style>
  <w:style w:type="character" w:customStyle="1" w:styleId="ParaNumChar">
    <w:name w:val="ParaNum Char"/>
    <w:link w:val="ParaNum"/>
    <w:locked/>
    <w:rsid w:val="00314925"/>
    <w:rPr>
      <w:snapToGrid w:val="0"/>
      <w:kern w:val="28"/>
      <w:sz w:val="22"/>
    </w:rPr>
  </w:style>
  <w:style w:type="character" w:customStyle="1" w:styleId="HeaderChar">
    <w:name w:val="Header Char"/>
    <w:link w:val="Header"/>
    <w:locked/>
    <w:rsid w:val="00314925"/>
    <w:rPr>
      <w:b/>
      <w:snapToGrid w:val="0"/>
      <w:kern w:val="28"/>
      <w:sz w:val="22"/>
    </w:rPr>
  </w:style>
  <w:style w:type="paragraph" w:styleId="BalloonText">
    <w:name w:val="Balloon Text"/>
    <w:basedOn w:val="Normal"/>
    <w:link w:val="BalloonTextChar"/>
    <w:rsid w:val="00610D66"/>
    <w:rPr>
      <w:rFonts w:ascii="Segoe UI" w:hAnsi="Segoe UI" w:cs="Segoe UI"/>
      <w:sz w:val="18"/>
      <w:szCs w:val="18"/>
    </w:rPr>
  </w:style>
  <w:style w:type="character" w:customStyle="1" w:styleId="BalloonTextChar">
    <w:name w:val="Balloon Text Char"/>
    <w:basedOn w:val="DefaultParagraphFont"/>
    <w:link w:val="BalloonText"/>
    <w:rsid w:val="00610D66"/>
    <w:rPr>
      <w:rFonts w:ascii="Segoe UI" w:hAnsi="Segoe UI" w:cs="Segoe UI"/>
      <w:snapToGrid w:val="0"/>
      <w:kern w:val="28"/>
      <w:sz w:val="18"/>
      <w:szCs w:val="18"/>
    </w:rPr>
  </w:style>
  <w:style w:type="character" w:styleId="CommentReference">
    <w:name w:val="annotation reference"/>
    <w:basedOn w:val="DefaultParagraphFont"/>
    <w:rsid w:val="00565A17"/>
    <w:rPr>
      <w:sz w:val="16"/>
      <w:szCs w:val="16"/>
    </w:rPr>
  </w:style>
  <w:style w:type="paragraph" w:styleId="CommentText">
    <w:name w:val="annotation text"/>
    <w:basedOn w:val="Normal"/>
    <w:link w:val="CommentTextChar"/>
    <w:rsid w:val="00565A17"/>
    <w:rPr>
      <w:sz w:val="20"/>
    </w:rPr>
  </w:style>
  <w:style w:type="character" w:customStyle="1" w:styleId="CommentTextChar">
    <w:name w:val="Comment Text Char"/>
    <w:basedOn w:val="DefaultParagraphFont"/>
    <w:link w:val="CommentText"/>
    <w:rsid w:val="00565A17"/>
    <w:rPr>
      <w:snapToGrid w:val="0"/>
      <w:kern w:val="28"/>
    </w:rPr>
  </w:style>
  <w:style w:type="paragraph" w:styleId="CommentSubject">
    <w:name w:val="annotation subject"/>
    <w:basedOn w:val="CommentText"/>
    <w:next w:val="CommentText"/>
    <w:link w:val="CommentSubjectChar"/>
    <w:rsid w:val="00565A17"/>
    <w:rPr>
      <w:b/>
      <w:bCs/>
    </w:rPr>
  </w:style>
  <w:style w:type="character" w:customStyle="1" w:styleId="CommentSubjectChar">
    <w:name w:val="Comment Subject Char"/>
    <w:basedOn w:val="CommentTextChar"/>
    <w:link w:val="CommentSubject"/>
    <w:rsid w:val="00565A17"/>
    <w:rPr>
      <w:b/>
      <w:bCs/>
      <w:snapToGrid w:val="0"/>
      <w:kern w:val="28"/>
    </w:rPr>
  </w:style>
  <w:style w:type="paragraph" w:styleId="Revision">
    <w:name w:val="Revision"/>
    <w:hidden/>
    <w:uiPriority w:val="99"/>
    <w:semiHidden/>
    <w:rsid w:val="005903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