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23B34" w:rsidRPr="00FA2715" w:rsidP="00C23B34">
      <w:pPr>
        <w:jc w:val="right"/>
        <w:rPr>
          <w:b/>
          <w:sz w:val="24"/>
          <w:szCs w:val="22"/>
        </w:rPr>
      </w:pPr>
      <w:bookmarkStart w:id="0" w:name="TOChere"/>
      <w:r w:rsidRPr="00FA2715">
        <w:rPr>
          <w:b/>
          <w:sz w:val="24"/>
          <w:szCs w:val="22"/>
        </w:rPr>
        <w:t xml:space="preserve">DA </w:t>
      </w:r>
      <w:r w:rsidRPr="00FA2715">
        <w:rPr>
          <w:b/>
          <w:sz w:val="24"/>
          <w:szCs w:val="22"/>
        </w:rPr>
        <w:t>19-501</w:t>
      </w:r>
    </w:p>
    <w:p w:rsidR="00C23B34" w:rsidRPr="00FA2715" w:rsidP="00C23B34">
      <w:pPr>
        <w:jc w:val="right"/>
        <w:rPr>
          <w:b/>
          <w:sz w:val="24"/>
          <w:szCs w:val="22"/>
        </w:rPr>
      </w:pPr>
      <w:r w:rsidRPr="00FA2715">
        <w:rPr>
          <w:b/>
          <w:sz w:val="24"/>
          <w:szCs w:val="22"/>
        </w:rPr>
        <w:t xml:space="preserve">Released:  </w:t>
      </w:r>
      <w:r w:rsidRPr="00FA2715">
        <w:rPr>
          <w:b/>
          <w:sz w:val="24"/>
          <w:szCs w:val="22"/>
        </w:rPr>
        <w:t>May 31,</w:t>
      </w:r>
      <w:r w:rsidRPr="00FA2715">
        <w:rPr>
          <w:b/>
          <w:sz w:val="24"/>
          <w:szCs w:val="22"/>
        </w:rPr>
        <w:t xml:space="preserve"> 2019</w:t>
      </w:r>
    </w:p>
    <w:p w:rsidR="00C23B34" w:rsidRPr="00FA2715" w:rsidP="00C23B34">
      <w:pPr>
        <w:jc w:val="right"/>
        <w:rPr>
          <w:b/>
          <w:sz w:val="24"/>
          <w:szCs w:val="22"/>
        </w:rPr>
      </w:pPr>
    </w:p>
    <w:p w:rsidR="00C23B34" w:rsidRPr="00FA2715" w:rsidP="00C23B34">
      <w:pPr>
        <w:autoSpaceDE w:val="0"/>
        <w:autoSpaceDN w:val="0"/>
        <w:adjustRightInd w:val="0"/>
        <w:jc w:val="center"/>
        <w:rPr>
          <w:b/>
          <w:sz w:val="24"/>
          <w:szCs w:val="22"/>
        </w:rPr>
      </w:pPr>
      <w:r w:rsidRPr="00FA2715">
        <w:rPr>
          <w:b/>
          <w:sz w:val="24"/>
          <w:szCs w:val="22"/>
        </w:rPr>
        <w:t>WIRELINE COMPETITION BUREAU DISMISSES FOUR PETITIONS OF VARIOUS HIGH-COST UNIVERSAL SERVICE MATTERS</w:t>
      </w:r>
    </w:p>
    <w:p w:rsidR="00C23B34" w:rsidRPr="00FA2715" w:rsidP="00C23B34">
      <w:pPr>
        <w:jc w:val="center"/>
        <w:rPr>
          <w:b/>
          <w:sz w:val="24"/>
          <w:szCs w:val="22"/>
        </w:rPr>
      </w:pPr>
    </w:p>
    <w:p w:rsidR="00C23B34" w:rsidRPr="00FA2715" w:rsidP="00C23B34">
      <w:pPr>
        <w:jc w:val="center"/>
        <w:rPr>
          <w:b/>
          <w:sz w:val="24"/>
          <w:szCs w:val="22"/>
        </w:rPr>
      </w:pPr>
      <w:r w:rsidRPr="00FA2715">
        <w:rPr>
          <w:b/>
          <w:sz w:val="24"/>
          <w:szCs w:val="22"/>
        </w:rPr>
        <w:t>WC Docket No. 10-90</w:t>
      </w:r>
    </w:p>
    <w:p w:rsidR="00C23B34" w:rsidRPr="00FA2715" w:rsidP="00C23B34">
      <w:pPr>
        <w:jc w:val="center"/>
        <w:rPr>
          <w:b/>
          <w:sz w:val="24"/>
          <w:szCs w:val="22"/>
        </w:rPr>
      </w:pPr>
      <w:r w:rsidRPr="00FA2715">
        <w:rPr>
          <w:b/>
          <w:sz w:val="24"/>
          <w:szCs w:val="22"/>
        </w:rPr>
        <w:t xml:space="preserve">  WC Docket No. 09-197 </w:t>
      </w:r>
      <w:bookmarkStart w:id="1" w:name="_GoBack"/>
      <w:bookmarkEnd w:id="1"/>
    </w:p>
    <w:p w:rsidR="00C23B34" w:rsidRPr="00FA2715" w:rsidP="00C23B34">
      <w:pPr>
        <w:jc w:val="center"/>
        <w:rPr>
          <w:b/>
          <w:sz w:val="24"/>
          <w:szCs w:val="22"/>
        </w:rPr>
      </w:pPr>
      <w:r w:rsidRPr="00FA2715">
        <w:rPr>
          <w:b/>
          <w:sz w:val="24"/>
          <w:szCs w:val="22"/>
        </w:rPr>
        <w:t xml:space="preserve"> WC Docket No. 05-337</w:t>
      </w:r>
    </w:p>
    <w:p w:rsidR="00C23B34" w:rsidRPr="00FA2715" w:rsidP="00C23B34">
      <w:pPr>
        <w:jc w:val="center"/>
        <w:rPr>
          <w:b/>
          <w:sz w:val="24"/>
          <w:szCs w:val="22"/>
        </w:rPr>
      </w:pPr>
      <w:r w:rsidRPr="00FA2715">
        <w:rPr>
          <w:b/>
          <w:sz w:val="24"/>
          <w:szCs w:val="22"/>
        </w:rPr>
        <w:t>CC Docket No. 96-45</w:t>
      </w:r>
    </w:p>
    <w:p w:rsidR="00C23B34" w:rsidRPr="00FA2715" w:rsidP="00C23B34">
      <w:pPr>
        <w:rPr>
          <w:b/>
          <w:szCs w:val="22"/>
        </w:rPr>
      </w:pPr>
    </w:p>
    <w:p w:rsidR="00C23B34" w:rsidRPr="00FA2715" w:rsidP="00C23B34">
      <w:pPr>
        <w:autoSpaceDE w:val="0"/>
        <w:autoSpaceDN w:val="0"/>
        <w:adjustRightInd w:val="0"/>
        <w:spacing w:after="120"/>
        <w:ind w:firstLine="720"/>
        <w:rPr>
          <w:color w:val="010101"/>
          <w:szCs w:val="22"/>
        </w:rPr>
      </w:pPr>
      <w:r w:rsidRPr="00FA2715">
        <w:rPr>
          <w:color w:val="010101"/>
          <w:szCs w:val="22"/>
        </w:rPr>
        <w:t>In this Public Notice, the Wireline Competition Bureau announces the dismissal of the following four petitions for waiver of various high-cost universal service matters: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4230"/>
        <w:gridCol w:w="1800"/>
      </w:tblGrid>
      <w:tr w:rsidTr="000C7CF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blHeader/>
        </w:trPr>
        <w:tc>
          <w:tcPr>
            <w:tcW w:w="2988" w:type="dxa"/>
            <w:shd w:val="clear" w:color="auto" w:fill="auto"/>
          </w:tcPr>
          <w:p w:rsidR="00C23B34" w:rsidRPr="00FA2715" w:rsidP="000C7CFA">
            <w:pPr>
              <w:autoSpaceDE w:val="0"/>
              <w:autoSpaceDN w:val="0"/>
              <w:adjustRightInd w:val="0"/>
              <w:rPr>
                <w:b/>
                <w:szCs w:val="22"/>
              </w:rPr>
            </w:pPr>
            <w:r w:rsidRPr="00FA2715">
              <w:rPr>
                <w:b/>
                <w:szCs w:val="22"/>
              </w:rPr>
              <w:t>Petitioner</w:t>
            </w:r>
          </w:p>
        </w:tc>
        <w:tc>
          <w:tcPr>
            <w:tcW w:w="4230" w:type="dxa"/>
            <w:shd w:val="clear" w:color="auto" w:fill="auto"/>
          </w:tcPr>
          <w:p w:rsidR="00C23B34" w:rsidRPr="00FA2715" w:rsidP="000C7CFA">
            <w:pPr>
              <w:autoSpaceDE w:val="0"/>
              <w:autoSpaceDN w:val="0"/>
              <w:adjustRightInd w:val="0"/>
              <w:rPr>
                <w:b/>
                <w:szCs w:val="22"/>
              </w:rPr>
            </w:pPr>
            <w:r w:rsidRPr="00FA2715">
              <w:rPr>
                <w:b/>
                <w:szCs w:val="22"/>
              </w:rPr>
              <w:t>Petitions</w:t>
            </w:r>
          </w:p>
        </w:tc>
        <w:tc>
          <w:tcPr>
            <w:tcW w:w="1800" w:type="dxa"/>
            <w:shd w:val="clear" w:color="auto" w:fill="auto"/>
          </w:tcPr>
          <w:p w:rsidR="00C23B34" w:rsidRPr="00FA2715" w:rsidP="000C7CFA">
            <w:pPr>
              <w:autoSpaceDE w:val="0"/>
              <w:autoSpaceDN w:val="0"/>
              <w:adjustRightInd w:val="0"/>
              <w:rPr>
                <w:b/>
                <w:szCs w:val="22"/>
              </w:rPr>
            </w:pPr>
            <w:r w:rsidRPr="00FA2715">
              <w:rPr>
                <w:b/>
                <w:szCs w:val="22"/>
              </w:rPr>
              <w:t>Date Petition Filed</w:t>
            </w:r>
          </w:p>
        </w:tc>
      </w:tr>
      <w:tr w:rsidTr="000C7CFA">
        <w:tblPrEx>
          <w:tblW w:w="0" w:type="auto"/>
          <w:tblLook w:val="04A0"/>
        </w:tblPrEx>
        <w:trPr>
          <w:cantSplit/>
        </w:trPr>
        <w:tc>
          <w:tcPr>
            <w:tcW w:w="2988" w:type="dxa"/>
            <w:shd w:val="clear" w:color="auto" w:fill="auto"/>
          </w:tcPr>
          <w:p w:rsidR="00C23B34" w:rsidRPr="00FA2715" w:rsidP="000C7CFA">
            <w:pPr>
              <w:autoSpaceDE w:val="0"/>
              <w:autoSpaceDN w:val="0"/>
              <w:adjustRightInd w:val="0"/>
              <w:rPr>
                <w:szCs w:val="22"/>
              </w:rPr>
            </w:pPr>
            <w:r w:rsidRPr="00FA2715">
              <w:rPr>
                <w:szCs w:val="22"/>
              </w:rPr>
              <w:t xml:space="preserve">Madison River Telephone Company, LLC, </w:t>
            </w:r>
            <w:r w:rsidRPr="00FA2715">
              <w:rPr>
                <w:szCs w:val="22"/>
              </w:rPr>
              <w:t>MebTel</w:t>
            </w:r>
            <w:r w:rsidRPr="00FA2715">
              <w:rPr>
                <w:szCs w:val="22"/>
              </w:rPr>
              <w:t xml:space="preserve">, Inc., d/b/a </w:t>
            </w:r>
            <w:r w:rsidRPr="00FA2715">
              <w:rPr>
                <w:szCs w:val="22"/>
              </w:rPr>
              <w:t>MebTel</w:t>
            </w:r>
            <w:r w:rsidRPr="00FA2715">
              <w:rPr>
                <w:szCs w:val="22"/>
              </w:rPr>
              <w:t xml:space="preserve"> </w:t>
            </w:r>
            <w:r w:rsidRPr="00FA2715">
              <w:rPr>
                <w:szCs w:val="22"/>
              </w:rPr>
              <w:t>Communcations</w:t>
            </w:r>
            <w:r w:rsidRPr="00FA2715">
              <w:rPr>
                <w:szCs w:val="22"/>
              </w:rPr>
              <w:t xml:space="preserve">, </w:t>
            </w:r>
            <w:r w:rsidRPr="00FA2715">
              <w:rPr>
                <w:szCs w:val="22"/>
              </w:rPr>
              <w:t>MebTel</w:t>
            </w:r>
            <w:r w:rsidRPr="00FA2715">
              <w:rPr>
                <w:szCs w:val="22"/>
              </w:rPr>
              <w:t xml:space="preserve"> Long Distance Solutions, Inc., and Bell South Telecommunications, Inc., Bell South Long Distance, Inc.</w:t>
            </w:r>
          </w:p>
        </w:tc>
        <w:tc>
          <w:tcPr>
            <w:tcW w:w="4230" w:type="dxa"/>
            <w:shd w:val="clear" w:color="auto" w:fill="auto"/>
          </w:tcPr>
          <w:p w:rsidR="00C23B34" w:rsidRPr="00FA2715" w:rsidP="000C7CFA">
            <w:r w:rsidRPr="00FA2715">
              <w:t>Joint Petition for Waiver of the Definition of “Study Area” of the Appendix-Glossary of Part 36 of the Commission’s Rules; Petition for Waiver of Section 690.3(e</w:t>
            </w:r>
            <w:r w:rsidRPr="00FA2715">
              <w:t>)(</w:t>
            </w:r>
            <w:r w:rsidRPr="00FA2715">
              <w:t>11) of the Commission’s Rules</w:t>
            </w:r>
          </w:p>
          <w:p w:rsidR="00C23B34" w:rsidRPr="00FA2715" w:rsidP="000C7CFA">
            <w:pPr>
              <w:autoSpaceDE w:val="0"/>
              <w:autoSpaceDN w:val="0"/>
              <w:adjustRightInd w:val="0"/>
              <w:rPr>
                <w:szCs w:val="22"/>
              </w:rPr>
            </w:pPr>
          </w:p>
        </w:tc>
        <w:tc>
          <w:tcPr>
            <w:tcW w:w="1800" w:type="dxa"/>
            <w:shd w:val="clear" w:color="auto" w:fill="auto"/>
          </w:tcPr>
          <w:p w:rsidR="00C23B34" w:rsidRPr="00FA2715" w:rsidP="000C7CFA">
            <w:pPr>
              <w:autoSpaceDE w:val="0"/>
              <w:autoSpaceDN w:val="0"/>
              <w:adjustRightInd w:val="0"/>
              <w:rPr>
                <w:szCs w:val="22"/>
              </w:rPr>
            </w:pPr>
            <w:r w:rsidRPr="00FA2715">
              <w:rPr>
                <w:szCs w:val="22"/>
              </w:rPr>
              <w:t>8/15/2006</w:t>
            </w:r>
          </w:p>
        </w:tc>
      </w:tr>
      <w:tr w:rsidTr="000C7CFA">
        <w:tblPrEx>
          <w:tblW w:w="0" w:type="auto"/>
          <w:tblLook w:val="04A0"/>
        </w:tblPrEx>
        <w:trPr>
          <w:cantSplit/>
        </w:trPr>
        <w:tc>
          <w:tcPr>
            <w:tcW w:w="2988" w:type="dxa"/>
            <w:shd w:val="clear" w:color="auto" w:fill="auto"/>
          </w:tcPr>
          <w:p w:rsidR="00C23B34" w:rsidRPr="00FA2715" w:rsidP="000C7CFA">
            <w:r w:rsidRPr="00FA2715">
              <w:t xml:space="preserve">TDS Telecommunications Corp., FairPoint Communications, Inc., and Burke’s Garden Telephone Company (Rural </w:t>
            </w:r>
            <w:r w:rsidRPr="00FA2715">
              <w:t>ILECs</w:t>
            </w:r>
            <w:r w:rsidRPr="00FA2715">
              <w:t>)</w:t>
            </w:r>
          </w:p>
          <w:p w:rsidR="00C23B34" w:rsidRPr="00FA2715" w:rsidP="000C7CFA">
            <w:pPr>
              <w:autoSpaceDE w:val="0"/>
              <w:autoSpaceDN w:val="0"/>
              <w:adjustRightInd w:val="0"/>
              <w:rPr>
                <w:szCs w:val="22"/>
              </w:rPr>
            </w:pPr>
          </w:p>
        </w:tc>
        <w:tc>
          <w:tcPr>
            <w:tcW w:w="4230" w:type="dxa"/>
            <w:shd w:val="clear" w:color="auto" w:fill="auto"/>
          </w:tcPr>
          <w:p w:rsidR="00C23B34" w:rsidRPr="00FA2715" w:rsidP="000C7CFA">
            <w:pPr>
              <w:autoSpaceDE w:val="0"/>
              <w:autoSpaceDN w:val="0"/>
              <w:adjustRightInd w:val="0"/>
              <w:rPr>
                <w:szCs w:val="22"/>
              </w:rPr>
            </w:pPr>
            <w:r w:rsidRPr="00FA2715">
              <w:t>Petition for Revocation of Sprint/Nextel’s Designation as an Eligible Telecommunications Carrier in the State of Virginia</w:t>
            </w:r>
          </w:p>
        </w:tc>
        <w:tc>
          <w:tcPr>
            <w:tcW w:w="1800" w:type="dxa"/>
            <w:shd w:val="clear" w:color="auto" w:fill="auto"/>
          </w:tcPr>
          <w:p w:rsidR="00C23B34" w:rsidRPr="00FA2715" w:rsidP="000C7CFA">
            <w:pPr>
              <w:autoSpaceDE w:val="0"/>
              <w:autoSpaceDN w:val="0"/>
              <w:adjustRightInd w:val="0"/>
              <w:rPr>
                <w:szCs w:val="22"/>
              </w:rPr>
            </w:pPr>
            <w:r w:rsidRPr="00FA2715">
              <w:rPr>
                <w:szCs w:val="22"/>
              </w:rPr>
              <w:t>6/04/2007</w:t>
            </w:r>
          </w:p>
        </w:tc>
      </w:tr>
      <w:tr w:rsidTr="000C7CFA">
        <w:tblPrEx>
          <w:tblW w:w="0" w:type="auto"/>
          <w:tblLook w:val="04A0"/>
        </w:tblPrEx>
        <w:trPr>
          <w:cantSplit/>
        </w:trPr>
        <w:tc>
          <w:tcPr>
            <w:tcW w:w="2988" w:type="dxa"/>
            <w:shd w:val="clear" w:color="auto" w:fill="auto"/>
          </w:tcPr>
          <w:p w:rsidR="00C23B34" w:rsidRPr="00FA2715" w:rsidP="000C7CFA">
            <w:pPr>
              <w:autoSpaceDE w:val="0"/>
              <w:autoSpaceDN w:val="0"/>
              <w:adjustRightInd w:val="0"/>
              <w:rPr>
                <w:szCs w:val="22"/>
              </w:rPr>
            </w:pPr>
            <w:r w:rsidRPr="00FA2715">
              <w:rPr>
                <w:szCs w:val="22"/>
              </w:rPr>
              <w:t>Worldcall</w:t>
            </w:r>
            <w:r w:rsidRPr="00FA2715">
              <w:rPr>
                <w:szCs w:val="22"/>
              </w:rPr>
              <w:t xml:space="preserve"> Interconnect, Inc. (</w:t>
            </w:r>
            <w:r w:rsidRPr="00FA2715">
              <w:rPr>
                <w:szCs w:val="22"/>
              </w:rPr>
              <w:t>WCX</w:t>
            </w:r>
            <w:r w:rsidRPr="00FA2715">
              <w:rPr>
                <w:szCs w:val="22"/>
              </w:rPr>
              <w:t>)</w:t>
            </w:r>
          </w:p>
        </w:tc>
        <w:tc>
          <w:tcPr>
            <w:tcW w:w="4230" w:type="dxa"/>
            <w:shd w:val="clear" w:color="auto" w:fill="auto"/>
          </w:tcPr>
          <w:p w:rsidR="00C23B34" w:rsidRPr="00FA2715" w:rsidP="000C7CFA">
            <w:pPr>
              <w:autoSpaceDE w:val="0"/>
              <w:autoSpaceDN w:val="0"/>
              <w:adjustRightInd w:val="0"/>
              <w:rPr>
                <w:szCs w:val="22"/>
              </w:rPr>
            </w:pPr>
            <w:r w:rsidRPr="00FA2715">
              <w:rPr>
                <w:szCs w:val="22"/>
              </w:rPr>
              <w:t xml:space="preserve">Application for Review of the Bureau’s Denial of </w:t>
            </w:r>
            <w:r w:rsidRPr="00FA2715">
              <w:rPr>
                <w:szCs w:val="22"/>
              </w:rPr>
              <w:t>WCX’s</w:t>
            </w:r>
            <w:r w:rsidRPr="00FA2715">
              <w:rPr>
                <w:szCs w:val="22"/>
              </w:rPr>
              <w:t xml:space="preserve"> Petition for ETC Status in New York State</w:t>
            </w:r>
          </w:p>
        </w:tc>
        <w:tc>
          <w:tcPr>
            <w:tcW w:w="1800" w:type="dxa"/>
            <w:shd w:val="clear" w:color="auto" w:fill="auto"/>
          </w:tcPr>
          <w:p w:rsidR="00C23B34" w:rsidRPr="00FA2715" w:rsidP="000C7CFA">
            <w:pPr>
              <w:autoSpaceDE w:val="0"/>
              <w:autoSpaceDN w:val="0"/>
              <w:adjustRightInd w:val="0"/>
              <w:rPr>
                <w:szCs w:val="22"/>
              </w:rPr>
            </w:pPr>
            <w:r w:rsidRPr="00FA2715">
              <w:rPr>
                <w:szCs w:val="22"/>
              </w:rPr>
              <w:t>5/27/2011</w:t>
            </w:r>
          </w:p>
        </w:tc>
      </w:tr>
      <w:tr w:rsidTr="000C7CFA">
        <w:tblPrEx>
          <w:tblW w:w="0" w:type="auto"/>
          <w:tblLook w:val="04A0"/>
        </w:tblPrEx>
        <w:trPr>
          <w:cantSplit/>
        </w:trPr>
        <w:tc>
          <w:tcPr>
            <w:tcW w:w="2988" w:type="dxa"/>
            <w:shd w:val="clear" w:color="auto" w:fill="auto"/>
          </w:tcPr>
          <w:p w:rsidR="00C23B34" w:rsidRPr="00FA2715" w:rsidP="000C7CFA">
            <w:pPr>
              <w:autoSpaceDE w:val="0"/>
              <w:autoSpaceDN w:val="0"/>
              <w:adjustRightInd w:val="0"/>
              <w:rPr>
                <w:szCs w:val="22"/>
              </w:rPr>
            </w:pPr>
            <w:r w:rsidRPr="00FA2715">
              <w:rPr>
                <w:szCs w:val="22"/>
              </w:rPr>
              <w:t>Dell Telephone Cooperative</w:t>
            </w:r>
          </w:p>
        </w:tc>
        <w:tc>
          <w:tcPr>
            <w:tcW w:w="4230" w:type="dxa"/>
            <w:shd w:val="clear" w:color="auto" w:fill="auto"/>
          </w:tcPr>
          <w:p w:rsidR="00C23B34" w:rsidRPr="00FA2715" w:rsidP="000C7CFA">
            <w:pPr>
              <w:autoSpaceDE w:val="0"/>
              <w:autoSpaceDN w:val="0"/>
              <w:adjustRightInd w:val="0"/>
              <w:rPr>
                <w:szCs w:val="22"/>
              </w:rPr>
            </w:pPr>
            <w:r w:rsidRPr="00FA2715">
              <w:rPr>
                <w:szCs w:val="22"/>
              </w:rPr>
              <w:t xml:space="preserve">Application for Review of the Bureau’s order </w:t>
            </w:r>
            <w:r w:rsidRPr="00FA2715">
              <w:t xml:space="preserve">dismissing without prejudice Dell Telephone’s petition for waiver certain universal service rules adopted in </w:t>
            </w:r>
            <w:r w:rsidRPr="00FA2715">
              <w:rPr>
                <w:i/>
              </w:rPr>
              <w:t>USF/ICC Transformation Order</w:t>
            </w:r>
          </w:p>
        </w:tc>
        <w:tc>
          <w:tcPr>
            <w:tcW w:w="1800" w:type="dxa"/>
            <w:shd w:val="clear" w:color="auto" w:fill="auto"/>
          </w:tcPr>
          <w:p w:rsidR="00C23B34" w:rsidRPr="00FA2715" w:rsidP="000C7CFA">
            <w:pPr>
              <w:autoSpaceDE w:val="0"/>
              <w:autoSpaceDN w:val="0"/>
              <w:adjustRightInd w:val="0"/>
              <w:rPr>
                <w:szCs w:val="22"/>
              </w:rPr>
            </w:pPr>
            <w:r w:rsidRPr="00FA2715">
              <w:rPr>
                <w:szCs w:val="22"/>
              </w:rPr>
              <w:t>5/30/2013</w:t>
            </w:r>
          </w:p>
        </w:tc>
      </w:tr>
    </w:tbl>
    <w:p w:rsidR="00C23B34" w:rsidRPr="00FA2715" w:rsidP="00C23B34">
      <w:pPr>
        <w:autoSpaceDE w:val="0"/>
        <w:autoSpaceDN w:val="0"/>
        <w:adjustRightInd w:val="0"/>
        <w:rPr>
          <w:szCs w:val="22"/>
        </w:rPr>
      </w:pPr>
    </w:p>
    <w:p w:rsidR="00C23B34" w:rsidRPr="00FA2715" w:rsidP="00C23B34">
      <w:pPr>
        <w:autoSpaceDE w:val="0"/>
        <w:autoSpaceDN w:val="0"/>
        <w:adjustRightInd w:val="0"/>
        <w:spacing w:after="120"/>
        <w:ind w:firstLine="720"/>
        <w:rPr>
          <w:color w:val="010101"/>
          <w:szCs w:val="22"/>
        </w:rPr>
      </w:pPr>
      <w:r w:rsidRPr="00FA2715">
        <w:rPr>
          <w:color w:val="010101"/>
          <w:szCs w:val="22"/>
        </w:rPr>
        <w:t>On March 12, 2019, the Bureau released a public notice listing several pending petitions for waiver of various high-cost universal service filing deadlines.</w:t>
      </w:r>
      <w:r>
        <w:rPr>
          <w:rStyle w:val="FootnoteReference"/>
          <w:color w:val="010101"/>
          <w:szCs w:val="22"/>
        </w:rPr>
        <w:footnoteReference w:id="3"/>
      </w:r>
      <w:r w:rsidRPr="00FA2715">
        <w:rPr>
          <w:color w:val="010101"/>
          <w:szCs w:val="22"/>
        </w:rPr>
        <w:t xml:space="preserve">  In that public notice, the Bureau noted </w:t>
      </w:r>
      <w:r w:rsidRPr="00FA2715">
        <w:rPr>
          <w:color w:val="010101"/>
          <w:szCs w:val="22"/>
        </w:rPr>
        <w:t xml:space="preserve">that each of the petitions were filed at least one year prior to the date of the </w:t>
      </w:r>
      <w:r w:rsidRPr="00FA2715">
        <w:rPr>
          <w:i/>
          <w:color w:val="010101"/>
          <w:szCs w:val="22"/>
        </w:rPr>
        <w:t>Public Notice</w:t>
      </w:r>
      <w:r w:rsidRPr="00FA2715">
        <w:rPr>
          <w:color w:val="010101"/>
          <w:szCs w:val="22"/>
        </w:rPr>
        <w:t xml:space="preserve">, and no comments or </w:t>
      </w:r>
      <w:r w:rsidRPr="00FA2715">
        <w:rPr>
          <w:i/>
          <w:iCs/>
          <w:color w:val="010101"/>
          <w:szCs w:val="22"/>
        </w:rPr>
        <w:t xml:space="preserve">ex </w:t>
      </w:r>
      <w:r w:rsidRPr="00FA2715">
        <w:rPr>
          <w:i/>
          <w:iCs/>
          <w:color w:val="010101"/>
          <w:szCs w:val="22"/>
        </w:rPr>
        <w:t>parte</w:t>
      </w:r>
      <w:r w:rsidRPr="00FA2715">
        <w:rPr>
          <w:i/>
          <w:iCs/>
          <w:color w:val="010101"/>
          <w:szCs w:val="22"/>
        </w:rPr>
        <w:t xml:space="preserve"> </w:t>
      </w:r>
      <w:r w:rsidRPr="00FA2715">
        <w:rPr>
          <w:color w:val="010101"/>
          <w:szCs w:val="22"/>
        </w:rPr>
        <w:t>submissions were filed on these petitions for at least one year.  As part of the Commission’s ongoing effort to manage its dockets and reduce backlog,</w:t>
      </w:r>
      <w:r>
        <w:rPr>
          <w:rStyle w:val="FootnoteReference"/>
          <w:color w:val="010101"/>
          <w:szCs w:val="22"/>
        </w:rPr>
        <w:footnoteReference w:id="4"/>
      </w:r>
      <w:r w:rsidRPr="00FA2715">
        <w:rPr>
          <w:color w:val="010101"/>
          <w:szCs w:val="22"/>
        </w:rPr>
        <w:t xml:space="preserve"> and </w:t>
      </w:r>
      <w:r w:rsidRPr="00FA2715">
        <w:rPr>
          <w:color w:val="010101"/>
          <w:szCs w:val="22"/>
        </w:rPr>
        <w:t>in an effort to</w:t>
      </w:r>
      <w:r w:rsidRPr="00FA2715">
        <w:rPr>
          <w:color w:val="010101"/>
          <w:szCs w:val="22"/>
        </w:rPr>
        <w:t xml:space="preserve"> avoid the need to address issues unnecessarily, the Bureau stated its intent to dismiss each petition without prejudice unless the petitioner, within 45 days of the release of the </w:t>
      </w:r>
      <w:r w:rsidRPr="00FA2715">
        <w:rPr>
          <w:i/>
          <w:iCs/>
          <w:color w:val="010101"/>
          <w:szCs w:val="22"/>
        </w:rPr>
        <w:t>Public Notice</w:t>
      </w:r>
      <w:r w:rsidRPr="00FA2715">
        <w:rPr>
          <w:color w:val="010101"/>
          <w:szCs w:val="22"/>
        </w:rPr>
        <w:t>, stated its continuing interest in pursuing the petition.</w:t>
      </w:r>
      <w:r>
        <w:rPr>
          <w:rStyle w:val="FootnoteReference"/>
          <w:color w:val="010101"/>
          <w:szCs w:val="22"/>
        </w:rPr>
        <w:footnoteReference w:id="5"/>
      </w:r>
    </w:p>
    <w:p w:rsidR="00C23B34" w:rsidRPr="00FA2715" w:rsidP="00C23B34">
      <w:pPr>
        <w:autoSpaceDE w:val="0"/>
        <w:autoSpaceDN w:val="0"/>
        <w:adjustRightInd w:val="0"/>
        <w:spacing w:after="120"/>
        <w:ind w:firstLine="720"/>
        <w:rPr>
          <w:color w:val="010101"/>
          <w:szCs w:val="22"/>
        </w:rPr>
      </w:pPr>
      <w:r w:rsidRPr="00FA2715">
        <w:rPr>
          <w:color w:val="010101"/>
          <w:szCs w:val="22"/>
        </w:rPr>
        <w:t xml:space="preserve">Because the four petitioners listed above did not come forward within 45 days of the date of the </w:t>
      </w:r>
      <w:r w:rsidRPr="00FA2715">
        <w:rPr>
          <w:i/>
          <w:iCs/>
          <w:color w:val="010101"/>
          <w:szCs w:val="22"/>
        </w:rPr>
        <w:t xml:space="preserve">Public Notice </w:t>
      </w:r>
      <w:r w:rsidRPr="00FA2715">
        <w:rPr>
          <w:color w:val="010101"/>
          <w:szCs w:val="22"/>
        </w:rPr>
        <w:t xml:space="preserve">and state their intent to continue to pursue their respective petitions, pursuant to the </w:t>
      </w:r>
      <w:r w:rsidRPr="00FA2715">
        <w:rPr>
          <w:i/>
          <w:iCs/>
          <w:color w:val="010101"/>
          <w:szCs w:val="22"/>
        </w:rPr>
        <w:t>Public Notice</w:t>
      </w:r>
      <w:r w:rsidRPr="00FA2715">
        <w:rPr>
          <w:color w:val="010101"/>
          <w:szCs w:val="22"/>
        </w:rPr>
        <w:t>,</w:t>
      </w:r>
      <w:r>
        <w:rPr>
          <w:rStyle w:val="FootnoteReference"/>
          <w:color w:val="010101"/>
          <w:szCs w:val="22"/>
        </w:rPr>
        <w:footnoteReference w:id="6"/>
      </w:r>
      <w:r w:rsidRPr="00FA2715">
        <w:rPr>
          <w:color w:val="010101"/>
          <w:szCs w:val="22"/>
        </w:rPr>
        <w:t xml:space="preserve"> the above-referenced petitions are dismissed without prejudice.</w:t>
      </w:r>
      <w:r w:rsidRPr="00FA2715">
        <w:rPr>
          <w:color w:val="010101"/>
          <w:szCs w:val="22"/>
        </w:rPr>
        <w:tab/>
      </w:r>
    </w:p>
    <w:p w:rsidR="00C23B34" w:rsidRPr="00FA2715" w:rsidP="00C23B34">
      <w:pPr>
        <w:spacing w:after="120"/>
        <w:ind w:firstLine="720"/>
        <w:rPr>
          <w:szCs w:val="22"/>
        </w:rPr>
      </w:pPr>
      <w:r w:rsidRPr="00FA2715">
        <w:rPr>
          <w:szCs w:val="22"/>
        </w:rPr>
        <w:t>For further information, please contact Lauren Garry, Telecommunications Access Policy Division, Wireline Competition Bureau at (202) 418-0942 or TTY (202) 418-0484.</w:t>
      </w:r>
    </w:p>
    <w:p w:rsidR="00C23B34" w:rsidRPr="00FA2715" w:rsidP="00C23B34">
      <w:pPr>
        <w:spacing w:after="120"/>
        <w:ind w:firstLine="720"/>
        <w:rPr>
          <w:b/>
        </w:rPr>
      </w:pPr>
      <w:r w:rsidRPr="00FA2715">
        <w:rPr>
          <w:b/>
        </w:rPr>
        <w:tab/>
      </w:r>
      <w:r w:rsidRPr="00FA2715">
        <w:rPr>
          <w:b/>
        </w:rPr>
        <w:tab/>
      </w:r>
      <w:r w:rsidRPr="00FA2715">
        <w:rPr>
          <w:b/>
        </w:rPr>
        <w:tab/>
      </w:r>
      <w:r w:rsidRPr="00FA2715">
        <w:rPr>
          <w:b/>
        </w:rPr>
        <w:tab/>
      </w:r>
    </w:p>
    <w:p w:rsidR="00C23B34" w:rsidRPr="00FA2715" w:rsidP="00C23B34">
      <w:pPr>
        <w:spacing w:after="120"/>
        <w:ind w:firstLine="720"/>
        <w:rPr>
          <w:szCs w:val="22"/>
        </w:rPr>
      </w:pPr>
      <w:r w:rsidRPr="00FA2715">
        <w:rPr>
          <w:b/>
        </w:rPr>
        <w:tab/>
      </w:r>
      <w:r w:rsidRPr="00FA2715">
        <w:rPr>
          <w:b/>
        </w:rPr>
        <w:tab/>
      </w:r>
      <w:r w:rsidRPr="00FA2715">
        <w:rPr>
          <w:b/>
        </w:rPr>
        <w:tab/>
      </w:r>
      <w:r w:rsidRPr="00FA2715">
        <w:rPr>
          <w:b/>
        </w:rPr>
        <w:tab/>
      </w:r>
      <w:r w:rsidRPr="00FA2715">
        <w:rPr>
          <w:b/>
        </w:rPr>
        <w:tab/>
        <w:t>- FCC -</w:t>
      </w:r>
    </w:p>
    <w:p w:rsidR="00F96F63" w:rsidRPr="00FA2715" w:rsidP="00F96F63">
      <w:pPr>
        <w:rPr>
          <w:sz w:val="24"/>
        </w:rPr>
      </w:pPr>
    </w:p>
    <w:bookmarkEnd w:id="0"/>
    <w:p w:rsidR="00F96F63" w:rsidRPr="00FA2715" w:rsidP="00F96F63">
      <w:pPr>
        <w:rPr>
          <w:sz w:val="24"/>
        </w:rPr>
      </w:pPr>
    </w:p>
    <w:p w:rsidR="00930ECF" w:rsidRPr="00FA2715" w:rsidP="00F96F63">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3B34">
      <w:r>
        <w:separator/>
      </w:r>
    </w:p>
  </w:footnote>
  <w:footnote w:type="continuationSeparator" w:id="1">
    <w:p w:rsidR="00C23B34">
      <w:pPr>
        <w:rPr>
          <w:sz w:val="20"/>
        </w:rPr>
      </w:pPr>
      <w:r>
        <w:rPr>
          <w:sz w:val="20"/>
        </w:rPr>
        <w:t xml:space="preserve">(Continued from previous page)  </w:t>
      </w:r>
      <w:r>
        <w:rPr>
          <w:sz w:val="20"/>
        </w:rPr>
        <w:separator/>
      </w:r>
    </w:p>
  </w:footnote>
  <w:footnote w:type="continuationNotice" w:id="2">
    <w:p w:rsidR="00C23B34" w:rsidP="00910F12">
      <w:pPr>
        <w:jc w:val="right"/>
        <w:rPr>
          <w:sz w:val="20"/>
        </w:rPr>
      </w:pPr>
      <w:r>
        <w:rPr>
          <w:sz w:val="20"/>
        </w:rPr>
        <w:t>(continued….)</w:t>
      </w:r>
    </w:p>
  </w:footnote>
  <w:footnote w:id="3">
    <w:p w:rsidR="00C23B34" w:rsidRPr="00AF367E" w:rsidP="00C23B34">
      <w:pPr>
        <w:autoSpaceDE w:val="0"/>
        <w:autoSpaceDN w:val="0"/>
        <w:adjustRightInd w:val="0"/>
        <w:spacing w:after="120"/>
        <w:rPr>
          <w:rFonts w:ascii="TimesNewRoman,Italic" w:hAnsi="TimesNewRoman,Italic" w:cs="TimesNewRoman,Italic"/>
          <w:i/>
          <w:iCs/>
          <w:color w:val="010101"/>
          <w:sz w:val="20"/>
        </w:rPr>
      </w:pPr>
      <w:r>
        <w:rPr>
          <w:rStyle w:val="FootnoteReference"/>
        </w:rPr>
        <w:footnoteRef/>
      </w:r>
      <w:r>
        <w:t xml:space="preserve"> </w:t>
      </w:r>
      <w:r>
        <w:rPr>
          <w:rFonts w:ascii="TimesNewRoman,Italic" w:hAnsi="TimesNewRoman,Italic" w:cs="TimesNewRoman,Italic"/>
          <w:i/>
          <w:iCs/>
          <w:color w:val="010101"/>
          <w:sz w:val="20"/>
        </w:rPr>
        <w:t>Wireline Competition Bureau Seeks to Determine Parties’ Continuing Interest in Several Petitions for Waiver of Various High-Cost Universal Service Filing Deadlines</w:t>
      </w:r>
      <w:r>
        <w:rPr>
          <w:rFonts w:ascii="TimesNewRoman" w:hAnsi="TimesNewRoman" w:cs="TimesNewRoman"/>
          <w:color w:val="010101"/>
          <w:sz w:val="20"/>
        </w:rPr>
        <w:t xml:space="preserve">, </w:t>
      </w:r>
      <w:r w:rsidRPr="00650F3F">
        <w:rPr>
          <w:rFonts w:ascii="TimesNewRoman" w:hAnsi="TimesNewRoman" w:cs="TimesNewRoman"/>
          <w:color w:val="010101"/>
          <w:sz w:val="20"/>
        </w:rPr>
        <w:t>WC Docket No. WC Docket Nos. 10-90; 09-197; 05-337,</w:t>
      </w:r>
      <w:r>
        <w:rPr>
          <w:rFonts w:ascii="TimesNewRoman,Italic" w:hAnsi="TimesNewRoman,Italic" w:cs="TimesNewRoman,Italic"/>
          <w:i/>
          <w:iCs/>
          <w:color w:val="010101"/>
          <w:sz w:val="20"/>
        </w:rPr>
        <w:t xml:space="preserve"> </w:t>
      </w:r>
      <w:r w:rsidRPr="00650F3F">
        <w:rPr>
          <w:rFonts w:ascii="TimesNewRoman" w:hAnsi="TimesNewRoman" w:cs="TimesNewRoman"/>
          <w:color w:val="010101"/>
          <w:sz w:val="20"/>
        </w:rPr>
        <w:t>CC Docket No. 96-45</w:t>
      </w:r>
      <w:r>
        <w:rPr>
          <w:rFonts w:ascii="TimesNewRoman" w:hAnsi="TimesNewRoman" w:cs="TimesNewRoman"/>
          <w:color w:val="010101"/>
          <w:sz w:val="20"/>
        </w:rPr>
        <w:t xml:space="preserve">, Public Notice, DA </w:t>
      </w:r>
      <w:r w:rsidRPr="00F82DC1">
        <w:rPr>
          <w:rFonts w:ascii="TimesNewRoman" w:hAnsi="TimesNewRoman" w:cs="TimesNewRoman"/>
          <w:color w:val="010101"/>
          <w:sz w:val="20"/>
        </w:rPr>
        <w:t>19-175</w:t>
      </w:r>
      <w:r>
        <w:rPr>
          <w:rFonts w:ascii="TimesNewRoman" w:hAnsi="TimesNewRoman" w:cs="TimesNewRoman"/>
          <w:color w:val="010101"/>
          <w:sz w:val="20"/>
        </w:rPr>
        <w:t xml:space="preserve"> (WCB rel. Mar. 12, 2019) (</w:t>
      </w:r>
      <w:r>
        <w:rPr>
          <w:rFonts w:ascii="TimesNewRoman,Italic" w:hAnsi="TimesNewRoman,Italic" w:cs="TimesNewRoman,Italic"/>
          <w:i/>
          <w:iCs/>
          <w:color w:val="010101"/>
          <w:sz w:val="20"/>
        </w:rPr>
        <w:t>Public Notice</w:t>
      </w:r>
      <w:r>
        <w:rPr>
          <w:rFonts w:ascii="TimesNewRoman" w:hAnsi="TimesNewRoman" w:cs="TimesNewRoman"/>
          <w:color w:val="010101"/>
          <w:sz w:val="20"/>
        </w:rPr>
        <w:t>).</w:t>
      </w:r>
    </w:p>
  </w:footnote>
  <w:footnote w:id="4">
    <w:p w:rsidR="00C23B34" w:rsidRPr="003C63DD" w:rsidP="00C23B34">
      <w:pPr>
        <w:autoSpaceDE w:val="0"/>
        <w:autoSpaceDN w:val="0"/>
        <w:adjustRightInd w:val="0"/>
        <w:spacing w:after="120"/>
        <w:rPr>
          <w:rFonts w:ascii="TimesNewRoman,Italic" w:hAnsi="TimesNewRoman,Italic" w:cs="TimesNewRoman,Italic"/>
          <w:i/>
          <w:iCs/>
          <w:color w:val="010101"/>
          <w:sz w:val="20"/>
        </w:rPr>
      </w:pPr>
      <w:r>
        <w:rPr>
          <w:rStyle w:val="FootnoteReference"/>
        </w:rPr>
        <w:footnoteRef/>
      </w:r>
      <w:r>
        <w:t xml:space="preserve"> </w:t>
      </w:r>
      <w:r>
        <w:rPr>
          <w:rFonts w:ascii="TimesNewRoman,Italic" w:hAnsi="TimesNewRoman,Italic" w:cs="TimesNewRoman,Italic"/>
          <w:i/>
          <w:iCs/>
          <w:color w:val="010101"/>
          <w:sz w:val="20"/>
        </w:rPr>
        <w:t>Cf. Amendment of Certain of the Commission’s Part 1 Rules of Practice and Procedure and Part 0 Rules of Commission Organization</w:t>
      </w:r>
      <w:r>
        <w:rPr>
          <w:rFonts w:ascii="TimesNewRoman" w:hAnsi="TimesNewRoman" w:cs="TimesNewRoman"/>
          <w:color w:val="010101"/>
          <w:sz w:val="20"/>
        </w:rPr>
        <w:t>, GC Docket No. 10-44, Report and Order, 26 FCC Rcd 1594, 1604, paras. 23-24 (2011) (termination of dormant proceedings).</w:t>
      </w:r>
    </w:p>
  </w:footnote>
  <w:footnote w:id="5">
    <w:p w:rsidR="00C23B34" w:rsidP="00C23B34">
      <w:pPr>
        <w:pStyle w:val="FootnoteText"/>
      </w:pPr>
      <w:r>
        <w:rPr>
          <w:rStyle w:val="FootnoteReference"/>
        </w:rPr>
        <w:footnoteRef/>
      </w:r>
      <w:r>
        <w:t xml:space="preserve"> </w:t>
      </w:r>
      <w:r>
        <w:rPr>
          <w:rFonts w:ascii="TimesNewRoman,Italic" w:hAnsi="TimesNewRoman,Italic" w:cs="TimesNewRoman,Italic"/>
          <w:i/>
          <w:iCs/>
          <w:color w:val="010101"/>
        </w:rPr>
        <w:t xml:space="preserve">Public Notice, </w:t>
      </w:r>
      <w:r>
        <w:rPr>
          <w:rFonts w:ascii="TimesNewRoman" w:hAnsi="TimesNewRoman" w:cs="TimesNewRoman"/>
          <w:color w:val="010101"/>
        </w:rPr>
        <w:t xml:space="preserve">DA 19-175; </w:t>
      </w:r>
      <w:r>
        <w:rPr>
          <w:rFonts w:ascii="TimesNewRoman,Italic" w:hAnsi="TimesNewRoman,Italic" w:cs="TimesNewRoman,Italic"/>
          <w:i/>
          <w:iCs/>
          <w:color w:val="010101"/>
        </w:rPr>
        <w:t xml:space="preserve">see also </w:t>
      </w:r>
      <w:r>
        <w:rPr>
          <w:rFonts w:ascii="TimesNewRoman" w:hAnsi="TimesNewRoman" w:cs="TimesNewRoman"/>
          <w:color w:val="010101"/>
        </w:rPr>
        <w:t>47 C.F.R. § 1.419.</w:t>
      </w:r>
    </w:p>
  </w:footnote>
  <w:footnote w:id="6">
    <w:p w:rsidR="00C23B34" w:rsidP="00C23B34">
      <w:pPr>
        <w:pStyle w:val="FootnoteText"/>
      </w:pPr>
      <w:r>
        <w:rPr>
          <w:rStyle w:val="FootnoteReference"/>
        </w:rPr>
        <w:footnoteRef/>
      </w:r>
      <w:r>
        <w:t xml:space="preserve"> </w:t>
      </w:r>
      <w:r>
        <w:rPr>
          <w:rFonts w:ascii="TimesNewRoman,Italic" w:hAnsi="TimesNewRoman,Italic" w:cs="TimesNewRoman,Italic"/>
          <w:i/>
          <w:iCs/>
          <w:color w:val="010101"/>
        </w:rPr>
        <w:t xml:space="preserve">Public Notice, </w:t>
      </w:r>
      <w:r>
        <w:rPr>
          <w:rFonts w:ascii="TimesNewRoman" w:hAnsi="TimesNewRoman" w:cs="TimesNewRoman"/>
          <w:color w:val="010101"/>
        </w:rPr>
        <w:t>DA 19-175.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C23B34">
      <w:rPr>
        <w:b/>
      </w:rPr>
      <w:t>DA 19-501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34"/>
    <w:rsid w:val="000072CE"/>
    <w:rsid w:val="00013A8B"/>
    <w:rsid w:val="00021445"/>
    <w:rsid w:val="00036039"/>
    <w:rsid w:val="00037F90"/>
    <w:rsid w:val="000875BF"/>
    <w:rsid w:val="00096D8C"/>
    <w:rsid w:val="000C0B65"/>
    <w:rsid w:val="000C7CFA"/>
    <w:rsid w:val="000E3D42"/>
    <w:rsid w:val="000E5884"/>
    <w:rsid w:val="0012055B"/>
    <w:rsid w:val="00121404"/>
    <w:rsid w:val="00122BD5"/>
    <w:rsid w:val="00190792"/>
    <w:rsid w:val="001979D9"/>
    <w:rsid w:val="001D6BCF"/>
    <w:rsid w:val="001E01CA"/>
    <w:rsid w:val="002060D9"/>
    <w:rsid w:val="00226822"/>
    <w:rsid w:val="00260594"/>
    <w:rsid w:val="00285017"/>
    <w:rsid w:val="002A2D2E"/>
    <w:rsid w:val="00343749"/>
    <w:rsid w:val="00357D50"/>
    <w:rsid w:val="003925DC"/>
    <w:rsid w:val="003B0550"/>
    <w:rsid w:val="003B694F"/>
    <w:rsid w:val="003C63DD"/>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0F3F"/>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3AF0"/>
    <w:rsid w:val="00AA55B7"/>
    <w:rsid w:val="00AA5B9E"/>
    <w:rsid w:val="00AB2407"/>
    <w:rsid w:val="00AB53DF"/>
    <w:rsid w:val="00AF367E"/>
    <w:rsid w:val="00B07E5C"/>
    <w:rsid w:val="00B326E3"/>
    <w:rsid w:val="00B811F7"/>
    <w:rsid w:val="00BA5DC6"/>
    <w:rsid w:val="00BA6196"/>
    <w:rsid w:val="00BC6D8C"/>
    <w:rsid w:val="00C16AF2"/>
    <w:rsid w:val="00C23B34"/>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82DC1"/>
    <w:rsid w:val="00F93BF5"/>
    <w:rsid w:val="00F96F63"/>
    <w:rsid w:val="00FA271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E04FBDF-ABC3-42A9-9CB2-57A24EC6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B34"/>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rsid w:val="000E3D42"/>
    <w:pPr>
      <w:spacing w:after="120"/>
    </w:pPr>
  </w:style>
  <w:style w:type="character" w:styleId="FootnoteReference">
    <w:name w:val="footnote reference"/>
    <w:aliases w:val="(NECG) Footnote Reference,Appel note de bas de p,FR,Footnote Reference/,Style 12,Style 124,Style 13,Style 17,Style 3,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1 Char Char,Footnote Text Char2 Char Char Char Char,f Char,fn Char Char,fn Char1"/>
    <w:link w:val="FootnoteText"/>
    <w:locked/>
    <w:rsid w:val="00C2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