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44964" w:rsidP="00013A8B" w14:paraId="79F507B4" w14:textId="0D6A97A0">
      <w:pPr>
        <w:jc w:val="right"/>
        <w:rPr>
          <w:b/>
          <w:szCs w:val="22"/>
        </w:rPr>
      </w:pPr>
      <w:bookmarkStart w:id="0" w:name="_GoBack"/>
      <w:bookmarkEnd w:id="0"/>
      <w:r>
        <w:rPr>
          <w:b/>
          <w:szCs w:val="22"/>
        </w:rPr>
        <w:t xml:space="preserve"> </w:t>
      </w:r>
      <w:r w:rsidRPr="00B44964" w:rsidR="00B44964">
        <w:rPr>
          <w:b/>
          <w:szCs w:val="22"/>
        </w:rPr>
        <w:t>DA 19</w:t>
      </w:r>
      <w:r w:rsidRPr="00706948" w:rsidR="00706948">
        <w:rPr>
          <w:b/>
          <w:szCs w:val="22"/>
        </w:rPr>
        <w:t>-518</w:t>
      </w:r>
    </w:p>
    <w:p w:rsidR="00013A8B" w:rsidRPr="00B44964" w:rsidP="00013A8B" w14:paraId="48357B74" w14:textId="0B551BA7">
      <w:pPr>
        <w:spacing w:before="60"/>
        <w:jc w:val="right"/>
        <w:rPr>
          <w:b/>
          <w:szCs w:val="22"/>
        </w:rPr>
      </w:pPr>
      <w:r w:rsidRPr="00B44964">
        <w:rPr>
          <w:b/>
          <w:szCs w:val="22"/>
        </w:rPr>
        <w:t xml:space="preserve">Released:  </w:t>
      </w:r>
      <w:r w:rsidR="00042E2B">
        <w:rPr>
          <w:b/>
          <w:szCs w:val="22"/>
        </w:rPr>
        <w:t>June 5, 2019</w:t>
      </w:r>
    </w:p>
    <w:p w:rsidR="00013A8B" w:rsidRPr="00B44964" w:rsidP="00013A8B" w14:paraId="46CDDCBE" w14:textId="77777777">
      <w:pPr>
        <w:jc w:val="right"/>
        <w:rPr>
          <w:szCs w:val="22"/>
        </w:rPr>
      </w:pPr>
    </w:p>
    <w:p w:rsidR="00013A8B" w:rsidRPr="00C77FCD" w:rsidP="00013A8B" w14:paraId="629A496D" w14:textId="77777777">
      <w:pPr>
        <w:spacing w:after="240"/>
        <w:jc w:val="center"/>
        <w:rPr>
          <w:rFonts w:ascii="Times New Roman Bold" w:hAnsi="Times New Roman Bold"/>
          <w:b/>
          <w:caps/>
          <w:szCs w:val="22"/>
        </w:rPr>
      </w:pPr>
      <w:r w:rsidRPr="00C77FCD">
        <w:rPr>
          <w:rFonts w:ascii="Times New Roman Bold" w:hAnsi="Times New Roman Bold"/>
          <w:b/>
          <w:caps/>
          <w:szCs w:val="22"/>
        </w:rPr>
        <w:t xml:space="preserve">Wireless telecommunications bureau </w:t>
      </w:r>
      <w:r w:rsidRPr="00C77FCD" w:rsidR="00001361">
        <w:rPr>
          <w:rFonts w:ascii="Times New Roman Bold" w:hAnsi="Times New Roman Bold"/>
          <w:b/>
          <w:caps/>
          <w:szCs w:val="22"/>
        </w:rPr>
        <w:t xml:space="preserve">AND OFFICE OF ENGINEERING AND TECHNOLOGY </w:t>
      </w:r>
      <w:r w:rsidRPr="00C77FCD">
        <w:rPr>
          <w:rFonts w:ascii="Times New Roman Bold" w:hAnsi="Times New Roman Bold"/>
          <w:b/>
          <w:caps/>
          <w:szCs w:val="22"/>
        </w:rPr>
        <w:t>seek</w:t>
      </w:r>
      <w:r w:rsidRPr="00C77FCD" w:rsidR="00001361">
        <w:rPr>
          <w:rFonts w:ascii="Times New Roman Bold" w:hAnsi="Times New Roman Bold"/>
          <w:b/>
          <w:caps/>
          <w:szCs w:val="22"/>
        </w:rPr>
        <w:t xml:space="preserve"> </w:t>
      </w:r>
      <w:r w:rsidRPr="00C77FCD">
        <w:rPr>
          <w:rFonts w:ascii="Times New Roman Bold" w:hAnsi="Times New Roman Bold"/>
          <w:b/>
          <w:caps/>
          <w:szCs w:val="22"/>
        </w:rPr>
        <w:t>comment on</w:t>
      </w:r>
      <w:r w:rsidRPr="00C77FCD" w:rsidR="00001361">
        <w:rPr>
          <w:rFonts w:ascii="Times New Roman Bold" w:hAnsi="Times New Roman Bold"/>
          <w:b/>
          <w:caps/>
          <w:szCs w:val="22"/>
        </w:rPr>
        <w:t xml:space="preserve"> </w:t>
      </w:r>
      <w:r w:rsidRPr="00C77FCD">
        <w:rPr>
          <w:rFonts w:ascii="Times New Roman Bold" w:hAnsi="Times New Roman Bold"/>
          <w:b/>
          <w:caps/>
          <w:szCs w:val="22"/>
        </w:rPr>
        <w:t xml:space="preserve">radio physics solutions ltd. </w:t>
      </w:r>
      <w:r w:rsidRPr="00C77FCD" w:rsidR="00001361">
        <w:rPr>
          <w:rFonts w:ascii="Times New Roman Bold" w:hAnsi="Times New Roman Bold"/>
          <w:b/>
          <w:caps/>
          <w:szCs w:val="22"/>
        </w:rPr>
        <w:t xml:space="preserve">WAIVER REQUEST </w:t>
      </w:r>
      <w:r w:rsidRPr="00C77FCD">
        <w:rPr>
          <w:rFonts w:ascii="Times New Roman Bold" w:hAnsi="Times New Roman Bold"/>
          <w:b/>
          <w:caps/>
          <w:szCs w:val="22"/>
        </w:rPr>
        <w:t xml:space="preserve">for </w:t>
      </w:r>
      <w:r w:rsidRPr="00C77FCD" w:rsidR="00C77FCD">
        <w:rPr>
          <w:rFonts w:ascii="Times New Roman Bold" w:hAnsi="Times New Roman Bold"/>
          <w:b/>
          <w:caps/>
          <w:szCs w:val="22"/>
        </w:rPr>
        <w:t xml:space="preserve">71-86 GHz Band </w:t>
      </w:r>
      <w:r w:rsidRPr="00C77FCD">
        <w:rPr>
          <w:rFonts w:ascii="Times New Roman Bold" w:hAnsi="Times New Roman Bold"/>
          <w:b/>
          <w:caps/>
          <w:szCs w:val="22"/>
        </w:rPr>
        <w:t>stand-off threat detection device</w:t>
      </w:r>
    </w:p>
    <w:p w:rsidR="0033569C" w:rsidRPr="00B44964" w:rsidP="00B44964" w14:paraId="53FFC3B9" w14:textId="15A1C246">
      <w:pPr>
        <w:spacing w:after="240"/>
        <w:jc w:val="center"/>
        <w:rPr>
          <w:b/>
          <w:szCs w:val="22"/>
        </w:rPr>
      </w:pPr>
      <w:r w:rsidRPr="00B44964">
        <w:rPr>
          <w:b/>
          <w:szCs w:val="22"/>
        </w:rPr>
        <w:t>GN Docket No. 19-</w:t>
      </w:r>
      <w:r w:rsidRPr="00706948" w:rsidR="00706948">
        <w:rPr>
          <w:b/>
          <w:szCs w:val="22"/>
        </w:rPr>
        <w:t>158</w:t>
      </w:r>
    </w:p>
    <w:p w:rsidR="0033569C" w:rsidP="00864BCC" w14:paraId="160463FB" w14:textId="35918FA3">
      <w:pPr>
        <w:rPr>
          <w:b/>
        </w:rPr>
      </w:pPr>
      <w:r>
        <w:rPr>
          <w:b/>
        </w:rPr>
        <w:t xml:space="preserve">Comment Date: </w:t>
      </w:r>
      <w:r w:rsidR="00042E2B">
        <w:rPr>
          <w:b/>
        </w:rPr>
        <w:t xml:space="preserve"> July 5, </w:t>
      </w:r>
      <w:r>
        <w:rPr>
          <w:b/>
        </w:rPr>
        <w:t>2019</w:t>
      </w:r>
    </w:p>
    <w:p w:rsidR="009524D0" w:rsidP="00864BCC" w14:paraId="417C4A82" w14:textId="2CEDF8CB">
      <w:pPr>
        <w:rPr>
          <w:b/>
        </w:rPr>
      </w:pPr>
      <w:r>
        <w:rPr>
          <w:b/>
        </w:rPr>
        <w:t xml:space="preserve">Reply Comment Date: </w:t>
      </w:r>
      <w:r w:rsidR="00042E2B">
        <w:rPr>
          <w:b/>
        </w:rPr>
        <w:t>July 22</w:t>
      </w:r>
      <w:r>
        <w:rPr>
          <w:b/>
        </w:rPr>
        <w:t>, 2019</w:t>
      </w:r>
      <w:r w:rsidR="00C77FCD">
        <w:rPr>
          <w:b/>
        </w:rPr>
        <w:t xml:space="preserve"> </w:t>
      </w:r>
    </w:p>
    <w:p w:rsidR="00647402" w:rsidP="00864BCC" w14:paraId="58432B27" w14:textId="77777777">
      <w:pPr>
        <w:rPr>
          <w:b/>
        </w:rPr>
      </w:pPr>
    </w:p>
    <w:p w:rsidR="00724189" w:rsidRPr="00D9372F" w:rsidP="0074524B" w14:paraId="23DB4D6A" w14:textId="3646C35D">
      <w:pPr>
        <w:ind w:firstLine="720"/>
        <w:rPr>
          <w:szCs w:val="22"/>
        </w:rPr>
      </w:pPr>
      <w:r w:rsidRPr="00D9372F">
        <w:rPr>
          <w:szCs w:val="22"/>
        </w:rPr>
        <w:t xml:space="preserve">On April 17, 2019, Radio Physics Solutions Ltd. (Radio Physics) filed a request for waiver of </w:t>
      </w:r>
      <w:r w:rsidR="00C77FCD">
        <w:rPr>
          <w:szCs w:val="22"/>
        </w:rPr>
        <w:t>certain Part 101 rules</w:t>
      </w:r>
      <w:r w:rsidRPr="00D9372F">
        <w:rPr>
          <w:szCs w:val="22"/>
        </w:rPr>
        <w:t xml:space="preserve"> to </w:t>
      </w:r>
      <w:bookmarkStart w:id="1" w:name="TOChere"/>
      <w:r w:rsidRPr="00D9372F">
        <w:rPr>
          <w:szCs w:val="22"/>
        </w:rPr>
        <w:t xml:space="preserve">permit certification, site registration, and operation of </w:t>
      </w:r>
      <w:r w:rsidR="00117009">
        <w:rPr>
          <w:szCs w:val="22"/>
        </w:rPr>
        <w:t>its</w:t>
      </w:r>
      <w:r w:rsidRPr="00D9372F">
        <w:rPr>
          <w:szCs w:val="22"/>
        </w:rPr>
        <w:t xml:space="preserve"> stand-off threat detection device across 15 gigahertz of bandwidth between 71 and 86 GHz</w:t>
      </w:r>
      <w:r w:rsidR="00144F30">
        <w:rPr>
          <w:szCs w:val="22"/>
        </w:rPr>
        <w:t xml:space="preserve"> (Request)</w:t>
      </w:r>
      <w:r w:rsidRPr="00D9372F">
        <w:rPr>
          <w:szCs w:val="22"/>
        </w:rPr>
        <w:t>.</w:t>
      </w:r>
      <w:r>
        <w:rPr>
          <w:rStyle w:val="FootnoteReference"/>
          <w:szCs w:val="22"/>
        </w:rPr>
        <w:footnoteReference w:id="3"/>
      </w:r>
      <w:r w:rsidRPr="00D9372F">
        <w:rPr>
          <w:szCs w:val="22"/>
        </w:rPr>
        <w:t xml:space="preserve">  </w:t>
      </w:r>
      <w:r w:rsidR="00E0116D">
        <w:rPr>
          <w:szCs w:val="22"/>
        </w:rPr>
        <w:t>Alternatively, Radio Physics seeks waiver of certain Part 90 or Part 95 rules</w:t>
      </w:r>
      <w:r w:rsidR="000F255E">
        <w:rPr>
          <w:szCs w:val="22"/>
        </w:rPr>
        <w:t xml:space="preserve"> if a Part 101 waiver is unavailable</w:t>
      </w:r>
      <w:r w:rsidR="00E0116D">
        <w:rPr>
          <w:szCs w:val="22"/>
        </w:rPr>
        <w:t>.</w:t>
      </w:r>
      <w:bookmarkStart w:id="2" w:name="_Ref7109772"/>
      <w:r>
        <w:rPr>
          <w:rStyle w:val="FootnoteReference"/>
          <w:szCs w:val="22"/>
        </w:rPr>
        <w:footnoteReference w:id="4"/>
      </w:r>
      <w:bookmarkEnd w:id="2"/>
      <w:r w:rsidR="00E0116D">
        <w:rPr>
          <w:szCs w:val="22"/>
        </w:rPr>
        <w:t xml:space="preserve">  </w:t>
      </w:r>
      <w:r w:rsidRPr="00D9372F">
        <w:rPr>
          <w:szCs w:val="22"/>
        </w:rPr>
        <w:t xml:space="preserve">Radio Physics </w:t>
      </w:r>
      <w:r w:rsidR="00051549">
        <w:rPr>
          <w:szCs w:val="22"/>
        </w:rPr>
        <w:t>asserts</w:t>
      </w:r>
      <w:r w:rsidRPr="00D9372F" w:rsidR="00051549">
        <w:rPr>
          <w:szCs w:val="22"/>
        </w:rPr>
        <w:t xml:space="preserve"> </w:t>
      </w:r>
      <w:r w:rsidRPr="00D9372F">
        <w:rPr>
          <w:szCs w:val="22"/>
        </w:rPr>
        <w:t xml:space="preserve">that its stand-off threat detection device </w:t>
      </w:r>
      <w:r w:rsidR="0086241A">
        <w:rPr>
          <w:szCs w:val="22"/>
        </w:rPr>
        <w:t>can</w:t>
      </w:r>
      <w:r w:rsidRPr="00D9372F">
        <w:rPr>
          <w:szCs w:val="22"/>
        </w:rPr>
        <w:t xml:space="preserve"> detect concealed weapons and threats</w:t>
      </w:r>
      <w:r w:rsidRPr="00D9372F">
        <w:rPr>
          <w:szCs w:val="22"/>
        </w:rPr>
        <w:t xml:space="preserve"> </w:t>
      </w:r>
      <w:r w:rsidR="000618E6">
        <w:rPr>
          <w:szCs w:val="22"/>
        </w:rPr>
        <w:t xml:space="preserve">as far </w:t>
      </w:r>
      <w:r w:rsidRPr="00D9372F">
        <w:rPr>
          <w:szCs w:val="22"/>
        </w:rPr>
        <w:t>as 150 feet</w:t>
      </w:r>
      <w:r w:rsidR="00117009">
        <w:rPr>
          <w:szCs w:val="22"/>
        </w:rPr>
        <w:t xml:space="preserve"> away</w:t>
      </w:r>
      <w:r w:rsidR="0086241A">
        <w:rPr>
          <w:szCs w:val="22"/>
        </w:rPr>
        <w:t xml:space="preserve">, using scans </w:t>
      </w:r>
      <w:r w:rsidR="00144F30">
        <w:rPr>
          <w:szCs w:val="22"/>
        </w:rPr>
        <w:t>completed in less than one second</w:t>
      </w:r>
      <w:r w:rsidRPr="00D9372F">
        <w:rPr>
          <w:szCs w:val="22"/>
        </w:rPr>
        <w:t>.</w:t>
      </w:r>
      <w:r>
        <w:rPr>
          <w:rStyle w:val="FootnoteReference"/>
          <w:szCs w:val="22"/>
        </w:rPr>
        <w:footnoteReference w:id="5"/>
      </w:r>
      <w:r w:rsidRPr="00D9372F">
        <w:rPr>
          <w:szCs w:val="22"/>
        </w:rPr>
        <w:t xml:space="preserve">  Radio Physics says that </w:t>
      </w:r>
      <w:r w:rsidRPr="00D9372F" w:rsidR="0086241A">
        <w:rPr>
          <w:szCs w:val="22"/>
        </w:rPr>
        <w:t>its device differ</w:t>
      </w:r>
      <w:r w:rsidR="0086241A">
        <w:rPr>
          <w:szCs w:val="22"/>
        </w:rPr>
        <w:t>s</w:t>
      </w:r>
      <w:r w:rsidRPr="00D9372F" w:rsidR="0086241A">
        <w:rPr>
          <w:szCs w:val="22"/>
        </w:rPr>
        <w:t xml:space="preserve"> fundamentally from existing security methods</w:t>
      </w:r>
      <w:r w:rsidR="0086241A">
        <w:rPr>
          <w:szCs w:val="22"/>
        </w:rPr>
        <w:t xml:space="preserve"> and could be used, for example, to enable</w:t>
      </w:r>
      <w:r w:rsidRPr="00D9372F" w:rsidR="0086241A">
        <w:rPr>
          <w:szCs w:val="22"/>
        </w:rPr>
        <w:t xml:space="preserve"> </w:t>
      </w:r>
      <w:r w:rsidRPr="00D9372F" w:rsidR="0031203A">
        <w:rPr>
          <w:szCs w:val="22"/>
        </w:rPr>
        <w:t xml:space="preserve">guards to </w:t>
      </w:r>
      <w:r w:rsidR="0086241A">
        <w:rPr>
          <w:szCs w:val="22"/>
        </w:rPr>
        <w:t xml:space="preserve">detect and </w:t>
      </w:r>
      <w:r w:rsidRPr="00D9372F" w:rsidR="0005732B">
        <w:rPr>
          <w:szCs w:val="22"/>
        </w:rPr>
        <w:t xml:space="preserve">intercept </w:t>
      </w:r>
      <w:r w:rsidRPr="00D9372F" w:rsidR="0031203A">
        <w:rPr>
          <w:szCs w:val="22"/>
        </w:rPr>
        <w:t xml:space="preserve">bombs </w:t>
      </w:r>
      <w:r w:rsidRPr="00D9372F" w:rsidR="0005732B">
        <w:rPr>
          <w:szCs w:val="22"/>
        </w:rPr>
        <w:t xml:space="preserve">before they reach </w:t>
      </w:r>
      <w:r w:rsidRPr="00D9372F" w:rsidR="001E55EC">
        <w:rPr>
          <w:szCs w:val="22"/>
        </w:rPr>
        <w:t>crowded checkpoints.</w:t>
      </w:r>
    </w:p>
    <w:bookmarkEnd w:id="1"/>
    <w:p w:rsidR="00F96F63" w:rsidRPr="00D9372F" w:rsidP="00F96F63" w14:paraId="2F35919B" w14:textId="77777777">
      <w:pPr>
        <w:rPr>
          <w:szCs w:val="22"/>
        </w:rPr>
      </w:pPr>
    </w:p>
    <w:p w:rsidR="00042E2B" w:rsidP="00001361" w14:paraId="351FC6B1" w14:textId="0EA12C97">
      <w:pPr>
        <w:ind w:firstLine="720"/>
        <w:rPr>
          <w:szCs w:val="22"/>
        </w:rPr>
      </w:pPr>
      <w:r>
        <w:rPr>
          <w:szCs w:val="22"/>
        </w:rPr>
        <w:t xml:space="preserve">Radio Physics </w:t>
      </w:r>
      <w:r w:rsidR="00051549">
        <w:rPr>
          <w:szCs w:val="22"/>
        </w:rPr>
        <w:t>states</w:t>
      </w:r>
      <w:r w:rsidRPr="00D9372F" w:rsidR="00051549">
        <w:rPr>
          <w:szCs w:val="22"/>
        </w:rPr>
        <w:t xml:space="preserve"> </w:t>
      </w:r>
      <w:r w:rsidRPr="00D9372F" w:rsidR="0005732B">
        <w:rPr>
          <w:szCs w:val="22"/>
        </w:rPr>
        <w:t xml:space="preserve">that its device </w:t>
      </w:r>
      <w:r>
        <w:rPr>
          <w:szCs w:val="22"/>
        </w:rPr>
        <w:t xml:space="preserve">will </w:t>
      </w:r>
      <w:r w:rsidRPr="00D9372F" w:rsidR="0005732B">
        <w:rPr>
          <w:szCs w:val="22"/>
        </w:rPr>
        <w:t xml:space="preserve">not </w:t>
      </w:r>
      <w:r w:rsidR="00D26980">
        <w:rPr>
          <w:szCs w:val="22"/>
        </w:rPr>
        <w:t xml:space="preserve">cause harmful </w:t>
      </w:r>
      <w:r w:rsidRPr="00D9372F" w:rsidR="0005732B">
        <w:rPr>
          <w:szCs w:val="22"/>
        </w:rPr>
        <w:t xml:space="preserve">interference </w:t>
      </w:r>
      <w:r w:rsidR="004B1467">
        <w:rPr>
          <w:szCs w:val="22"/>
        </w:rPr>
        <w:t xml:space="preserve">to other radio services </w:t>
      </w:r>
      <w:r w:rsidRPr="00D9372F" w:rsidR="0005732B">
        <w:rPr>
          <w:szCs w:val="22"/>
        </w:rPr>
        <w:t>because</w:t>
      </w:r>
      <w:r w:rsidR="00A911C5">
        <w:rPr>
          <w:szCs w:val="22"/>
        </w:rPr>
        <w:t xml:space="preserve"> the device </w:t>
      </w:r>
      <w:r w:rsidR="004B1467">
        <w:rPr>
          <w:szCs w:val="22"/>
        </w:rPr>
        <w:t xml:space="preserve">(1) </w:t>
      </w:r>
      <w:r w:rsidRPr="00D9372F" w:rsidR="00BF5CBD">
        <w:rPr>
          <w:szCs w:val="22"/>
        </w:rPr>
        <w:t>use</w:t>
      </w:r>
      <w:r w:rsidR="00A911C5">
        <w:rPr>
          <w:szCs w:val="22"/>
        </w:rPr>
        <w:t>s</w:t>
      </w:r>
      <w:r w:rsidRPr="00D9372F" w:rsidR="00BF5CBD">
        <w:rPr>
          <w:szCs w:val="22"/>
        </w:rPr>
        <w:t xml:space="preserve"> </w:t>
      </w:r>
      <w:r w:rsidR="00A911C5">
        <w:rPr>
          <w:szCs w:val="22"/>
        </w:rPr>
        <w:t xml:space="preserve">a </w:t>
      </w:r>
      <w:r w:rsidRPr="00D9372F" w:rsidR="00BF5CBD">
        <w:rPr>
          <w:szCs w:val="22"/>
        </w:rPr>
        <w:t>highly directional antenna</w:t>
      </w:r>
      <w:r w:rsidR="00A911C5">
        <w:rPr>
          <w:szCs w:val="22"/>
        </w:rPr>
        <w:t xml:space="preserve"> </w:t>
      </w:r>
      <w:r w:rsidRPr="00D9372F" w:rsidR="00BF5CBD">
        <w:rPr>
          <w:szCs w:val="22"/>
        </w:rPr>
        <w:t>tilted downward</w:t>
      </w:r>
      <w:r w:rsidRPr="00D9372F" w:rsidR="0005732B">
        <w:rPr>
          <w:szCs w:val="22"/>
        </w:rPr>
        <w:t xml:space="preserve"> at fixed locations about 15 feet above </w:t>
      </w:r>
      <w:r w:rsidRPr="00D9372F" w:rsidR="00BF5CBD">
        <w:rPr>
          <w:szCs w:val="22"/>
        </w:rPr>
        <w:t>ground</w:t>
      </w:r>
      <w:r w:rsidR="004B1467">
        <w:rPr>
          <w:szCs w:val="22"/>
        </w:rPr>
        <w:t>, and (2) employs a duty cycle no greater than 50% and a 15</w:t>
      </w:r>
      <w:r w:rsidR="00F21360">
        <w:rPr>
          <w:szCs w:val="22"/>
        </w:rPr>
        <w:t xml:space="preserve"> gigahertz bandwidth </w:t>
      </w:r>
      <w:r w:rsidR="004B1467">
        <w:rPr>
          <w:szCs w:val="22"/>
        </w:rPr>
        <w:t>sweep time of up to 300 microseconds</w:t>
      </w:r>
      <w:r w:rsidRPr="00D9372F" w:rsidR="0005732B">
        <w:rPr>
          <w:szCs w:val="22"/>
        </w:rPr>
        <w:t>.</w:t>
      </w:r>
      <w:r w:rsidR="00F21360">
        <w:rPr>
          <w:szCs w:val="22"/>
        </w:rPr>
        <w:t xml:space="preserve"> </w:t>
      </w:r>
      <w:r w:rsidRPr="00D9372F" w:rsidR="0005732B">
        <w:rPr>
          <w:szCs w:val="22"/>
        </w:rPr>
        <w:t xml:space="preserve"> </w:t>
      </w:r>
      <w:r w:rsidR="009554DC">
        <w:rPr>
          <w:szCs w:val="22"/>
        </w:rPr>
        <w:t>It submitted with</w:t>
      </w:r>
      <w:r w:rsidR="00F04720">
        <w:rPr>
          <w:szCs w:val="22"/>
        </w:rPr>
        <w:t xml:space="preserve"> the Request a test report conclud</w:t>
      </w:r>
      <w:r w:rsidR="009554DC">
        <w:rPr>
          <w:szCs w:val="22"/>
        </w:rPr>
        <w:t>ing</w:t>
      </w:r>
      <w:r w:rsidR="00F04720">
        <w:rPr>
          <w:szCs w:val="22"/>
        </w:rPr>
        <w:t xml:space="preserve"> that </w:t>
      </w:r>
      <w:r w:rsidR="009554DC">
        <w:rPr>
          <w:szCs w:val="22"/>
        </w:rPr>
        <w:t xml:space="preserve">operation of the device will not degrade the performance of nearby Part 101 microwave links or Part 95 vehicular radar.  </w:t>
      </w:r>
      <w:r w:rsidR="00F21360">
        <w:rPr>
          <w:szCs w:val="22"/>
        </w:rPr>
        <w:t xml:space="preserve">Radio Physics </w:t>
      </w:r>
      <w:r w:rsidRPr="00D9372F" w:rsidR="00BF5CBD">
        <w:rPr>
          <w:szCs w:val="22"/>
        </w:rPr>
        <w:t>proposes that the Commission subject its device to the licensing and site-registration requirements of rule 101.1523, which provides for sharing and coordination among non-</w:t>
      </w:r>
      <w:r w:rsidR="00A379D7">
        <w:rPr>
          <w:szCs w:val="22"/>
        </w:rPr>
        <w:t>federal</w:t>
      </w:r>
      <w:r w:rsidRPr="00D9372F" w:rsidR="00A379D7">
        <w:rPr>
          <w:szCs w:val="22"/>
        </w:rPr>
        <w:t xml:space="preserve"> </w:t>
      </w:r>
      <w:r w:rsidRPr="00D9372F" w:rsidR="00BF5CBD">
        <w:rPr>
          <w:szCs w:val="22"/>
        </w:rPr>
        <w:t xml:space="preserve">and </w:t>
      </w:r>
      <w:r w:rsidR="00A379D7">
        <w:rPr>
          <w:szCs w:val="22"/>
        </w:rPr>
        <w:t xml:space="preserve">federal </w:t>
      </w:r>
      <w:r w:rsidRPr="00D9372F" w:rsidR="00BF5CBD">
        <w:rPr>
          <w:szCs w:val="22"/>
        </w:rPr>
        <w:t>services in the 71-76 and 81-86 GHz bands.</w:t>
      </w:r>
      <w:r>
        <w:rPr>
          <w:rStyle w:val="FootnoteReference"/>
          <w:szCs w:val="22"/>
        </w:rPr>
        <w:footnoteReference w:id="6"/>
      </w:r>
      <w:r w:rsidRPr="00D9372F" w:rsidR="00A9024F">
        <w:rPr>
          <w:szCs w:val="22"/>
        </w:rPr>
        <w:t xml:space="preserve">  To prevent interference with vehicular radar in the 76-81 GHz band, Radio Physics proposes that the Commission prohibit its device from illuminating any public roads.  As a further precaution, </w:t>
      </w:r>
      <w:r w:rsidR="000618E6">
        <w:rPr>
          <w:szCs w:val="22"/>
        </w:rPr>
        <w:t>it</w:t>
      </w:r>
      <w:r w:rsidRPr="00D9372F" w:rsidR="00A9024F">
        <w:rPr>
          <w:szCs w:val="22"/>
        </w:rPr>
        <w:t xml:space="preserve"> proposes that the Commission </w:t>
      </w:r>
      <w:r w:rsidR="00080564">
        <w:rPr>
          <w:szCs w:val="22"/>
        </w:rPr>
        <w:t xml:space="preserve">adopt a condition limiting </w:t>
      </w:r>
      <w:r w:rsidRPr="00080564" w:rsidR="00080564">
        <w:rPr>
          <w:szCs w:val="22"/>
        </w:rPr>
        <w:t xml:space="preserve">the deployment of </w:t>
      </w:r>
      <w:r w:rsidR="00080564">
        <w:rPr>
          <w:szCs w:val="22"/>
        </w:rPr>
        <w:t>the device “</w:t>
      </w:r>
      <w:r w:rsidRPr="00080564" w:rsidR="00080564">
        <w:rPr>
          <w:szCs w:val="22"/>
        </w:rPr>
        <w:t>to no more than 1,000 units during the first year after</w:t>
      </w:r>
      <w:r w:rsidR="00080564">
        <w:rPr>
          <w:szCs w:val="22"/>
        </w:rPr>
        <w:t xml:space="preserve"> </w:t>
      </w:r>
      <w:r w:rsidRPr="00080564" w:rsidR="00080564">
        <w:rPr>
          <w:szCs w:val="22"/>
        </w:rPr>
        <w:t>grant of waiver to allow the market to monitor deployments for potential impacts.</w:t>
      </w:r>
      <w:r w:rsidR="00080564">
        <w:rPr>
          <w:szCs w:val="22"/>
        </w:rPr>
        <w:t>”</w:t>
      </w:r>
      <w:r>
        <w:rPr>
          <w:rStyle w:val="FootnoteReference"/>
          <w:szCs w:val="22"/>
        </w:rPr>
        <w:footnoteReference w:id="7"/>
      </w:r>
      <w:r w:rsidR="00080564">
        <w:rPr>
          <w:szCs w:val="22"/>
        </w:rPr>
        <w:t xml:space="preserve">  </w:t>
      </w:r>
    </w:p>
    <w:p w:rsidR="00042E2B" w14:paraId="5838477D" w14:textId="77777777">
      <w:pPr>
        <w:widowControl/>
        <w:rPr>
          <w:szCs w:val="22"/>
        </w:rPr>
      </w:pPr>
      <w:r>
        <w:rPr>
          <w:szCs w:val="22"/>
        </w:rPr>
        <w:br w:type="page"/>
      </w:r>
    </w:p>
    <w:p w:rsidR="00515A49" w:rsidP="00F24480" w14:paraId="3710DD9F" w14:textId="20410B52">
      <w:pPr>
        <w:keepNext/>
        <w:ind w:firstLine="720"/>
        <w:rPr>
          <w:szCs w:val="22"/>
        </w:rPr>
      </w:pPr>
      <w:r w:rsidRPr="00D9372F">
        <w:rPr>
          <w:szCs w:val="22"/>
        </w:rPr>
        <w:t>Radio Physics requests waiver of the following Commission rules:</w:t>
      </w:r>
    </w:p>
    <w:p w:rsidR="00F24480" w:rsidRPr="00D9372F" w:rsidP="004057EB" w14:paraId="7A5C0494" w14:textId="77777777">
      <w:pPr>
        <w:keepNext/>
        <w:rPr>
          <w:szCs w:val="22"/>
        </w:rPr>
      </w:pPr>
    </w:p>
    <w:p w:rsidR="00515A49" w:rsidRPr="00D9372F" w:rsidP="00515A49" w14:paraId="1D12E059" w14:textId="23AB9E9B">
      <w:pPr>
        <w:pStyle w:val="ListParagraph"/>
        <w:numPr>
          <w:ilvl w:val="0"/>
          <w:numId w:val="8"/>
        </w:numPr>
        <w:rPr>
          <w:szCs w:val="22"/>
        </w:rPr>
      </w:pPr>
      <w:r w:rsidRPr="00D9372F">
        <w:rPr>
          <w:szCs w:val="22"/>
        </w:rPr>
        <w:t xml:space="preserve">Section 101.109(c), which limits bandwidth to 5 gigahertz.  </w:t>
      </w:r>
      <w:r w:rsidR="000618E6">
        <w:rPr>
          <w:szCs w:val="22"/>
        </w:rPr>
        <w:t>The applicant</w:t>
      </w:r>
      <w:r w:rsidRPr="00D9372F">
        <w:rPr>
          <w:szCs w:val="22"/>
        </w:rPr>
        <w:t xml:space="preserve"> seeks to use 15 gigahertz of bandwidth.</w:t>
      </w:r>
    </w:p>
    <w:p w:rsidR="00A9024F" w:rsidRPr="005C67FB" w:rsidP="005C67FB" w14:paraId="78358A06" w14:textId="6BBC77B5">
      <w:pPr>
        <w:pStyle w:val="ListParagraph"/>
        <w:numPr>
          <w:ilvl w:val="0"/>
          <w:numId w:val="8"/>
        </w:numPr>
        <w:rPr>
          <w:szCs w:val="22"/>
        </w:rPr>
      </w:pPr>
      <w:r w:rsidRPr="00D9372F">
        <w:rPr>
          <w:szCs w:val="22"/>
        </w:rPr>
        <w:t>Section 101.111</w:t>
      </w:r>
      <w:r w:rsidR="000A59CD">
        <w:rPr>
          <w:szCs w:val="22"/>
        </w:rPr>
        <w:t>(a)(2)</w:t>
      </w:r>
      <w:r w:rsidRPr="00D9372F">
        <w:rPr>
          <w:szCs w:val="22"/>
        </w:rPr>
        <w:t>(v)</w:t>
      </w:r>
      <w:r w:rsidR="008A6ABC">
        <w:rPr>
          <w:szCs w:val="22"/>
        </w:rPr>
        <w:t xml:space="preserve">, which applies the emission mask used in the equation in section 101.111(a)(2)(ii) at the edge of each channel </w:t>
      </w:r>
      <w:r w:rsidR="009E444B">
        <w:rPr>
          <w:szCs w:val="22"/>
        </w:rPr>
        <w:t>(</w:t>
      </w:r>
      <w:r w:rsidR="008A6ABC">
        <w:rPr>
          <w:szCs w:val="22"/>
        </w:rPr>
        <w:t>71-76 GHz and 81-86 GHz</w:t>
      </w:r>
      <w:r w:rsidR="009E444B">
        <w:rPr>
          <w:szCs w:val="22"/>
        </w:rPr>
        <w:t>).  The applicant seeks to apply the emission mask at the edges of 71-86 GHz.</w:t>
      </w:r>
      <w:bookmarkStart w:id="3" w:name="_Hlk7015884"/>
      <w:r>
        <w:rPr>
          <w:rStyle w:val="FootnoteReference"/>
          <w:szCs w:val="22"/>
        </w:rPr>
        <w:footnoteReference w:id="8"/>
      </w:r>
      <w:r w:rsidR="002E22BF">
        <w:rPr>
          <w:szCs w:val="22"/>
        </w:rPr>
        <w:t xml:space="preserve">  </w:t>
      </w:r>
    </w:p>
    <w:p w:rsidR="002D11E8" w:rsidRPr="00D9372F" w:rsidP="00795FEF" w14:paraId="38FD0443" w14:textId="77777777">
      <w:pPr>
        <w:pStyle w:val="ListParagraph"/>
        <w:numPr>
          <w:ilvl w:val="0"/>
          <w:numId w:val="8"/>
        </w:numPr>
        <w:rPr>
          <w:szCs w:val="22"/>
        </w:rPr>
      </w:pPr>
      <w:r w:rsidRPr="00D9372F">
        <w:rPr>
          <w:szCs w:val="22"/>
        </w:rPr>
        <w:t>Section 101.115(a), which requir</w:t>
      </w:r>
      <w:bookmarkEnd w:id="3"/>
      <w:r w:rsidRPr="00D9372F">
        <w:rPr>
          <w:szCs w:val="22"/>
        </w:rPr>
        <w:t>es that the transmitter’s major radiation lobe be pointed at a receiver.  Radio Physics is proposing to receive a reflection from main lobe emissions instead.</w:t>
      </w:r>
    </w:p>
    <w:p w:rsidR="00A33D63" w:rsidRPr="00D9372F" w:rsidP="00795FEF" w14:paraId="5D995063" w14:textId="77777777">
      <w:pPr>
        <w:pStyle w:val="ListParagraph"/>
        <w:numPr>
          <w:ilvl w:val="0"/>
          <w:numId w:val="8"/>
        </w:numPr>
        <w:rPr>
          <w:szCs w:val="22"/>
        </w:rPr>
      </w:pPr>
      <w:r w:rsidRPr="00D9372F">
        <w:rPr>
          <w:szCs w:val="22"/>
        </w:rPr>
        <w:t xml:space="preserve">Section 101.115(b), which requires </w:t>
      </w:r>
      <w:r w:rsidRPr="00D9372F" w:rsidR="0007217F">
        <w:rPr>
          <w:szCs w:val="22"/>
        </w:rPr>
        <w:t xml:space="preserve">that antennas for transmissions in the 71-76 and 81-86 GHz bands have a minimum gain of 43 </w:t>
      </w:r>
      <w:r w:rsidRPr="00D9372F" w:rsidR="0007217F">
        <w:rPr>
          <w:szCs w:val="22"/>
        </w:rPr>
        <w:t>dBi</w:t>
      </w:r>
      <w:r w:rsidRPr="00D9372F" w:rsidR="0007217F">
        <w:rPr>
          <w:szCs w:val="22"/>
        </w:rPr>
        <w:t xml:space="preserve">.  Radio Physics seeks permission to use 42 </w:t>
      </w:r>
      <w:r w:rsidRPr="00D9372F" w:rsidR="0007217F">
        <w:rPr>
          <w:szCs w:val="22"/>
        </w:rPr>
        <w:t>dBi</w:t>
      </w:r>
      <w:r w:rsidRPr="00D9372F" w:rsidR="0007217F">
        <w:rPr>
          <w:szCs w:val="22"/>
        </w:rPr>
        <w:t xml:space="preserve"> antennas.</w:t>
      </w:r>
    </w:p>
    <w:p w:rsidR="0007217F" w:rsidRPr="00D9372F" w:rsidP="00795FEF" w14:paraId="5DADBBD5" w14:textId="77777777">
      <w:pPr>
        <w:pStyle w:val="ListParagraph"/>
        <w:numPr>
          <w:ilvl w:val="0"/>
          <w:numId w:val="8"/>
        </w:numPr>
        <w:rPr>
          <w:szCs w:val="22"/>
        </w:rPr>
      </w:pPr>
      <w:r w:rsidRPr="00D9372F">
        <w:rPr>
          <w:szCs w:val="22"/>
        </w:rPr>
        <w:t>Section 101.1507, which requires point-to-point operation. Radio Physics proposes radar operations.</w:t>
      </w:r>
      <w:r>
        <w:rPr>
          <w:rStyle w:val="FootnoteReference"/>
          <w:szCs w:val="22"/>
        </w:rPr>
        <w:footnoteReference w:id="9"/>
      </w:r>
    </w:p>
    <w:p w:rsidR="0007217F" w:rsidP="0007217F" w14:paraId="6D0BBA5C" w14:textId="77777777">
      <w:pPr>
        <w:rPr>
          <w:szCs w:val="22"/>
        </w:rPr>
      </w:pPr>
    </w:p>
    <w:p w:rsidR="00440DD9" w:rsidRPr="00001361" w:rsidP="00001361" w14:paraId="75F94F68" w14:textId="3E6566DD">
      <w:pPr>
        <w:widowControl/>
        <w:autoSpaceDE w:val="0"/>
        <w:autoSpaceDN w:val="0"/>
        <w:adjustRightInd w:val="0"/>
        <w:rPr>
          <w:szCs w:val="22"/>
        </w:rPr>
      </w:pPr>
      <w:r w:rsidRPr="00001361">
        <w:rPr>
          <w:snapToGrid/>
          <w:kern w:val="0"/>
          <w:szCs w:val="22"/>
        </w:rPr>
        <w:t>Radio Physics state</w:t>
      </w:r>
      <w:r w:rsidR="00FA13F4">
        <w:rPr>
          <w:snapToGrid/>
          <w:kern w:val="0"/>
          <w:szCs w:val="22"/>
        </w:rPr>
        <w:t>s</w:t>
      </w:r>
      <w:r w:rsidRPr="00001361">
        <w:rPr>
          <w:snapToGrid/>
          <w:kern w:val="0"/>
          <w:szCs w:val="22"/>
        </w:rPr>
        <w:t xml:space="preserve"> that it is requesting waiver of certain Part 101 rules, because it is proposing Part 101 licensing</w:t>
      </w:r>
      <w:r w:rsidRPr="00001361" w:rsidR="006E3785">
        <w:rPr>
          <w:snapToGrid/>
          <w:kern w:val="0"/>
          <w:szCs w:val="22"/>
        </w:rPr>
        <w:t xml:space="preserve"> with conditions including </w:t>
      </w:r>
      <w:r w:rsidRPr="00001361">
        <w:rPr>
          <w:snapToGrid/>
          <w:kern w:val="0"/>
          <w:szCs w:val="22"/>
        </w:rPr>
        <w:t xml:space="preserve">registration of device operations, as described </w:t>
      </w:r>
      <w:r w:rsidRPr="00001361" w:rsidR="006E3785">
        <w:rPr>
          <w:snapToGrid/>
          <w:kern w:val="0"/>
          <w:szCs w:val="22"/>
        </w:rPr>
        <w:t>above.</w:t>
      </w:r>
      <w:r>
        <w:rPr>
          <w:rStyle w:val="FootnoteReference"/>
          <w:snapToGrid/>
          <w:kern w:val="0"/>
          <w:szCs w:val="22"/>
        </w:rPr>
        <w:footnoteReference w:id="10"/>
      </w:r>
      <w:r w:rsidRPr="00001361" w:rsidR="006E3785">
        <w:rPr>
          <w:snapToGrid/>
          <w:kern w:val="0"/>
          <w:szCs w:val="22"/>
        </w:rPr>
        <w:t xml:space="preserve">  Alternatively, </w:t>
      </w:r>
      <w:r w:rsidR="0074524B">
        <w:rPr>
          <w:szCs w:val="22"/>
        </w:rPr>
        <w:t xml:space="preserve">if the Commission determines that a waiver is not appropriate under Part 101, </w:t>
      </w:r>
      <w:r w:rsidRPr="00001361">
        <w:rPr>
          <w:snapToGrid/>
          <w:kern w:val="0"/>
          <w:szCs w:val="22"/>
        </w:rPr>
        <w:t>Radio Physics requests</w:t>
      </w:r>
      <w:r w:rsidR="0074524B">
        <w:rPr>
          <w:snapToGrid/>
          <w:kern w:val="0"/>
          <w:szCs w:val="22"/>
        </w:rPr>
        <w:t xml:space="preserve"> that its Request be considered under Parts 90 or 95 of the rules.</w:t>
      </w:r>
      <w:r w:rsidR="000F255E">
        <w:rPr>
          <w:snapToGrid/>
          <w:kern w:val="0"/>
          <w:szCs w:val="22"/>
        </w:rPr>
        <w:t xml:space="preserve">  It</w:t>
      </w:r>
      <w:r w:rsidR="0074524B">
        <w:rPr>
          <w:snapToGrid/>
          <w:kern w:val="0"/>
          <w:szCs w:val="22"/>
        </w:rPr>
        <w:t xml:space="preserve"> identifies</w:t>
      </w:r>
      <w:r w:rsidRPr="00001361" w:rsidR="006E3785">
        <w:rPr>
          <w:snapToGrid/>
          <w:kern w:val="0"/>
          <w:szCs w:val="22"/>
        </w:rPr>
        <w:t xml:space="preserve"> </w:t>
      </w:r>
      <w:r w:rsidRPr="00001361">
        <w:rPr>
          <w:snapToGrid/>
          <w:kern w:val="0"/>
          <w:szCs w:val="22"/>
        </w:rPr>
        <w:t>sections 95.3331</w:t>
      </w:r>
      <w:r w:rsidRPr="00001361" w:rsidR="006E3785">
        <w:rPr>
          <w:snapToGrid/>
          <w:kern w:val="0"/>
          <w:szCs w:val="22"/>
        </w:rPr>
        <w:t xml:space="preserve"> </w:t>
      </w:r>
      <w:r w:rsidRPr="00001361">
        <w:rPr>
          <w:snapToGrid/>
          <w:kern w:val="0"/>
          <w:szCs w:val="22"/>
        </w:rPr>
        <w:t>(permissible use), and 95.3379 (power limits outside of 76-81 GHz band)</w:t>
      </w:r>
      <w:r>
        <w:rPr>
          <w:rStyle w:val="FootnoteReference"/>
          <w:snapToGrid/>
          <w:kern w:val="0"/>
          <w:szCs w:val="22"/>
        </w:rPr>
        <w:footnoteReference w:id="11"/>
      </w:r>
      <w:r w:rsidRPr="00001361">
        <w:rPr>
          <w:snapToGrid/>
          <w:kern w:val="0"/>
          <w:szCs w:val="22"/>
        </w:rPr>
        <w:t xml:space="preserve"> </w:t>
      </w:r>
      <w:r w:rsidR="000F255E">
        <w:rPr>
          <w:snapToGrid/>
          <w:kern w:val="0"/>
          <w:szCs w:val="22"/>
        </w:rPr>
        <w:t>and</w:t>
      </w:r>
      <w:r w:rsidRPr="00001361" w:rsidR="00A13E82">
        <w:rPr>
          <w:snapToGrid/>
          <w:kern w:val="0"/>
          <w:szCs w:val="22"/>
        </w:rPr>
        <w:t xml:space="preserve"> </w:t>
      </w:r>
      <w:r w:rsidRPr="00001361">
        <w:rPr>
          <w:snapToGrid/>
          <w:kern w:val="0"/>
          <w:szCs w:val="22"/>
        </w:rPr>
        <w:t>90.103(b)</w:t>
      </w:r>
      <w:r w:rsidR="00FA13F4">
        <w:rPr>
          <w:snapToGrid/>
          <w:kern w:val="0"/>
          <w:szCs w:val="22"/>
        </w:rPr>
        <w:t xml:space="preserve"> (</w:t>
      </w:r>
      <w:r w:rsidR="00B44964">
        <w:rPr>
          <w:snapToGrid/>
          <w:kern w:val="0"/>
          <w:szCs w:val="22"/>
        </w:rPr>
        <w:t>frequencies available for stations in the R</w:t>
      </w:r>
      <w:r w:rsidR="00FA13F4">
        <w:rPr>
          <w:snapToGrid/>
          <w:kern w:val="0"/>
          <w:szCs w:val="22"/>
        </w:rPr>
        <w:t xml:space="preserve">adiolocation </w:t>
      </w:r>
      <w:r w:rsidR="00B44964">
        <w:rPr>
          <w:snapToGrid/>
          <w:kern w:val="0"/>
          <w:szCs w:val="22"/>
        </w:rPr>
        <w:t>Service)</w:t>
      </w:r>
      <w:r w:rsidR="000F255E">
        <w:rPr>
          <w:snapToGrid/>
          <w:kern w:val="0"/>
          <w:szCs w:val="22"/>
        </w:rPr>
        <w:t>,</w:t>
      </w:r>
      <w:r>
        <w:rPr>
          <w:rStyle w:val="FootnoteReference"/>
          <w:snapToGrid/>
          <w:kern w:val="0"/>
          <w:szCs w:val="22"/>
        </w:rPr>
        <w:footnoteReference w:id="12"/>
      </w:r>
      <w:r w:rsidR="000F255E">
        <w:rPr>
          <w:snapToGrid/>
          <w:kern w:val="0"/>
          <w:szCs w:val="22"/>
        </w:rPr>
        <w:t xml:space="preserve"> and proposes that t</w:t>
      </w:r>
      <w:r w:rsidRPr="00001361">
        <w:rPr>
          <w:snapToGrid/>
          <w:kern w:val="0"/>
          <w:szCs w:val="22"/>
        </w:rPr>
        <w:t>he same coordination and</w:t>
      </w:r>
      <w:r w:rsidR="00001361">
        <w:rPr>
          <w:snapToGrid/>
          <w:kern w:val="0"/>
          <w:szCs w:val="22"/>
        </w:rPr>
        <w:t xml:space="preserve"> </w:t>
      </w:r>
      <w:r w:rsidRPr="00001361">
        <w:rPr>
          <w:snapToGrid/>
          <w:kern w:val="0"/>
          <w:szCs w:val="22"/>
        </w:rPr>
        <w:t>registration conditions proposed herein would be applied under a Part 95 licensing-by-rule regime or Part 90</w:t>
      </w:r>
      <w:r w:rsidR="00001361">
        <w:rPr>
          <w:snapToGrid/>
          <w:kern w:val="0"/>
          <w:szCs w:val="22"/>
        </w:rPr>
        <w:t xml:space="preserve"> </w:t>
      </w:r>
      <w:r w:rsidRPr="00001361">
        <w:rPr>
          <w:snapToGrid/>
          <w:kern w:val="0"/>
          <w:szCs w:val="22"/>
        </w:rPr>
        <w:t>licensing.</w:t>
      </w:r>
      <w:r>
        <w:rPr>
          <w:rStyle w:val="FootnoteReference"/>
          <w:snapToGrid/>
          <w:kern w:val="0"/>
          <w:szCs w:val="22"/>
        </w:rPr>
        <w:footnoteReference w:id="13"/>
      </w:r>
      <w:r w:rsidRPr="00001361" w:rsidR="00B44964">
        <w:rPr>
          <w:snapToGrid/>
          <w:kern w:val="0"/>
          <w:szCs w:val="22"/>
        </w:rPr>
        <w:t xml:space="preserve">  </w:t>
      </w:r>
    </w:p>
    <w:p w:rsidR="00440DD9" w:rsidRPr="00001361" w:rsidP="0007217F" w14:paraId="78684FE0" w14:textId="77777777">
      <w:pPr>
        <w:rPr>
          <w:szCs w:val="22"/>
        </w:rPr>
      </w:pPr>
    </w:p>
    <w:p w:rsidR="00FA13F4" w:rsidP="00EA7EC1" w14:paraId="54CD3165" w14:textId="77777777">
      <w:pPr>
        <w:autoSpaceDE w:val="0"/>
        <w:autoSpaceDN w:val="0"/>
        <w:adjustRightInd w:val="0"/>
        <w:ind w:firstLine="720"/>
        <w:rPr>
          <w:szCs w:val="22"/>
        </w:rPr>
      </w:pPr>
      <w:r w:rsidRPr="00D9372F">
        <w:rPr>
          <w:szCs w:val="22"/>
        </w:rPr>
        <w:t xml:space="preserve">The Wireless Telecommunications Bureau </w:t>
      </w:r>
      <w:r w:rsidR="0068478E">
        <w:rPr>
          <w:szCs w:val="22"/>
        </w:rPr>
        <w:t xml:space="preserve">and the Office of Engineering and Technology </w:t>
      </w:r>
      <w:r w:rsidRPr="00D9372F">
        <w:rPr>
          <w:szCs w:val="22"/>
        </w:rPr>
        <w:t>seek comment on th</w:t>
      </w:r>
      <w:r w:rsidR="00E45329">
        <w:rPr>
          <w:szCs w:val="22"/>
        </w:rPr>
        <w:t>e</w:t>
      </w:r>
      <w:r w:rsidR="0068478E">
        <w:rPr>
          <w:szCs w:val="22"/>
        </w:rPr>
        <w:t xml:space="preserve"> Request</w:t>
      </w:r>
      <w:r>
        <w:rPr>
          <w:szCs w:val="22"/>
        </w:rPr>
        <w:t xml:space="preserve">.  </w:t>
      </w:r>
    </w:p>
    <w:p w:rsidR="00FA13F4" w:rsidP="00EA7EC1" w14:paraId="5EECD49E" w14:textId="77777777">
      <w:pPr>
        <w:autoSpaceDE w:val="0"/>
        <w:autoSpaceDN w:val="0"/>
        <w:adjustRightInd w:val="0"/>
        <w:ind w:firstLine="720"/>
        <w:rPr>
          <w:szCs w:val="22"/>
        </w:rPr>
      </w:pPr>
    </w:p>
    <w:p w:rsidR="00FA13F4" w:rsidP="00FA13F4" w14:paraId="3EA5A4F0" w14:textId="23FEB26B">
      <w:pPr>
        <w:ind w:firstLine="720"/>
        <w:rPr>
          <w:szCs w:val="22"/>
        </w:rPr>
      </w:pPr>
      <w:r w:rsidRPr="000D7702">
        <w:rPr>
          <w:i/>
          <w:szCs w:val="22"/>
        </w:rPr>
        <w:t xml:space="preserve">Filing Requirements.  </w:t>
      </w:r>
      <w:r w:rsidRPr="000D7702">
        <w:rPr>
          <w:szCs w:val="22"/>
        </w:rPr>
        <w:t xml:space="preserve">Interested parties may file comments </w:t>
      </w:r>
      <w:r>
        <w:rPr>
          <w:szCs w:val="22"/>
        </w:rPr>
        <w:t xml:space="preserve">and replies </w:t>
      </w:r>
      <w:r w:rsidRPr="000D7702">
        <w:rPr>
          <w:szCs w:val="22"/>
        </w:rPr>
        <w:t>on or before the date</w:t>
      </w:r>
      <w:r>
        <w:rPr>
          <w:szCs w:val="22"/>
        </w:rPr>
        <w:t>s</w:t>
      </w:r>
      <w:r w:rsidRPr="000D7702">
        <w:rPr>
          <w:szCs w:val="22"/>
        </w:rPr>
        <w:t xml:space="preserve"> indicated on the first page of this document.</w:t>
      </w:r>
      <w:r>
        <w:rPr>
          <w:szCs w:val="22"/>
          <w:vertAlign w:val="superscript"/>
        </w:rPr>
        <w:footnoteReference w:id="14"/>
      </w:r>
      <w:r w:rsidRPr="000D7702">
        <w:rPr>
          <w:szCs w:val="22"/>
        </w:rPr>
        <w:t xml:space="preserve">  </w:t>
      </w:r>
      <w:r w:rsidRPr="000D7702">
        <w:rPr>
          <w:iCs/>
          <w:szCs w:val="22"/>
        </w:rPr>
        <w:t>All filings mus</w:t>
      </w:r>
      <w:r>
        <w:rPr>
          <w:iCs/>
          <w:szCs w:val="22"/>
        </w:rPr>
        <w:t>t reference GN Docket No. 19-</w:t>
      </w:r>
      <w:r w:rsidR="00C6340E">
        <w:rPr>
          <w:iCs/>
          <w:szCs w:val="22"/>
        </w:rPr>
        <w:t>158</w:t>
      </w:r>
      <w:r w:rsidR="009D66E3">
        <w:rPr>
          <w:iCs/>
          <w:szCs w:val="22"/>
        </w:rPr>
        <w:t>.</w:t>
      </w:r>
      <w:r w:rsidRPr="000D7702">
        <w:rPr>
          <w:iCs/>
          <w:szCs w:val="22"/>
        </w:rPr>
        <w:t xml:space="preserve"> </w:t>
      </w:r>
      <w:r w:rsidRPr="000D7702">
        <w:rPr>
          <w:szCs w:val="22"/>
        </w:rPr>
        <w:t xml:space="preserve">Comments </w:t>
      </w:r>
      <w:r>
        <w:rPr>
          <w:szCs w:val="22"/>
        </w:rPr>
        <w:t xml:space="preserve">and replies </w:t>
      </w:r>
      <w:r w:rsidRPr="000D7702">
        <w:rPr>
          <w:szCs w:val="22"/>
        </w:rPr>
        <w:t>may be filed using the Commission’s Electronic Comment Filing System (ECFS).</w:t>
      </w:r>
      <w:r>
        <w:rPr>
          <w:szCs w:val="22"/>
          <w:vertAlign w:val="superscript"/>
        </w:rPr>
        <w:footnoteReference w:id="15"/>
      </w:r>
    </w:p>
    <w:p w:rsidR="00FA13F4" w:rsidRPr="000D7702" w:rsidP="00FA13F4" w14:paraId="73B56878" w14:textId="77777777">
      <w:pPr>
        <w:rPr>
          <w:szCs w:val="22"/>
        </w:rPr>
      </w:pPr>
    </w:p>
    <w:p w:rsidR="00FA13F4" w:rsidRPr="000D7702" w:rsidP="00FA13F4" w14:paraId="1175C945" w14:textId="77777777">
      <w:pPr>
        <w:numPr>
          <w:ilvl w:val="0"/>
          <w:numId w:val="13"/>
        </w:numPr>
        <w:spacing w:after="120"/>
        <w:rPr>
          <w:szCs w:val="22"/>
        </w:rPr>
      </w:pPr>
      <w:r w:rsidRPr="000D7702">
        <w:rPr>
          <w:szCs w:val="22"/>
        </w:rPr>
        <w:t xml:space="preserve">Electronic Filers:  Comments may be filed electronically using the Internet by accessing ECFS:  </w:t>
      </w:r>
      <w:hyperlink r:id="rId5" w:history="1">
        <w:r w:rsidRPr="000D7702">
          <w:rPr>
            <w:color w:val="0000FF"/>
            <w:szCs w:val="22"/>
            <w:u w:val="single"/>
          </w:rPr>
          <w:t>https://www.fcc.gov/ecfs/</w:t>
        </w:r>
      </w:hyperlink>
      <w:r w:rsidRPr="000D7702">
        <w:rPr>
          <w:szCs w:val="22"/>
        </w:rPr>
        <w:t>.</w:t>
      </w:r>
    </w:p>
    <w:p w:rsidR="00FA13F4" w:rsidRPr="000D7702" w:rsidP="00FA13F4" w14:paraId="6EB71157" w14:textId="77777777">
      <w:pPr>
        <w:numPr>
          <w:ilvl w:val="0"/>
          <w:numId w:val="13"/>
        </w:numPr>
        <w:spacing w:after="120"/>
        <w:rPr>
          <w:szCs w:val="22"/>
        </w:rPr>
      </w:pPr>
      <w:r w:rsidRPr="000D7702">
        <w:rPr>
          <w:szCs w:val="22"/>
        </w:rPr>
        <w:t>Paper Filers:  Parties who choose to file by paper must file an original and one copy of each filing.</w:t>
      </w:r>
    </w:p>
    <w:p w:rsidR="00FA13F4" w:rsidRPr="000D7702" w:rsidP="00FA13F4" w14:paraId="00211611" w14:textId="77777777">
      <w:pPr>
        <w:widowControl/>
        <w:numPr>
          <w:ilvl w:val="0"/>
          <w:numId w:val="13"/>
        </w:numPr>
        <w:spacing w:after="120"/>
        <w:rPr>
          <w:szCs w:val="22"/>
        </w:rPr>
      </w:pPr>
      <w:r w:rsidRPr="000D770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FA13F4" w:rsidRPr="000D7702" w:rsidP="00FA13F4" w14:paraId="10584D8A" w14:textId="77777777">
      <w:pPr>
        <w:numPr>
          <w:ilvl w:val="1"/>
          <w:numId w:val="13"/>
        </w:numPr>
        <w:spacing w:after="120"/>
        <w:rPr>
          <w:szCs w:val="22"/>
        </w:rPr>
      </w:pPr>
      <w:r w:rsidRPr="000D7702">
        <w:rPr>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FA13F4" w:rsidRPr="000D7702" w:rsidP="00FA13F4" w14:paraId="26A365ED" w14:textId="77777777">
      <w:pPr>
        <w:numPr>
          <w:ilvl w:val="1"/>
          <w:numId w:val="13"/>
        </w:numPr>
        <w:spacing w:after="120"/>
        <w:rPr>
          <w:szCs w:val="22"/>
        </w:rPr>
      </w:pPr>
      <w:r w:rsidRPr="000D7702">
        <w:rPr>
          <w:szCs w:val="22"/>
        </w:rPr>
        <w:t>Commercial overnight mail (other than U.S. Postal Service Express Mail and Priority Mail) must be sent to 9050 Junction Drive, Annapolis Junction, MD 20701.</w:t>
      </w:r>
    </w:p>
    <w:p w:rsidR="00FA13F4" w:rsidRPr="000D7702" w:rsidP="00FA13F4" w14:paraId="6589FF2E" w14:textId="77777777">
      <w:pPr>
        <w:numPr>
          <w:ilvl w:val="1"/>
          <w:numId w:val="13"/>
        </w:numPr>
        <w:spacing w:after="120"/>
        <w:rPr>
          <w:szCs w:val="22"/>
        </w:rPr>
      </w:pPr>
      <w:r w:rsidRPr="000D7702">
        <w:rPr>
          <w:szCs w:val="22"/>
        </w:rPr>
        <w:t>U.S. Postal Service first-class, Express, and Priority mail must be addressed to 445 12th Street, SW, Washington DC  20554.</w:t>
      </w:r>
    </w:p>
    <w:p w:rsidR="00FA13F4" w:rsidRPr="000D7702" w:rsidP="00FA13F4" w14:paraId="7A0F8211" w14:textId="02F6634D">
      <w:pPr>
        <w:spacing w:after="120"/>
        <w:ind w:firstLine="720"/>
        <w:rPr>
          <w:szCs w:val="22"/>
        </w:rPr>
      </w:pPr>
      <w:r w:rsidRPr="000D7702">
        <w:rPr>
          <w:i/>
          <w:szCs w:val="22"/>
        </w:rPr>
        <w:t>Ex Parte Rules</w:t>
      </w:r>
      <w:r w:rsidRPr="000D7702">
        <w:rPr>
          <w:szCs w:val="22"/>
        </w:rPr>
        <w:t xml:space="preserve">.  </w:t>
      </w:r>
      <w:r w:rsidR="00DA30F0">
        <w:rPr>
          <w:szCs w:val="22"/>
        </w:rPr>
        <w:t xml:space="preserve">WTB and OET have </w:t>
      </w:r>
      <w:r w:rsidRPr="00DA30F0" w:rsidR="00DA30F0">
        <w:rPr>
          <w:szCs w:val="22"/>
        </w:rPr>
        <w:t xml:space="preserve">concluded that, to develop a complete record on the issues presented by this request, this proceeding will be treated, for </w:t>
      </w:r>
      <w:r w:rsidRPr="00DA30F0" w:rsidR="00DA30F0">
        <w:rPr>
          <w:i/>
          <w:szCs w:val="22"/>
        </w:rPr>
        <w:t>ex parte</w:t>
      </w:r>
      <w:r w:rsidRPr="00DA30F0" w:rsidR="00DA30F0">
        <w:rPr>
          <w:szCs w:val="22"/>
        </w:rPr>
        <w:t xml:space="preserve"> purposes, as a “permit-but-disclose” in accordance with Section 1.1200(a) of the Commission’s rules, subject to the requirements under Section 1.1206(b).</w:t>
      </w:r>
      <w:r>
        <w:rPr>
          <w:szCs w:val="22"/>
          <w:vertAlign w:val="superscript"/>
        </w:rPr>
        <w:footnoteReference w:id="16"/>
      </w:r>
      <w:r w:rsidRPr="000D7702">
        <w:rPr>
          <w:szCs w:val="22"/>
        </w:rPr>
        <w:t xml:space="preserve">  </w:t>
      </w:r>
    </w:p>
    <w:p w:rsidR="00FA13F4" w:rsidRPr="000D7702" w:rsidP="00FA13F4" w14:paraId="3FFDB7C4" w14:textId="77777777">
      <w:pPr>
        <w:spacing w:after="120"/>
        <w:ind w:firstLine="720"/>
        <w:rPr>
          <w:szCs w:val="22"/>
        </w:rPr>
      </w:pPr>
      <w:r w:rsidRPr="000D7702">
        <w:rPr>
          <w:i/>
          <w:szCs w:val="22"/>
        </w:rPr>
        <w:t xml:space="preserve">People with Disabilities.  </w:t>
      </w:r>
      <w:r w:rsidRPr="000D7702">
        <w:rPr>
          <w:szCs w:val="22"/>
        </w:rPr>
        <w:t xml:space="preserve">To request materials in accessible formats for people with disabilities (Braille, large print, electronic files, audio format), send an e-mail to </w:t>
      </w:r>
      <w:hyperlink r:id="rId6" w:history="1">
        <w:r w:rsidRPr="000D7702">
          <w:rPr>
            <w:color w:val="0000FF"/>
            <w:szCs w:val="22"/>
            <w:u w:val="single"/>
          </w:rPr>
          <w:t>fcc504@fcc.gov</w:t>
        </w:r>
      </w:hyperlink>
      <w:r w:rsidRPr="000D7702">
        <w:rPr>
          <w:szCs w:val="22"/>
        </w:rPr>
        <w:t xml:space="preserve"> or call the Consumer and Governmental Affairs Bureau at 202-418-0530 (voice), 844-432-2275 (videophone), or 202-418-0432 (TTY).</w:t>
      </w:r>
    </w:p>
    <w:p w:rsidR="00660773" w:rsidP="004057EB" w14:paraId="262DBA31" w14:textId="34C8B047">
      <w:pPr>
        <w:spacing w:after="120"/>
        <w:ind w:firstLine="720"/>
        <w:rPr>
          <w:szCs w:val="22"/>
        </w:rPr>
      </w:pPr>
      <w:bookmarkStart w:id="4" w:name="_Hlk10019305"/>
      <w:r w:rsidRPr="000D7702">
        <w:rPr>
          <w:i/>
          <w:szCs w:val="22"/>
        </w:rPr>
        <w:t xml:space="preserve">Additional Information.  </w:t>
      </w:r>
      <w:r w:rsidRPr="000D7702">
        <w:rPr>
          <w:szCs w:val="22"/>
        </w:rPr>
        <w:t xml:space="preserve">For further information regarding this </w:t>
      </w:r>
      <w:r>
        <w:rPr>
          <w:szCs w:val="22"/>
        </w:rPr>
        <w:t xml:space="preserve">Public </w:t>
      </w:r>
      <w:r w:rsidRPr="000D7702">
        <w:rPr>
          <w:szCs w:val="22"/>
        </w:rPr>
        <w:t>Noti</w:t>
      </w:r>
      <w:r>
        <w:rPr>
          <w:szCs w:val="22"/>
        </w:rPr>
        <w:t xml:space="preserve">ce, please contact </w:t>
      </w:r>
      <w:r w:rsidR="00A1137A">
        <w:rPr>
          <w:szCs w:val="22"/>
        </w:rPr>
        <w:t xml:space="preserve">Charles Oliver, </w:t>
      </w:r>
      <w:r w:rsidR="00F24480">
        <w:rPr>
          <w:szCs w:val="22"/>
        </w:rPr>
        <w:t>Broadband Division, Wireless Telecommunications Bureau</w:t>
      </w:r>
      <w:r w:rsidR="00DA30F0">
        <w:rPr>
          <w:szCs w:val="22"/>
        </w:rPr>
        <w:t xml:space="preserve">, at (202) 418-1325 or </w:t>
      </w:r>
      <w:hyperlink r:id="rId7" w:history="1">
        <w:r w:rsidRPr="0090722B" w:rsidR="00DE3B0D">
          <w:rPr>
            <w:rStyle w:val="Hyperlink"/>
            <w:szCs w:val="22"/>
          </w:rPr>
          <w:t>charles.oliver@fcc.gov</w:t>
        </w:r>
      </w:hyperlink>
      <w:r w:rsidR="00DA30F0">
        <w:rPr>
          <w:szCs w:val="22"/>
        </w:rPr>
        <w:t xml:space="preserve">, or </w:t>
      </w:r>
      <w:r w:rsidR="002A4AE2">
        <w:rPr>
          <w:szCs w:val="22"/>
        </w:rPr>
        <w:t>Ni</w:t>
      </w:r>
      <w:r w:rsidR="00696B8F">
        <w:rPr>
          <w:szCs w:val="22"/>
        </w:rPr>
        <w:t xml:space="preserve">cholas Oros, Policy and Rules Division, </w:t>
      </w:r>
      <w:r w:rsidR="00DA30F0">
        <w:rPr>
          <w:szCs w:val="22"/>
        </w:rPr>
        <w:t>Office of Engineering and Technology, at (202) 418-</w:t>
      </w:r>
      <w:r w:rsidRPr="00696B8F" w:rsidR="00696B8F">
        <w:rPr>
          <w:szCs w:val="22"/>
        </w:rPr>
        <w:t xml:space="preserve">0636 </w:t>
      </w:r>
      <w:r w:rsidR="00696B8F">
        <w:rPr>
          <w:szCs w:val="22"/>
        </w:rPr>
        <w:t xml:space="preserve">or </w:t>
      </w:r>
      <w:hyperlink r:id="rId8" w:history="1">
        <w:r w:rsidRPr="00770909" w:rsidR="00AD0678">
          <w:rPr>
            <w:rStyle w:val="Hyperlink"/>
            <w:szCs w:val="22"/>
          </w:rPr>
          <w:t>nicholas.oros@fcc.gov</w:t>
        </w:r>
      </w:hyperlink>
      <w:r w:rsidR="00696B8F">
        <w:rPr>
          <w:szCs w:val="22"/>
        </w:rPr>
        <w:t>.</w:t>
      </w:r>
      <w:r w:rsidR="00AD0678">
        <w:rPr>
          <w:szCs w:val="22"/>
        </w:rPr>
        <w:t xml:space="preserve">  </w:t>
      </w:r>
      <w:r>
        <w:rPr>
          <w:szCs w:val="22"/>
        </w:rPr>
        <w:t xml:space="preserve"> </w:t>
      </w:r>
    </w:p>
    <w:bookmarkEnd w:id="4"/>
    <w:p w:rsidR="00EA7EC1" w:rsidP="004057EB" w14:paraId="63EFCBF4" w14:textId="474FD514">
      <w:pPr>
        <w:keepNext/>
        <w:widowControl/>
        <w:autoSpaceDE w:val="0"/>
        <w:autoSpaceDN w:val="0"/>
        <w:adjustRightInd w:val="0"/>
        <w:ind w:firstLine="720"/>
        <w:rPr>
          <w:color w:val="010101"/>
          <w:szCs w:val="22"/>
        </w:rPr>
      </w:pPr>
      <w:r w:rsidRPr="00D9372F">
        <w:rPr>
          <w:color w:val="010101"/>
          <w:szCs w:val="22"/>
        </w:rPr>
        <w:t xml:space="preserve">By the Chief, </w:t>
      </w:r>
      <w:r w:rsidR="008E1C61">
        <w:rPr>
          <w:color w:val="010101"/>
          <w:szCs w:val="22"/>
        </w:rPr>
        <w:t>Wireless Telecommunications Bureau</w:t>
      </w:r>
      <w:r w:rsidR="00926839">
        <w:rPr>
          <w:color w:val="010101"/>
          <w:szCs w:val="22"/>
        </w:rPr>
        <w:t xml:space="preserve"> and the Chief, Office of Engineering and Technology</w:t>
      </w:r>
      <w:r w:rsidR="008E1C61">
        <w:rPr>
          <w:color w:val="010101"/>
          <w:szCs w:val="22"/>
        </w:rPr>
        <w:t>.</w:t>
      </w:r>
    </w:p>
    <w:p w:rsidR="009D66E3" w:rsidRPr="00D9372F" w:rsidP="009D66E3" w14:paraId="5CAE4D6F" w14:textId="77777777">
      <w:pPr>
        <w:keepNext/>
        <w:widowControl/>
        <w:autoSpaceDE w:val="0"/>
        <w:autoSpaceDN w:val="0"/>
        <w:adjustRightInd w:val="0"/>
        <w:rPr>
          <w:color w:val="010101"/>
          <w:szCs w:val="22"/>
        </w:rPr>
      </w:pPr>
    </w:p>
    <w:p w:rsidR="00EA7EC1" w:rsidRPr="000C2B28" w:rsidP="00EA7EC1" w14:paraId="01703DF0" w14:textId="77777777">
      <w:pPr>
        <w:rPr>
          <w:color w:val="010101"/>
          <w:szCs w:val="22"/>
        </w:rPr>
      </w:pPr>
    </w:p>
    <w:p w:rsidR="00EA7EC1" w:rsidRPr="000C2B28" w:rsidP="00F24480" w14:paraId="4A04E20D" w14:textId="4F3A1E9B">
      <w:pPr>
        <w:jc w:val="center"/>
        <w:rPr>
          <w:color w:val="010101"/>
          <w:szCs w:val="22"/>
        </w:rPr>
      </w:pPr>
      <w:r w:rsidRPr="000C2B28">
        <w:rPr>
          <w:color w:val="010101"/>
          <w:szCs w:val="22"/>
        </w:rPr>
        <w:t>-FCC-</w:t>
      </w:r>
    </w:p>
    <w:p w:rsidR="0007217F" w:rsidRPr="0007217F" w:rsidP="0007217F" w14:paraId="3860D99A" w14:textId="77777777">
      <w:pPr>
        <w:rPr>
          <w:sz w:val="24"/>
        </w:rPr>
      </w:pPr>
    </w:p>
    <w:sectPr w:rsidSect="00C6340E">
      <w:headerReference w:type="default" r:id="rId9"/>
      <w:footerReference w:type="even" r:id="rId10"/>
      <w:footerReference w:type="default" r:id="rId11"/>
      <w:headerReference w:type="first" r:id="rId12"/>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612A33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40C56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81225F2" w14:textId="77777777">
    <w:pPr>
      <w:pStyle w:val="Footer"/>
      <w:jc w:val="center"/>
    </w:pPr>
    <w:r>
      <w:fldChar w:fldCharType="begin"/>
    </w:r>
    <w:r>
      <w:instrText xml:space="preserve"> PAGE   \* MERGEFORMAT </w:instrText>
    </w:r>
    <w:r>
      <w:fldChar w:fldCharType="separate"/>
    </w:r>
    <w:r w:rsidR="00163D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5803" w14:paraId="26720B61" w14:textId="77777777">
      <w:r>
        <w:separator/>
      </w:r>
    </w:p>
  </w:footnote>
  <w:footnote w:type="continuationSeparator" w:id="1">
    <w:p w:rsidR="009B5803" w14:paraId="185EED78" w14:textId="77777777">
      <w:pPr>
        <w:rPr>
          <w:sz w:val="20"/>
        </w:rPr>
      </w:pPr>
      <w:r>
        <w:rPr>
          <w:sz w:val="20"/>
        </w:rPr>
        <w:t xml:space="preserve">(Continued from previous page)  </w:t>
      </w:r>
      <w:r>
        <w:rPr>
          <w:sz w:val="20"/>
        </w:rPr>
        <w:separator/>
      </w:r>
    </w:p>
  </w:footnote>
  <w:footnote w:type="continuationNotice" w:id="2">
    <w:p w:rsidR="009B5803" w:rsidP="00910F12" w14:paraId="118A2E39" w14:textId="77777777">
      <w:pPr>
        <w:jc w:val="right"/>
        <w:rPr>
          <w:sz w:val="20"/>
        </w:rPr>
      </w:pPr>
    </w:p>
  </w:footnote>
  <w:footnote w:id="3">
    <w:p w:rsidR="00446538" w:rsidRPr="009D66E3" w:rsidP="00F971A4" w14:paraId="448A66D1" w14:textId="2E4DC909">
      <w:pPr>
        <w:pStyle w:val="FootnoteText"/>
        <w:rPr>
          <w:i/>
        </w:rPr>
      </w:pPr>
      <w:r w:rsidRPr="009D66E3">
        <w:rPr>
          <w:rStyle w:val="FootnoteReference"/>
          <w:sz w:val="20"/>
        </w:rPr>
        <w:footnoteRef/>
      </w:r>
      <w:r w:rsidRPr="009D66E3">
        <w:t xml:space="preserve"> </w:t>
      </w:r>
      <w:r w:rsidRPr="009D66E3" w:rsidR="00144F30">
        <w:t xml:space="preserve">Radio Physics Solutions Limited, </w:t>
      </w:r>
      <w:r w:rsidRPr="009D66E3" w:rsidR="00144F30">
        <w:rPr>
          <w:i/>
        </w:rPr>
        <w:t>Petition for Waiver to Certify and Operate Stand-Off Threat Detection Device in 71-86 GHz Band</w:t>
      </w:r>
      <w:r w:rsidRPr="009D66E3" w:rsidR="00144F30">
        <w:t>, Petition for Waiver (filed Apr. 17, 2019) (Request</w:t>
      </w:r>
      <w:r w:rsidRPr="009D66E3" w:rsidR="00E0116D">
        <w:t xml:space="preserve">). </w:t>
      </w:r>
      <w:r w:rsidRPr="009D66E3" w:rsidR="00F971A4">
        <w:t xml:space="preserve"> </w:t>
      </w:r>
    </w:p>
  </w:footnote>
  <w:footnote w:id="4">
    <w:p w:rsidR="00E0116D" w:rsidRPr="009D66E3" w14:paraId="0C974229" w14:textId="77777777">
      <w:pPr>
        <w:pStyle w:val="FootnoteText"/>
      </w:pPr>
      <w:r w:rsidRPr="009D66E3">
        <w:rPr>
          <w:rStyle w:val="FootnoteReference"/>
          <w:sz w:val="20"/>
        </w:rPr>
        <w:footnoteRef/>
      </w:r>
      <w:r w:rsidRPr="009D66E3">
        <w:t xml:space="preserve"> Request at 6, n.6.  </w:t>
      </w:r>
    </w:p>
  </w:footnote>
  <w:footnote w:id="5">
    <w:p w:rsidR="00144F30" w:rsidRPr="009D66E3" w14:paraId="21D1D765" w14:textId="77777777">
      <w:pPr>
        <w:pStyle w:val="FootnoteText"/>
      </w:pPr>
      <w:r w:rsidRPr="009D66E3">
        <w:rPr>
          <w:rStyle w:val="FootnoteReference"/>
          <w:sz w:val="20"/>
        </w:rPr>
        <w:footnoteRef/>
      </w:r>
      <w:r w:rsidRPr="009D66E3">
        <w:t xml:space="preserve"> Request at 2.</w:t>
      </w:r>
    </w:p>
  </w:footnote>
  <w:footnote w:id="6">
    <w:p w:rsidR="001A4917" w:rsidRPr="009D66E3" w14:paraId="0A40EF86" w14:textId="77777777">
      <w:pPr>
        <w:pStyle w:val="FootnoteText"/>
      </w:pPr>
      <w:r w:rsidRPr="009D66E3">
        <w:rPr>
          <w:rStyle w:val="FootnoteReference"/>
          <w:sz w:val="20"/>
        </w:rPr>
        <w:footnoteRef/>
      </w:r>
      <w:r w:rsidRPr="009D66E3">
        <w:t xml:space="preserve"> 47 CFR § 101.1523.  </w:t>
      </w:r>
    </w:p>
  </w:footnote>
  <w:footnote w:id="7">
    <w:p w:rsidR="00080564" w:rsidRPr="009D66E3" w14:paraId="78319323" w14:textId="77777777">
      <w:pPr>
        <w:pStyle w:val="FootnoteText"/>
      </w:pPr>
      <w:r w:rsidRPr="009D66E3">
        <w:rPr>
          <w:rStyle w:val="FootnoteReference"/>
          <w:sz w:val="20"/>
        </w:rPr>
        <w:footnoteRef/>
      </w:r>
      <w:r w:rsidRPr="009D66E3">
        <w:t xml:space="preserve"> Request at 15.  </w:t>
      </w:r>
    </w:p>
  </w:footnote>
  <w:footnote w:id="8">
    <w:p w:rsidR="00EA0CCF" w:rsidRPr="009D66E3" w:rsidP="008A32B5" w14:paraId="0D0054BD" w14:textId="53C1A38C">
      <w:pPr>
        <w:pStyle w:val="FootnoteText"/>
      </w:pPr>
      <w:r w:rsidRPr="009D66E3">
        <w:rPr>
          <w:rStyle w:val="FootnoteReference"/>
          <w:sz w:val="20"/>
        </w:rPr>
        <w:footnoteRef/>
      </w:r>
      <w:r w:rsidRPr="009D66E3">
        <w:t xml:space="preserve"> </w:t>
      </w:r>
      <w:r w:rsidRPr="009D66E3" w:rsidR="00C244A8">
        <w:t xml:space="preserve">Based on a </w:t>
      </w:r>
      <w:r w:rsidRPr="009D66E3" w:rsidR="008A32B5">
        <w:t xml:space="preserve">May 2, 2019, </w:t>
      </w:r>
      <w:r w:rsidRPr="009D66E3" w:rsidR="00C244A8">
        <w:t xml:space="preserve">telephone conversation with </w:t>
      </w:r>
      <w:r w:rsidRPr="009D66E3" w:rsidR="008A32B5">
        <w:t xml:space="preserve">counsel, we understand that the second bullet on page 6 of the Request has </w:t>
      </w:r>
      <w:r w:rsidRPr="009D66E3" w:rsidR="00A1137A">
        <w:t xml:space="preserve">two </w:t>
      </w:r>
      <w:r w:rsidRPr="009D66E3" w:rsidR="008A32B5">
        <w:t>typographical errors and should read: “47 C.F.R. § 101.111</w:t>
      </w:r>
      <w:r w:rsidRPr="009D66E3" w:rsidR="008A32B5">
        <w:rPr>
          <w:u w:val="single"/>
        </w:rPr>
        <w:t>(a)(2)</w:t>
      </w:r>
      <w:r w:rsidRPr="009D66E3" w:rsidR="008A32B5">
        <w:t>(v): Provides out-of-band emission limits based on a 500</w:t>
      </w:r>
      <w:r w:rsidRPr="009D66E3" w:rsidR="008A32B5">
        <w:rPr>
          <w:u w:val="single"/>
        </w:rPr>
        <w:t>0</w:t>
      </w:r>
      <w:r w:rsidRPr="009D66E3" w:rsidR="008A32B5">
        <w:t xml:space="preserve"> MHz bandwidth.  Radio Physics requests 15 GHz bandwidth.”</w:t>
      </w:r>
    </w:p>
  </w:footnote>
  <w:footnote w:id="9">
    <w:p w:rsidR="00C77FCD" w:rsidRPr="009D66E3" w:rsidP="00C77FCD" w14:paraId="20E68D0B" w14:textId="5D011431">
      <w:pPr>
        <w:pStyle w:val="FootnoteText"/>
      </w:pPr>
      <w:r w:rsidRPr="009D66E3">
        <w:rPr>
          <w:rStyle w:val="FootnoteReference"/>
          <w:sz w:val="20"/>
        </w:rPr>
        <w:footnoteRef/>
      </w:r>
      <w:r w:rsidRPr="009D66E3">
        <w:t xml:space="preserve"> 47 CFR §§ 101.109(c), 101.111</w:t>
      </w:r>
      <w:r w:rsidRPr="009D66E3" w:rsidR="001C6CF8">
        <w:t>(a)(2)</w:t>
      </w:r>
      <w:r w:rsidRPr="009D66E3">
        <w:t xml:space="preserve">(v), 101.115(a), 101.115(b), and 101.1507.  </w:t>
      </w:r>
    </w:p>
  </w:footnote>
  <w:footnote w:id="10">
    <w:p w:rsidR="0068478E" w:rsidRPr="009D66E3" w14:paraId="47BDA50E" w14:textId="360AD57A">
      <w:pPr>
        <w:pStyle w:val="FootnoteText"/>
      </w:pPr>
      <w:r w:rsidRPr="009D66E3">
        <w:rPr>
          <w:rStyle w:val="FootnoteReference"/>
          <w:sz w:val="20"/>
        </w:rPr>
        <w:footnoteRef/>
      </w:r>
      <w:r w:rsidRPr="009D66E3">
        <w:t xml:space="preserve"> Note </w:t>
      </w:r>
      <w:r w:rsidRPr="009D66E3" w:rsidR="008A485E">
        <w:fldChar w:fldCharType="begin"/>
      </w:r>
      <w:r w:rsidRPr="009D66E3" w:rsidR="008A485E">
        <w:instrText xml:space="preserve"> NOTEREF _Ref7109772 </w:instrText>
      </w:r>
      <w:r w:rsidR="009D66E3">
        <w:instrText xml:space="preserve"> \* MERGEFORMAT </w:instrText>
      </w:r>
      <w:r w:rsidRPr="009D66E3" w:rsidR="008A485E">
        <w:fldChar w:fldCharType="separate"/>
      </w:r>
      <w:r w:rsidRPr="009D66E3" w:rsidR="00FA50F2">
        <w:t>2</w:t>
      </w:r>
      <w:r w:rsidRPr="009D66E3" w:rsidR="008A485E">
        <w:fldChar w:fldCharType="end"/>
      </w:r>
      <w:r w:rsidRPr="009D66E3">
        <w:t xml:space="preserve">, </w:t>
      </w:r>
      <w:r w:rsidRPr="009D66E3">
        <w:rPr>
          <w:i/>
        </w:rPr>
        <w:t>supra</w:t>
      </w:r>
      <w:r w:rsidRPr="009D66E3">
        <w:t xml:space="preserve">.  </w:t>
      </w:r>
    </w:p>
  </w:footnote>
  <w:footnote w:id="11">
    <w:p w:rsidR="00A13E82" w:rsidRPr="009D66E3" w14:paraId="5171DD8E" w14:textId="77777777">
      <w:pPr>
        <w:pStyle w:val="FootnoteText"/>
      </w:pPr>
      <w:r w:rsidRPr="009D66E3">
        <w:rPr>
          <w:rStyle w:val="FootnoteReference"/>
          <w:sz w:val="20"/>
        </w:rPr>
        <w:footnoteRef/>
      </w:r>
      <w:r w:rsidRPr="009D66E3">
        <w:t xml:space="preserve"> 47 CFR §§ 95.3331, 95.3379.  </w:t>
      </w:r>
      <w:r w:rsidRPr="009D66E3">
        <w:rPr>
          <w:i/>
        </w:rPr>
        <w:t>See also</w:t>
      </w:r>
      <w:r w:rsidRPr="009D66E3">
        <w:t xml:space="preserve"> 47 CFR Part 95, </w:t>
      </w:r>
      <w:r w:rsidRPr="009D66E3" w:rsidR="00001361">
        <w:t>s</w:t>
      </w:r>
      <w:r w:rsidRPr="009D66E3">
        <w:t>ubpart M (</w:t>
      </w:r>
      <w:r w:rsidRPr="009D66E3" w:rsidR="00001361">
        <w:t xml:space="preserve">The </w:t>
      </w:r>
      <w:r w:rsidRPr="009D66E3">
        <w:t xml:space="preserve">76-81 GHz Band Radar Service).   </w:t>
      </w:r>
    </w:p>
  </w:footnote>
  <w:footnote w:id="12">
    <w:p w:rsidR="00A13E82" w:rsidRPr="009D66E3" w14:paraId="184D77C4" w14:textId="77777777">
      <w:pPr>
        <w:pStyle w:val="FootnoteText"/>
      </w:pPr>
      <w:r w:rsidRPr="009D66E3">
        <w:rPr>
          <w:rStyle w:val="FootnoteReference"/>
          <w:sz w:val="20"/>
        </w:rPr>
        <w:footnoteRef/>
      </w:r>
      <w:r w:rsidRPr="009D66E3">
        <w:t xml:space="preserve"> 47 CFR § 90.103(b).  </w:t>
      </w:r>
      <w:r w:rsidRPr="009D66E3">
        <w:rPr>
          <w:i/>
        </w:rPr>
        <w:t>See also</w:t>
      </w:r>
      <w:r w:rsidRPr="009D66E3">
        <w:t xml:space="preserve"> 47 CFR Part 90</w:t>
      </w:r>
      <w:r w:rsidRPr="009D66E3" w:rsidR="00001361">
        <w:t>, subpart F (Radiolocation Service).</w:t>
      </w:r>
    </w:p>
  </w:footnote>
  <w:footnote w:id="13">
    <w:p w:rsidR="00B44964" w:rsidRPr="009D66E3" w:rsidP="00B44964" w14:paraId="6EF8523F" w14:textId="58AC89FA">
      <w:pPr>
        <w:pStyle w:val="FootnoteText"/>
      </w:pPr>
      <w:r w:rsidRPr="009D66E3">
        <w:rPr>
          <w:rStyle w:val="FootnoteReference"/>
          <w:sz w:val="20"/>
        </w:rPr>
        <w:footnoteRef/>
      </w:r>
      <w:r w:rsidRPr="009D66E3">
        <w:t xml:space="preserve"> </w:t>
      </w:r>
      <w:r w:rsidRPr="009D66E3">
        <w:rPr>
          <w:i/>
        </w:rPr>
        <w:t xml:space="preserve">See supra </w:t>
      </w:r>
      <w:r w:rsidRPr="009D66E3">
        <w:t xml:space="preserve">note </w:t>
      </w:r>
      <w:r w:rsidRPr="009D66E3" w:rsidR="008A485E">
        <w:fldChar w:fldCharType="begin"/>
      </w:r>
      <w:r w:rsidRPr="009D66E3" w:rsidR="008A485E">
        <w:instrText xml:space="preserve"> NOTEREF _Ref7109772 </w:instrText>
      </w:r>
      <w:r w:rsidR="009D66E3">
        <w:instrText xml:space="preserve"> \* MERGEFORMAT </w:instrText>
      </w:r>
      <w:r w:rsidRPr="009D66E3" w:rsidR="008A485E">
        <w:fldChar w:fldCharType="separate"/>
      </w:r>
      <w:r w:rsidRPr="009D66E3" w:rsidR="00FA50F2">
        <w:t>2</w:t>
      </w:r>
      <w:r w:rsidRPr="009D66E3" w:rsidR="008A485E">
        <w:fldChar w:fldCharType="end"/>
      </w:r>
      <w:r w:rsidRPr="009D66E3">
        <w:t xml:space="preserve">.  </w:t>
      </w:r>
    </w:p>
  </w:footnote>
  <w:footnote w:id="14">
    <w:p w:rsidR="00FA13F4" w:rsidRPr="009D66E3" w:rsidP="00FA13F4" w14:paraId="477835FE" w14:textId="10531CEE">
      <w:pPr>
        <w:pStyle w:val="FootnoteText"/>
      </w:pPr>
      <w:r w:rsidRPr="009D66E3">
        <w:rPr>
          <w:rStyle w:val="FootnoteReference"/>
          <w:sz w:val="20"/>
        </w:rPr>
        <w:footnoteRef/>
      </w:r>
      <w:r w:rsidRPr="009D66E3">
        <w:t xml:space="preserve"> 47 CFR § 1.925(c).</w:t>
      </w:r>
      <w:r w:rsidRPr="009D66E3" w:rsidR="00660773">
        <w:t xml:space="preserve">  </w:t>
      </w:r>
      <w:r w:rsidRPr="009D66E3" w:rsidR="00660773">
        <w:rPr>
          <w:i/>
        </w:rPr>
        <w:t>See generally</w:t>
      </w:r>
      <w:r w:rsidRPr="009D66E3" w:rsidR="00660773">
        <w:t xml:space="preserve"> 47 CFR §§ 1.415, 1.419.  </w:t>
      </w:r>
    </w:p>
  </w:footnote>
  <w:footnote w:id="15">
    <w:p w:rsidR="00FA13F4" w:rsidRPr="009D66E3" w:rsidP="00FA13F4" w14:paraId="69BC3BE5" w14:textId="77777777">
      <w:pPr>
        <w:pStyle w:val="FootnoteText"/>
      </w:pPr>
      <w:r w:rsidRPr="009D66E3">
        <w:rPr>
          <w:rStyle w:val="FootnoteReference"/>
          <w:sz w:val="20"/>
        </w:rPr>
        <w:footnoteRef/>
      </w:r>
      <w:r w:rsidRPr="009D66E3">
        <w:t xml:space="preserve"> </w:t>
      </w:r>
      <w:r w:rsidRPr="009D66E3">
        <w:rPr>
          <w:i/>
        </w:rPr>
        <w:t>See Electronic Filing of Documents in Rulemaking Proceedings</w:t>
      </w:r>
      <w:r w:rsidRPr="009D66E3">
        <w:t>, 63 FR 24121 (1998).</w:t>
      </w:r>
    </w:p>
  </w:footnote>
  <w:footnote w:id="16">
    <w:p w:rsidR="00FA13F4" w:rsidRPr="009D66E3" w:rsidP="00FA13F4" w14:paraId="7552AC3C" w14:textId="30F0484F">
      <w:pPr>
        <w:pStyle w:val="FootnoteText"/>
        <w:rPr>
          <w:i/>
          <w:iCs/>
        </w:rPr>
      </w:pPr>
      <w:r w:rsidRPr="009D66E3">
        <w:rPr>
          <w:rStyle w:val="FootnoteReference"/>
          <w:sz w:val="20"/>
        </w:rPr>
        <w:footnoteRef/>
      </w:r>
      <w:r w:rsidRPr="009D66E3">
        <w:t xml:space="preserve"> </w:t>
      </w:r>
      <w:r w:rsidRPr="009D66E3" w:rsidR="00DA30F0">
        <w:t>47 CFR § 1.1206(a),</w:t>
      </w:r>
      <w:r w:rsidR="00B122C8">
        <w:t xml:space="preserve"> </w:t>
      </w:r>
      <w:r w:rsidRPr="009D66E3" w:rsidR="00DA30F0">
        <w:t>(b).</w:t>
      </w:r>
      <w:r w:rsidRPr="009D66E3" w:rsidR="00660773">
        <w:t xml:space="preserve">  </w:t>
      </w:r>
      <w:r w:rsidRPr="009D66E3" w:rsidR="00DA30F0">
        <w:t xml:space="preserve">Persons making </w:t>
      </w:r>
      <w:r w:rsidRPr="009D66E3" w:rsidR="00DA30F0">
        <w:rPr>
          <w:i/>
        </w:rPr>
        <w:t xml:space="preserve">ex parte </w:t>
      </w:r>
      <w:r w:rsidRPr="009D66E3" w:rsidR="00DA30F0">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9D66E3" w:rsidR="00DA30F0">
        <w:rPr>
          <w:i/>
          <w:iCs/>
        </w:rPr>
        <w:t xml:space="preserve">ex parte </w:t>
      </w:r>
      <w:r w:rsidRPr="009D66E3" w:rsidR="00DA30F0">
        <w:t xml:space="preserve">presentations are reminded that memoranda summarizing the presentation must (1) list all persons attending or otherwise participating in the meeting at which the </w:t>
      </w:r>
      <w:r w:rsidRPr="009D66E3" w:rsidR="00DA30F0">
        <w:rPr>
          <w:i/>
          <w:iCs/>
        </w:rPr>
        <w:t xml:space="preserve">ex parte </w:t>
      </w:r>
      <w:r w:rsidRPr="009D66E3" w:rsidR="00DA30F0">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D66E3" w:rsidR="00DA30F0">
        <w:rPr>
          <w:i/>
          <w:iCs/>
        </w:rPr>
        <w:t xml:space="preserve">ex parte </w:t>
      </w:r>
      <w:r w:rsidRPr="009D66E3" w:rsidR="00DA30F0">
        <w:t xml:space="preserve">meetings are deemed to be written </w:t>
      </w:r>
      <w:r w:rsidRPr="009D66E3" w:rsidR="00DA30F0">
        <w:rPr>
          <w:i/>
          <w:iCs/>
        </w:rPr>
        <w:t>ex parte</w:t>
      </w:r>
      <w:r w:rsidRPr="009D66E3" w:rsidR="00DA30F0">
        <w:t xml:space="preserve"> presentations and must be filed consistent with rule 1.1206(b).  In proceedings governed by rule 1.49(f) or for which the Commission has made available a method of electronic filing, written </w:t>
      </w:r>
      <w:r w:rsidRPr="009D66E3" w:rsidR="00DA30F0">
        <w:rPr>
          <w:i/>
          <w:iCs/>
        </w:rPr>
        <w:t xml:space="preserve">ex parte </w:t>
      </w:r>
      <w:r w:rsidRPr="009D66E3" w:rsidR="00DA30F0">
        <w:t xml:space="preserve">presentations and memoranda summarizing oral </w:t>
      </w:r>
      <w:r w:rsidRPr="009D66E3" w:rsidR="00DA30F0">
        <w:rPr>
          <w:i/>
          <w:iCs/>
        </w:rPr>
        <w:t xml:space="preserve">ex parte </w:t>
      </w:r>
      <w:r w:rsidRPr="009D66E3" w:rsidR="00DA30F0">
        <w:t>presentations, and all attachments thereto, must be filed through the electronic comment filing system available for that proceeding, and must be filed in their native format (</w:t>
      </w:r>
      <w:r w:rsidRPr="009D66E3" w:rsidR="00DA30F0">
        <w:rPr>
          <w:i/>
          <w:iCs/>
        </w:rPr>
        <w:t>e.g.</w:t>
      </w:r>
      <w:r w:rsidRPr="009D66E3" w:rsidR="00DA30F0">
        <w:t xml:space="preserve">, .doc, .xml, .ppt, searchable .pdf).  Participants in this proceeding should familiarize themselves with the Commission’s </w:t>
      </w:r>
      <w:r w:rsidRPr="009D66E3" w:rsidR="00DA30F0">
        <w:rPr>
          <w:i/>
          <w:iCs/>
        </w:rPr>
        <w:t xml:space="preserve">ex parte </w:t>
      </w:r>
      <w:r w:rsidRPr="009D66E3" w:rsidR="00DA30F0">
        <w:t>rules.</w:t>
      </w:r>
      <w:r w:rsidRPr="009D66E3">
        <w:t xml:space="preserve">47 CFR §§ 1.1200 </w:t>
      </w:r>
      <w:r w:rsidRPr="009D66E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A68C9C5" w14:textId="7CA08529">
    <w:pPr>
      <w:tabs>
        <w:tab w:val="center" w:pos="4680"/>
        <w:tab w:val="right" w:pos="9360"/>
      </w:tabs>
    </w:pPr>
    <w:r w:rsidRPr="009838BC">
      <w:rPr>
        <w:b/>
      </w:rPr>
      <w:tab/>
      <w:t>Federal Communications Commission</w:t>
    </w:r>
    <w:r w:rsidRPr="009838BC">
      <w:rPr>
        <w:b/>
      </w:rPr>
      <w:tab/>
    </w:r>
    <w:r w:rsidR="009C3EB2">
      <w:rPr>
        <w:b/>
      </w:rPr>
      <w:t>DA 19</w:t>
    </w:r>
    <w:r w:rsidR="00C6340E">
      <w:rPr>
        <w:b/>
      </w:rPr>
      <w:t>-518</w:t>
    </w:r>
  </w:p>
  <w:p w:rsidR="009838BC" w:rsidRPr="009838BC" w:rsidP="009838BC" w14:paraId="71114190" w14:textId="77777777">
    <w:pPr>
      <w:tabs>
        <w:tab w:val="left" w:pos="-720"/>
      </w:tabs>
      <w:suppressAutoHyphens/>
      <w:spacing w:line="19" w:lineRule="exact"/>
      <w:rPr>
        <w:spacing w:val="-2"/>
      </w:rPr>
    </w:pPr>
    <w:r>
      <w:rPr>
        <w:noProof/>
        <w:lang w:eastAsia="ko-KR"/>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E0D179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134E1DD" w14:textId="77777777">
    <w:pPr>
      <w:spacing w:before="40"/>
      <w:rPr>
        <w:rFonts w:ascii="Arial" w:hAnsi="Arial" w:cs="Arial"/>
        <w:b/>
        <w:sz w:val="96"/>
      </w:rPr>
    </w:pPr>
    <w:r>
      <w:rPr>
        <w:noProof/>
        <w:lang w:eastAsia="ko-KR"/>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3035E8AA" w14:textId="77777777">
                    <w:pPr>
                      <w:rPr>
                        <w:rFonts w:ascii="Arial" w:hAnsi="Arial"/>
                        <w:b/>
                      </w:rPr>
                    </w:pPr>
                    <w:r>
                      <w:rPr>
                        <w:rFonts w:ascii="Arial" w:hAnsi="Arial"/>
                        <w:b/>
                      </w:rPr>
                      <w:t>Federal Communications Commission</w:t>
                    </w:r>
                  </w:p>
                  <w:p w:rsidR="009838BC" w:rsidP="009838BC" w14:paraId="1F2B7EF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2B2FFA8" w14:textId="77777777">
                    <w:pPr>
                      <w:rPr>
                        <w:rFonts w:ascii="Arial" w:hAnsi="Arial"/>
                        <w:sz w:val="24"/>
                      </w:rPr>
                    </w:pPr>
                    <w:r>
                      <w:rPr>
                        <w:rFonts w:ascii="Arial" w:hAnsi="Arial"/>
                        <w:b/>
                      </w:rPr>
                      <w:t>Washington, D.C. 20554</w:t>
                    </w:r>
                  </w:p>
                </w:txbxContent>
              </v:textbox>
              <w10:wrap anchorx="margin"/>
            </v:shape>
          </w:pict>
        </mc:Fallback>
      </mc:AlternateContent>
    </w:r>
    <w:r>
      <w:rPr>
        <w:noProof/>
        <w:lang w:eastAsia="ko-KR"/>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52676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14C9C935" w14:textId="77777777">
    <w:pPr>
      <w:spacing w:before="40"/>
      <w:rPr>
        <w:rFonts w:ascii="Arial" w:hAnsi="Arial" w:cs="Arial"/>
        <w:b/>
        <w:sz w:val="96"/>
      </w:rPr>
    </w:pPr>
    <w:r>
      <w:rPr>
        <w:noProof/>
        <w:lang w:eastAsia="ko-KR"/>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lang w:eastAsia="ko-KR"/>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02D22023" w14:textId="77777777">
                    <w:pPr>
                      <w:spacing w:before="40"/>
                      <w:jc w:val="right"/>
                      <w:rPr>
                        <w:rFonts w:ascii="Arial" w:hAnsi="Arial"/>
                        <w:b/>
                        <w:sz w:val="16"/>
                      </w:rPr>
                    </w:pPr>
                    <w:r>
                      <w:rPr>
                        <w:rFonts w:ascii="Arial" w:hAnsi="Arial"/>
                        <w:b/>
                        <w:sz w:val="16"/>
                      </w:rPr>
                      <w:t>News Media Information 202 / 418-0500</w:t>
                    </w:r>
                  </w:p>
                  <w:p w:rsidR="009838BC" w:rsidP="009838BC" w14:paraId="522786A7"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51658764" w14:textId="77777777">
                    <w:pPr>
                      <w:jc w:val="right"/>
                    </w:pPr>
                    <w:r>
                      <w:rPr>
                        <w:rFonts w:ascii="Arial" w:hAnsi="Arial"/>
                        <w:b/>
                        <w:sz w:val="16"/>
                      </w:rPr>
                      <w:t>TTY: 1-888-835-5322</w:t>
                    </w:r>
                  </w:p>
                </w:txbxContent>
              </v:textbox>
            </v:shape>
          </w:pict>
        </mc:Fallback>
      </mc:AlternateContent>
    </w:r>
  </w:p>
  <w:p w:rsidR="006F7393" w:rsidRPr="009838BC" w:rsidP="009838BC" w14:paraId="1C38BBB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BE740CE"/>
    <w:multiLevelType w:val="hybridMultilevel"/>
    <w:tmpl w:val="B998B5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08353DA"/>
    <w:multiLevelType w:val="hybridMultilevel"/>
    <w:tmpl w:val="25BE5430"/>
    <w:lvl w:ilvl="0">
      <w:start w:val="0"/>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6EF2039F"/>
    <w:multiLevelType w:val="hybridMultilevel"/>
    <w:tmpl w:val="23409A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F0406EE"/>
    <w:multiLevelType w:val="hybridMultilevel"/>
    <w:tmpl w:val="749E4CE6"/>
    <w:lvl w:ilvl="0">
      <w:start w:val="1"/>
      <w:numFmt w:val="bullet"/>
      <w:lvlText w:val=""/>
      <w:lvlJc w:val="left"/>
      <w:pPr>
        <w:tabs>
          <w:tab w:val="num" w:pos="1350"/>
        </w:tabs>
        <w:ind w:left="1350" w:hanging="360"/>
      </w:pPr>
      <w:rPr>
        <w:rFonts w:ascii="Wingdings" w:hAnsi="Wingdings" w:hint="default"/>
      </w:rPr>
    </w:lvl>
    <w:lvl w:ilvl="1">
      <w:start w:val="1"/>
      <w:numFmt w:val="decimal"/>
      <w:lvlText w:val="(%2)"/>
      <w:lvlJc w:val="left"/>
      <w:pPr>
        <w:tabs>
          <w:tab w:val="num" w:pos="2070"/>
        </w:tabs>
        <w:ind w:left="2070" w:hanging="360"/>
      </w:pPr>
      <w:rPr>
        <w:rFonts w:hint="default"/>
      </w:rPr>
    </w:lvl>
    <w:lvl w:ilvl="2">
      <w:start w:val="1"/>
      <w:numFmt w:val="lowerRoman"/>
      <w:lvlText w:val="%3."/>
      <w:lvlJc w:val="right"/>
      <w:pPr>
        <w:tabs>
          <w:tab w:val="num" w:pos="2790"/>
        </w:tabs>
        <w:ind w:left="2790" w:hanging="180"/>
      </w:pPr>
    </w:lvl>
    <w:lvl w:ilvl="3">
      <w:start w:val="0"/>
      <w:numFmt w:val="bullet"/>
      <w:lvlText w:val="-"/>
      <w:lvlJc w:val="left"/>
      <w:pPr>
        <w:tabs>
          <w:tab w:val="num" w:pos="1350"/>
        </w:tabs>
        <w:ind w:left="1350" w:hanging="360"/>
      </w:pPr>
      <w:rPr>
        <w:rFonts w:ascii="Times New Roman" w:eastAsia="Times New Roman" w:hAnsi="Times New Roman" w:cs="Times New Roman" w:hint="default"/>
      </w:rPr>
    </w:lvl>
    <w:lvl w:ilvl="4">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num w:numId="1">
    <w:abstractNumId w:val="3"/>
  </w:num>
  <w:num w:numId="2">
    <w:abstractNumId w:val="9"/>
  </w:num>
  <w:num w:numId="3">
    <w:abstractNumId w:val="5"/>
  </w:num>
  <w:num w:numId="4">
    <w:abstractNumId w:val="7"/>
  </w:num>
  <w:num w:numId="5">
    <w:abstractNumId w:val="4"/>
  </w:num>
  <w:num w:numId="6">
    <w:abstractNumId w:val="1"/>
  </w:num>
  <w:num w:numId="7">
    <w:abstractNumId w:val="2"/>
  </w:num>
  <w:num w:numId="8">
    <w:abstractNumId w:val="10"/>
  </w:num>
  <w:num w:numId="9">
    <w:abstractNumId w:val="12"/>
  </w:num>
  <w:num w:numId="10">
    <w:abstractNumId w:val="0"/>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69C"/>
    <w:rsid w:val="00001361"/>
    <w:rsid w:val="000072CE"/>
    <w:rsid w:val="00013A8B"/>
    <w:rsid w:val="00021445"/>
    <w:rsid w:val="00021E05"/>
    <w:rsid w:val="00024D90"/>
    <w:rsid w:val="00036022"/>
    <w:rsid w:val="00036039"/>
    <w:rsid w:val="00037F90"/>
    <w:rsid w:val="00042E2B"/>
    <w:rsid w:val="00051549"/>
    <w:rsid w:val="0005732B"/>
    <w:rsid w:val="000618E6"/>
    <w:rsid w:val="0007217F"/>
    <w:rsid w:val="000738BE"/>
    <w:rsid w:val="00080564"/>
    <w:rsid w:val="000875BF"/>
    <w:rsid w:val="00096970"/>
    <w:rsid w:val="00096D8C"/>
    <w:rsid w:val="000A59CD"/>
    <w:rsid w:val="000C0B65"/>
    <w:rsid w:val="000C2B28"/>
    <w:rsid w:val="000D7702"/>
    <w:rsid w:val="000E3D42"/>
    <w:rsid w:val="000E5884"/>
    <w:rsid w:val="000F255E"/>
    <w:rsid w:val="0010450D"/>
    <w:rsid w:val="00117009"/>
    <w:rsid w:val="00122BD5"/>
    <w:rsid w:val="001246C6"/>
    <w:rsid w:val="00144F30"/>
    <w:rsid w:val="00163D46"/>
    <w:rsid w:val="00192680"/>
    <w:rsid w:val="001979D9"/>
    <w:rsid w:val="001A4917"/>
    <w:rsid w:val="001C6CF8"/>
    <w:rsid w:val="001D6BCF"/>
    <w:rsid w:val="001E01CA"/>
    <w:rsid w:val="001E55EC"/>
    <w:rsid w:val="002060D9"/>
    <w:rsid w:val="002066A2"/>
    <w:rsid w:val="002240FD"/>
    <w:rsid w:val="00226822"/>
    <w:rsid w:val="002442C4"/>
    <w:rsid w:val="00260594"/>
    <w:rsid w:val="002617CA"/>
    <w:rsid w:val="00285017"/>
    <w:rsid w:val="002871BE"/>
    <w:rsid w:val="002A2D2E"/>
    <w:rsid w:val="002A4AE2"/>
    <w:rsid w:val="002D11E8"/>
    <w:rsid w:val="002D5F7F"/>
    <w:rsid w:val="002E22BF"/>
    <w:rsid w:val="002F120A"/>
    <w:rsid w:val="0031203A"/>
    <w:rsid w:val="003252F5"/>
    <w:rsid w:val="0033569C"/>
    <w:rsid w:val="00343749"/>
    <w:rsid w:val="00357D50"/>
    <w:rsid w:val="003738A5"/>
    <w:rsid w:val="003925DC"/>
    <w:rsid w:val="003A1B9C"/>
    <w:rsid w:val="003B0550"/>
    <w:rsid w:val="003B694F"/>
    <w:rsid w:val="003F171C"/>
    <w:rsid w:val="004057EB"/>
    <w:rsid w:val="00412FC5"/>
    <w:rsid w:val="00422276"/>
    <w:rsid w:val="004242F1"/>
    <w:rsid w:val="00440DD9"/>
    <w:rsid w:val="00445A00"/>
    <w:rsid w:val="00446538"/>
    <w:rsid w:val="00451B0F"/>
    <w:rsid w:val="0046125F"/>
    <w:rsid w:val="00487524"/>
    <w:rsid w:val="00496106"/>
    <w:rsid w:val="004A70FC"/>
    <w:rsid w:val="004B1467"/>
    <w:rsid w:val="004C12D0"/>
    <w:rsid w:val="004C2EE3"/>
    <w:rsid w:val="004E4A22"/>
    <w:rsid w:val="004E500B"/>
    <w:rsid w:val="00511968"/>
    <w:rsid w:val="00515A49"/>
    <w:rsid w:val="005461DC"/>
    <w:rsid w:val="0055614C"/>
    <w:rsid w:val="005B0871"/>
    <w:rsid w:val="005C67FB"/>
    <w:rsid w:val="005F6B47"/>
    <w:rsid w:val="00607BA5"/>
    <w:rsid w:val="00626EB6"/>
    <w:rsid w:val="006353A3"/>
    <w:rsid w:val="00647402"/>
    <w:rsid w:val="00655D03"/>
    <w:rsid w:val="00660773"/>
    <w:rsid w:val="0067681D"/>
    <w:rsid w:val="00683F84"/>
    <w:rsid w:val="0068478E"/>
    <w:rsid w:val="00696B8F"/>
    <w:rsid w:val="006A6A81"/>
    <w:rsid w:val="006C083A"/>
    <w:rsid w:val="006E26AF"/>
    <w:rsid w:val="006E3785"/>
    <w:rsid w:val="006F7393"/>
    <w:rsid w:val="0070224F"/>
    <w:rsid w:val="00706948"/>
    <w:rsid w:val="00707D37"/>
    <w:rsid w:val="007115F7"/>
    <w:rsid w:val="00724189"/>
    <w:rsid w:val="00732AF1"/>
    <w:rsid w:val="0074524B"/>
    <w:rsid w:val="00770909"/>
    <w:rsid w:val="0077366A"/>
    <w:rsid w:val="00785689"/>
    <w:rsid w:val="00795FEF"/>
    <w:rsid w:val="0079754B"/>
    <w:rsid w:val="007A1E6D"/>
    <w:rsid w:val="00822CE0"/>
    <w:rsid w:val="00830AAB"/>
    <w:rsid w:val="00837C62"/>
    <w:rsid w:val="00841AB1"/>
    <w:rsid w:val="0086241A"/>
    <w:rsid w:val="008635A9"/>
    <w:rsid w:val="00864BCC"/>
    <w:rsid w:val="008A32B5"/>
    <w:rsid w:val="008A485E"/>
    <w:rsid w:val="008A6960"/>
    <w:rsid w:val="008A6ABC"/>
    <w:rsid w:val="008C22FD"/>
    <w:rsid w:val="008D367D"/>
    <w:rsid w:val="008D4A55"/>
    <w:rsid w:val="008E1C61"/>
    <w:rsid w:val="008E1FB1"/>
    <w:rsid w:val="0090722B"/>
    <w:rsid w:val="00910F12"/>
    <w:rsid w:val="00926503"/>
    <w:rsid w:val="00926839"/>
    <w:rsid w:val="00930ECF"/>
    <w:rsid w:val="00941D5D"/>
    <w:rsid w:val="009524D0"/>
    <w:rsid w:val="009554DC"/>
    <w:rsid w:val="00974F77"/>
    <w:rsid w:val="009838BC"/>
    <w:rsid w:val="009A21F7"/>
    <w:rsid w:val="009A4658"/>
    <w:rsid w:val="009B5803"/>
    <w:rsid w:val="009C3EB2"/>
    <w:rsid w:val="009D66E3"/>
    <w:rsid w:val="009E444B"/>
    <w:rsid w:val="00A1137A"/>
    <w:rsid w:val="00A13E82"/>
    <w:rsid w:val="00A33D63"/>
    <w:rsid w:val="00A379D7"/>
    <w:rsid w:val="00A43458"/>
    <w:rsid w:val="00A45F4F"/>
    <w:rsid w:val="00A600A9"/>
    <w:rsid w:val="00A645BD"/>
    <w:rsid w:val="00A67832"/>
    <w:rsid w:val="00A73CE0"/>
    <w:rsid w:val="00A866AC"/>
    <w:rsid w:val="00A9024F"/>
    <w:rsid w:val="00A911C5"/>
    <w:rsid w:val="00AA15FA"/>
    <w:rsid w:val="00AA55B7"/>
    <w:rsid w:val="00AA5B9E"/>
    <w:rsid w:val="00AB2407"/>
    <w:rsid w:val="00AB53DF"/>
    <w:rsid w:val="00AD0678"/>
    <w:rsid w:val="00AF07E7"/>
    <w:rsid w:val="00AF6BEE"/>
    <w:rsid w:val="00B07E5C"/>
    <w:rsid w:val="00B122C8"/>
    <w:rsid w:val="00B25A05"/>
    <w:rsid w:val="00B326E3"/>
    <w:rsid w:val="00B40FBB"/>
    <w:rsid w:val="00B44964"/>
    <w:rsid w:val="00B53DAE"/>
    <w:rsid w:val="00B811F7"/>
    <w:rsid w:val="00BA5DC6"/>
    <w:rsid w:val="00BA6196"/>
    <w:rsid w:val="00BB5C16"/>
    <w:rsid w:val="00BC6D8C"/>
    <w:rsid w:val="00BE2B03"/>
    <w:rsid w:val="00BE2F99"/>
    <w:rsid w:val="00BF5CBD"/>
    <w:rsid w:val="00C16AF2"/>
    <w:rsid w:val="00C244A8"/>
    <w:rsid w:val="00C34006"/>
    <w:rsid w:val="00C426B1"/>
    <w:rsid w:val="00C6340E"/>
    <w:rsid w:val="00C77FCD"/>
    <w:rsid w:val="00C82B6B"/>
    <w:rsid w:val="00C87650"/>
    <w:rsid w:val="00C90D6A"/>
    <w:rsid w:val="00CC72B6"/>
    <w:rsid w:val="00D0218D"/>
    <w:rsid w:val="00D15FA5"/>
    <w:rsid w:val="00D216CD"/>
    <w:rsid w:val="00D26980"/>
    <w:rsid w:val="00D71C30"/>
    <w:rsid w:val="00D9372F"/>
    <w:rsid w:val="00DA2529"/>
    <w:rsid w:val="00DA30F0"/>
    <w:rsid w:val="00DB130A"/>
    <w:rsid w:val="00DC10A1"/>
    <w:rsid w:val="00DC655F"/>
    <w:rsid w:val="00DD7EBD"/>
    <w:rsid w:val="00DE3B0D"/>
    <w:rsid w:val="00DF62B6"/>
    <w:rsid w:val="00E0116D"/>
    <w:rsid w:val="00E07225"/>
    <w:rsid w:val="00E155B7"/>
    <w:rsid w:val="00E45329"/>
    <w:rsid w:val="00E5191C"/>
    <w:rsid w:val="00E5409F"/>
    <w:rsid w:val="00E87D4D"/>
    <w:rsid w:val="00E97F48"/>
    <w:rsid w:val="00EA0CCF"/>
    <w:rsid w:val="00EA60C4"/>
    <w:rsid w:val="00EA7EC1"/>
    <w:rsid w:val="00EC0185"/>
    <w:rsid w:val="00F021FA"/>
    <w:rsid w:val="00F04720"/>
    <w:rsid w:val="00F10474"/>
    <w:rsid w:val="00F17FEE"/>
    <w:rsid w:val="00F21360"/>
    <w:rsid w:val="00F24480"/>
    <w:rsid w:val="00F57ACA"/>
    <w:rsid w:val="00F62E97"/>
    <w:rsid w:val="00F64209"/>
    <w:rsid w:val="00F70798"/>
    <w:rsid w:val="00F92A46"/>
    <w:rsid w:val="00F93BF5"/>
    <w:rsid w:val="00F96F63"/>
    <w:rsid w:val="00F971A4"/>
    <w:rsid w:val="00FA13F4"/>
    <w:rsid w:val="00FA2F5C"/>
    <w:rsid w:val="00FA50F2"/>
    <w:rsid w:val="00FB4CD2"/>
    <w:rsid w:val="00FC5372"/>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ALTS FOOTNOTE,Footnote Text Char Char Char Char,Footnote Text Char1,Footnote Text Char1 Char Char,Footnote Text Char1 Char Char Char Char Char Char,Footnote Text Char1 Char2 Char Char Char,Footnote Text Char2 Char,Styl,f,fn"/>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515A49"/>
    <w:pPr>
      <w:ind w:left="720"/>
      <w:contextualSpacing/>
    </w:pPr>
  </w:style>
  <w:style w:type="paragraph" w:customStyle="1" w:styleId="Default">
    <w:name w:val="Default"/>
    <w:rsid w:val="00EA7EC1"/>
    <w:pPr>
      <w:autoSpaceDE w:val="0"/>
      <w:autoSpaceDN w:val="0"/>
      <w:adjustRightInd w:val="0"/>
    </w:pPr>
    <w:rPr>
      <w:color w:val="000000"/>
      <w:sz w:val="24"/>
      <w:szCs w:val="24"/>
    </w:rPr>
  </w:style>
  <w:style w:type="character" w:customStyle="1" w:styleId="FootnoteTextChar">
    <w:name w:val="Footnote Text Char"/>
    <w:aliases w:val="ALTS FOOTNOT Char,ALTS FOOTNOTE Char,Footnote Text Char Char Char Char Char,Footnote Text Char1 Char,Footnote Text Char1 Char Char Char,Footnote Text Char1 Char Char Char Char Char Char Char,Footnote Text Char2 Char Char,Styl Char"/>
    <w:link w:val="FootnoteText"/>
    <w:rsid w:val="00EA7EC1"/>
  </w:style>
  <w:style w:type="character" w:styleId="CommentReference">
    <w:name w:val="annotation reference"/>
    <w:basedOn w:val="DefaultParagraphFont"/>
    <w:uiPriority w:val="99"/>
    <w:semiHidden/>
    <w:unhideWhenUsed/>
    <w:rsid w:val="00D9372F"/>
    <w:rPr>
      <w:sz w:val="16"/>
      <w:szCs w:val="16"/>
    </w:rPr>
  </w:style>
  <w:style w:type="paragraph" w:styleId="CommentText">
    <w:name w:val="annotation text"/>
    <w:basedOn w:val="Normal"/>
    <w:link w:val="CommentTextChar"/>
    <w:uiPriority w:val="99"/>
    <w:semiHidden/>
    <w:unhideWhenUsed/>
    <w:rsid w:val="00D9372F"/>
    <w:rPr>
      <w:sz w:val="20"/>
    </w:rPr>
  </w:style>
  <w:style w:type="character" w:customStyle="1" w:styleId="CommentTextChar">
    <w:name w:val="Comment Text Char"/>
    <w:basedOn w:val="DefaultParagraphFont"/>
    <w:link w:val="CommentText"/>
    <w:uiPriority w:val="99"/>
    <w:semiHidden/>
    <w:rsid w:val="00D9372F"/>
    <w:rPr>
      <w:snapToGrid w:val="0"/>
      <w:kern w:val="28"/>
    </w:rPr>
  </w:style>
  <w:style w:type="paragraph" w:styleId="CommentSubject">
    <w:name w:val="annotation subject"/>
    <w:basedOn w:val="CommentText"/>
    <w:next w:val="CommentText"/>
    <w:link w:val="CommentSubjectChar"/>
    <w:uiPriority w:val="99"/>
    <w:semiHidden/>
    <w:unhideWhenUsed/>
    <w:rsid w:val="00D9372F"/>
    <w:rPr>
      <w:b/>
      <w:bCs/>
    </w:rPr>
  </w:style>
  <w:style w:type="character" w:customStyle="1" w:styleId="CommentSubjectChar">
    <w:name w:val="Comment Subject Char"/>
    <w:basedOn w:val="CommentTextChar"/>
    <w:link w:val="CommentSubject"/>
    <w:uiPriority w:val="99"/>
    <w:semiHidden/>
    <w:rsid w:val="00D9372F"/>
    <w:rPr>
      <w:b/>
      <w:bCs/>
      <w:snapToGrid w:val="0"/>
      <w:kern w:val="28"/>
    </w:rPr>
  </w:style>
  <w:style w:type="paragraph" w:styleId="BalloonText">
    <w:name w:val="Balloon Text"/>
    <w:basedOn w:val="Normal"/>
    <w:link w:val="BalloonTextChar"/>
    <w:uiPriority w:val="99"/>
    <w:semiHidden/>
    <w:unhideWhenUsed/>
    <w:rsid w:val="00D937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72F"/>
    <w:rPr>
      <w:rFonts w:ascii="Segoe UI" w:hAnsi="Segoe UI" w:cs="Segoe UI"/>
      <w:snapToGrid w:val="0"/>
      <w:kern w:val="28"/>
      <w:sz w:val="18"/>
      <w:szCs w:val="18"/>
    </w:rPr>
  </w:style>
  <w:style w:type="character" w:customStyle="1" w:styleId="UnresolvedMention1">
    <w:name w:val="Unresolved Mention1"/>
    <w:basedOn w:val="DefaultParagraphFont"/>
    <w:uiPriority w:val="99"/>
    <w:semiHidden/>
    <w:unhideWhenUsed/>
    <w:rsid w:val="008E1C61"/>
    <w:rPr>
      <w:color w:val="605E5C"/>
      <w:shd w:val="clear" w:color="auto" w:fill="E1DFDD"/>
    </w:rPr>
  </w:style>
  <w:style w:type="paragraph" w:styleId="Revision">
    <w:name w:val="Revision"/>
    <w:hidden/>
    <w:uiPriority w:val="99"/>
    <w:semiHidden/>
    <w:rsid w:val="005B0871"/>
    <w:rPr>
      <w:snapToGrid w:val="0"/>
      <w:kern w:val="28"/>
      <w:sz w:val="22"/>
    </w:rPr>
  </w:style>
  <w:style w:type="character" w:customStyle="1" w:styleId="UnresolvedMention">
    <w:name w:val="Unresolved Mention"/>
    <w:basedOn w:val="DefaultParagraphFont"/>
    <w:uiPriority w:val="99"/>
    <w:rsid w:val="00AD0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charles.oliver@fcc.gov" TargetMode="External" /><Relationship Id="rId8" Type="http://schemas.openxmlformats.org/officeDocument/2006/relationships/hyperlink" Target="mailto:nicholas.oros@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