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46E7" w:rsidRPr="005B4A0F" w:rsidP="00A02DF2" w14:paraId="4E2EA200" w14:textId="1C90DDE7">
      <w:pPr>
        <w:tabs>
          <w:tab w:val="left" w:pos="-1440"/>
          <w:tab w:val="left" w:pos="-720"/>
          <w:tab w:val="left" w:pos="4788"/>
          <w:tab w:val="left" w:pos="5040"/>
          <w:tab w:val="left" w:pos="6480"/>
        </w:tabs>
        <w:suppressAutoHyphens/>
        <w:outlineLvl w:val="0"/>
        <w:rPr>
          <w:b/>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B4A0F">
        <w:rPr>
          <w:b/>
          <w:color w:val="000000"/>
          <w:sz w:val="22"/>
          <w:szCs w:val="22"/>
        </w:rPr>
        <w:t xml:space="preserve">DA </w:t>
      </w:r>
      <w:r w:rsidRPr="00BD114B" w:rsidR="00BD114B">
        <w:rPr>
          <w:b/>
          <w:color w:val="000000"/>
          <w:sz w:val="22"/>
          <w:szCs w:val="22"/>
        </w:rPr>
        <w:t>19-520</w:t>
      </w:r>
      <w:bookmarkStart w:id="0" w:name="_GoBack"/>
      <w:bookmarkEnd w:id="0"/>
    </w:p>
    <w:p w:rsidR="00633232" w:rsidRPr="007646E7" w:rsidP="00A02DF2" w14:paraId="6E09CBE3" w14:textId="77777777">
      <w:pPr>
        <w:tabs>
          <w:tab w:val="left" w:pos="-1440"/>
          <w:tab w:val="left" w:pos="-720"/>
          <w:tab w:val="left" w:pos="4788"/>
          <w:tab w:val="left" w:pos="5040"/>
          <w:tab w:val="left" w:pos="6480"/>
        </w:tabs>
        <w:suppressAutoHyphens/>
        <w:outlineLvl w:val="0"/>
        <w:rPr>
          <w:b/>
          <w:i/>
          <w:color w:val="000000"/>
          <w:sz w:val="22"/>
          <w:szCs w:val="22"/>
        </w:rPr>
      </w:pPr>
      <w:r>
        <w:rPr>
          <w:i/>
          <w:color w:val="000000"/>
          <w:sz w:val="22"/>
          <w:szCs w:val="22"/>
        </w:rPr>
        <w:tab/>
      </w:r>
      <w:r>
        <w:rPr>
          <w:i/>
          <w:color w:val="000000"/>
          <w:sz w:val="22"/>
          <w:szCs w:val="22"/>
        </w:rPr>
        <w:tab/>
      </w:r>
      <w:r>
        <w:rPr>
          <w:i/>
          <w:color w:val="000000"/>
          <w:sz w:val="22"/>
          <w:szCs w:val="22"/>
        </w:rPr>
        <w:tab/>
      </w:r>
      <w:r w:rsidRPr="007646E7">
        <w:rPr>
          <w:b/>
          <w:i/>
          <w:color w:val="000000"/>
          <w:sz w:val="22"/>
          <w:szCs w:val="22"/>
        </w:rPr>
        <w:t>In Reply Refer to:</w:t>
      </w:r>
    </w:p>
    <w:p w:rsidR="003C15D9" w:rsidP="00991028" w14:paraId="08DFC744" w14:textId="77777777">
      <w:pPr>
        <w:tabs>
          <w:tab w:val="left" w:pos="0"/>
          <w:tab w:val="left" w:pos="6480"/>
        </w:tabs>
        <w:suppressAutoHyphens/>
        <w:outlineLvl w:val="0"/>
        <w:rPr>
          <w:color w:val="000000"/>
          <w:sz w:val="22"/>
          <w:szCs w:val="22"/>
        </w:rPr>
      </w:pPr>
      <w:r w:rsidRPr="005675BC">
        <w:rPr>
          <w:color w:val="000000"/>
          <w:sz w:val="22"/>
          <w:szCs w:val="22"/>
        </w:rPr>
        <w:tab/>
      </w:r>
      <w:r w:rsidRPr="005675BC" w:rsidR="005A1DF8">
        <w:rPr>
          <w:b/>
          <w:sz w:val="22"/>
          <w:szCs w:val="22"/>
        </w:rPr>
        <w:t>1800B3-CEG</w:t>
      </w:r>
      <w:r w:rsidRPr="005675BC" w:rsidR="00C450BE">
        <w:rPr>
          <w:color w:val="000000"/>
          <w:sz w:val="22"/>
          <w:szCs w:val="22"/>
        </w:rPr>
        <w:tab/>
      </w:r>
    </w:p>
    <w:p w:rsidR="007D0F5C" w:rsidRPr="005675BC" w:rsidP="00991028" w14:paraId="0BEC42AA" w14:textId="6B7D8D92">
      <w:pPr>
        <w:tabs>
          <w:tab w:val="left" w:pos="0"/>
          <w:tab w:val="left" w:pos="6480"/>
        </w:tabs>
        <w:suppressAutoHyphens/>
        <w:outlineLvl w:val="0"/>
        <w:rPr>
          <w:color w:val="000000"/>
          <w:sz w:val="22"/>
          <w:szCs w:val="22"/>
        </w:rPr>
      </w:pPr>
      <w:r>
        <w:rPr>
          <w:color w:val="000000"/>
          <w:sz w:val="22"/>
          <w:szCs w:val="22"/>
        </w:rPr>
        <w:tab/>
      </w:r>
      <w:r w:rsidRPr="007646E7">
        <w:rPr>
          <w:color w:val="000000"/>
          <w:sz w:val="22"/>
          <w:szCs w:val="22"/>
        </w:rPr>
        <w:t>Released</w:t>
      </w:r>
      <w:r w:rsidRPr="007646E7" w:rsidR="007646E7">
        <w:rPr>
          <w:color w:val="000000"/>
          <w:sz w:val="22"/>
          <w:szCs w:val="22"/>
        </w:rPr>
        <w:t>:</w:t>
      </w:r>
      <w:r>
        <w:rPr>
          <w:color w:val="000000"/>
          <w:sz w:val="22"/>
          <w:szCs w:val="22"/>
        </w:rPr>
        <w:t xml:space="preserve"> </w:t>
      </w:r>
      <w:r w:rsidRPr="005B4A0F" w:rsidR="005B4A0F">
        <w:rPr>
          <w:color w:val="000000"/>
          <w:sz w:val="22"/>
          <w:szCs w:val="22"/>
        </w:rPr>
        <w:t>June 5, 2019</w:t>
      </w:r>
    </w:p>
    <w:p w:rsidR="007646E7" w:rsidP="009969F6" w14:paraId="01C627C3" w14:textId="7F6C7BB4">
      <w:pPr>
        <w:tabs>
          <w:tab w:val="left" w:pos="0"/>
        </w:tabs>
        <w:suppressAutoHyphens/>
        <w:ind w:left="5040" w:hanging="5040"/>
        <w:rPr>
          <w:sz w:val="22"/>
          <w:szCs w:val="22"/>
        </w:rPr>
      </w:pPr>
      <w:r>
        <w:rPr>
          <w:sz w:val="22"/>
          <w:szCs w:val="22"/>
        </w:rPr>
        <w:t xml:space="preserve">Aaron P. </w:t>
      </w:r>
      <w:r>
        <w:rPr>
          <w:sz w:val="22"/>
          <w:szCs w:val="22"/>
        </w:rPr>
        <w:t>Shainis</w:t>
      </w:r>
      <w:r>
        <w:rPr>
          <w:sz w:val="22"/>
          <w:szCs w:val="22"/>
        </w:rPr>
        <w:t>, Esq.</w:t>
      </w:r>
    </w:p>
    <w:p w:rsidR="009969F6" w:rsidP="009969F6" w14:paraId="29F01991" w14:textId="77777777">
      <w:pPr>
        <w:tabs>
          <w:tab w:val="left" w:pos="0"/>
        </w:tabs>
        <w:suppressAutoHyphens/>
        <w:ind w:left="5040" w:hanging="5040"/>
        <w:rPr>
          <w:sz w:val="22"/>
          <w:szCs w:val="22"/>
        </w:rPr>
      </w:pPr>
      <w:r>
        <w:rPr>
          <w:sz w:val="22"/>
          <w:szCs w:val="22"/>
        </w:rPr>
        <w:t xml:space="preserve">Shainis &amp; Peltzman, Chartered </w:t>
      </w:r>
    </w:p>
    <w:p w:rsidR="009969F6" w:rsidP="009969F6" w14:paraId="7B118C38" w14:textId="77777777">
      <w:pPr>
        <w:tabs>
          <w:tab w:val="left" w:pos="0"/>
        </w:tabs>
        <w:suppressAutoHyphens/>
        <w:ind w:left="5040" w:hanging="5040"/>
        <w:rPr>
          <w:sz w:val="22"/>
          <w:szCs w:val="22"/>
        </w:rPr>
      </w:pPr>
      <w:r>
        <w:rPr>
          <w:sz w:val="22"/>
          <w:szCs w:val="22"/>
        </w:rPr>
        <w:t>1850 M Street NW Suite 240</w:t>
      </w:r>
    </w:p>
    <w:p w:rsidR="009969F6" w:rsidP="009969F6" w14:paraId="6B3D2831" w14:textId="77777777">
      <w:pPr>
        <w:tabs>
          <w:tab w:val="left" w:pos="0"/>
        </w:tabs>
        <w:suppressAutoHyphens/>
        <w:ind w:left="5040" w:hanging="5040"/>
        <w:rPr>
          <w:sz w:val="22"/>
          <w:szCs w:val="22"/>
        </w:rPr>
      </w:pPr>
      <w:r>
        <w:rPr>
          <w:sz w:val="22"/>
          <w:szCs w:val="22"/>
        </w:rPr>
        <w:t>Washington, DC 20036</w:t>
      </w:r>
    </w:p>
    <w:p w:rsidR="009969F6" w:rsidRPr="00E6665D" w:rsidP="009969F6" w14:paraId="243BD6B7" w14:textId="77777777">
      <w:pPr>
        <w:tabs>
          <w:tab w:val="left" w:pos="0"/>
        </w:tabs>
        <w:suppressAutoHyphens/>
        <w:ind w:left="5040" w:hanging="5040"/>
        <w:rPr>
          <w:sz w:val="22"/>
          <w:szCs w:val="22"/>
        </w:rPr>
      </w:pPr>
    </w:p>
    <w:p w:rsidR="00B73D78" w:rsidP="006E4F48" w14:paraId="26A8E826" w14:textId="4E756E28">
      <w:pPr>
        <w:tabs>
          <w:tab w:val="left" w:pos="0"/>
        </w:tabs>
        <w:suppressAutoHyphens/>
        <w:ind w:left="5040" w:hanging="5040"/>
        <w:rPr>
          <w:sz w:val="22"/>
          <w:szCs w:val="22"/>
        </w:rPr>
      </w:pPr>
      <w:r>
        <w:rPr>
          <w:sz w:val="22"/>
          <w:szCs w:val="22"/>
        </w:rPr>
        <w:t>James L. Winston, Esq</w:t>
      </w:r>
      <w:r w:rsidR="005B4A0F">
        <w:rPr>
          <w:sz w:val="22"/>
          <w:szCs w:val="22"/>
        </w:rPr>
        <w:t>.</w:t>
      </w:r>
    </w:p>
    <w:p w:rsidR="007646E7" w:rsidP="007646E7" w14:paraId="38DEC017" w14:textId="77777777">
      <w:pPr>
        <w:tabs>
          <w:tab w:val="left" w:pos="0"/>
        </w:tabs>
        <w:suppressAutoHyphens/>
        <w:ind w:left="5040" w:hanging="5040"/>
        <w:rPr>
          <w:sz w:val="22"/>
          <w:szCs w:val="22"/>
        </w:rPr>
      </w:pPr>
      <w:r>
        <w:rPr>
          <w:sz w:val="22"/>
          <w:szCs w:val="22"/>
        </w:rPr>
        <w:t xml:space="preserve">Rubin, Winston, </w:t>
      </w:r>
      <w:r>
        <w:rPr>
          <w:sz w:val="22"/>
          <w:szCs w:val="22"/>
        </w:rPr>
        <w:t>Diercks</w:t>
      </w:r>
      <w:r>
        <w:rPr>
          <w:sz w:val="22"/>
          <w:szCs w:val="22"/>
        </w:rPr>
        <w:t>, Harris &amp; Cooke, LL</w:t>
      </w:r>
      <w:r>
        <w:rPr>
          <w:sz w:val="22"/>
          <w:szCs w:val="22"/>
        </w:rPr>
        <w:t>P</w:t>
      </w:r>
    </w:p>
    <w:p w:rsidR="009969F6" w:rsidP="009969F6" w14:paraId="547BF45E" w14:textId="77777777">
      <w:pPr>
        <w:tabs>
          <w:tab w:val="left" w:pos="0"/>
        </w:tabs>
        <w:suppressAutoHyphens/>
        <w:ind w:left="5040" w:hanging="5040"/>
        <w:rPr>
          <w:sz w:val="22"/>
          <w:szCs w:val="22"/>
        </w:rPr>
      </w:pPr>
      <w:r>
        <w:rPr>
          <w:sz w:val="22"/>
          <w:szCs w:val="22"/>
        </w:rPr>
        <w:t>1201 Connecticut Ave NW Suite 200</w:t>
      </w:r>
    </w:p>
    <w:p w:rsidR="009969F6" w:rsidP="009969F6" w14:paraId="325A94F6" w14:textId="77777777">
      <w:pPr>
        <w:tabs>
          <w:tab w:val="left" w:pos="0"/>
        </w:tabs>
        <w:suppressAutoHyphens/>
        <w:ind w:left="5040" w:hanging="5040"/>
        <w:rPr>
          <w:sz w:val="22"/>
          <w:szCs w:val="22"/>
        </w:rPr>
      </w:pPr>
      <w:r>
        <w:rPr>
          <w:sz w:val="22"/>
          <w:szCs w:val="22"/>
        </w:rPr>
        <w:t>Washington, DC 20036</w:t>
      </w:r>
    </w:p>
    <w:p w:rsidR="00722042" w:rsidRPr="005675BC" w:rsidP="003D3544" w14:paraId="581180E6" w14:textId="77777777">
      <w:pPr>
        <w:tabs>
          <w:tab w:val="left" w:pos="0"/>
        </w:tabs>
        <w:suppressAutoHyphens/>
        <w:ind w:left="5040" w:hanging="5040"/>
        <w:rPr>
          <w:b/>
          <w:sz w:val="22"/>
          <w:szCs w:val="22"/>
        </w:rPr>
      </w:pPr>
      <w:r w:rsidRPr="007646E7">
        <w:rPr>
          <w:b/>
          <w:sz w:val="22"/>
          <w:szCs w:val="22"/>
        </w:rPr>
        <w:t xml:space="preserve">                                                                              In re:</w:t>
      </w:r>
      <w:r w:rsidRPr="007646E7">
        <w:rPr>
          <w:b/>
          <w:sz w:val="22"/>
          <w:szCs w:val="22"/>
        </w:rPr>
        <w:tab/>
      </w:r>
      <w:r w:rsidR="009969F6">
        <w:rPr>
          <w:b/>
          <w:sz w:val="22"/>
          <w:szCs w:val="22"/>
        </w:rPr>
        <w:t>W256CL, Park Forest, Illinois</w:t>
      </w:r>
    </w:p>
    <w:p w:rsidR="003D3544" w:rsidRPr="005675BC" w:rsidP="003D3544" w14:paraId="328AE819" w14:textId="77777777">
      <w:pPr>
        <w:tabs>
          <w:tab w:val="left" w:pos="0"/>
        </w:tabs>
        <w:suppressAutoHyphens/>
        <w:ind w:left="5040" w:hanging="5040"/>
        <w:rPr>
          <w:color w:val="000000"/>
          <w:sz w:val="22"/>
          <w:szCs w:val="22"/>
        </w:rPr>
      </w:pPr>
      <w:r w:rsidRPr="005675BC">
        <w:rPr>
          <w:sz w:val="22"/>
          <w:szCs w:val="22"/>
        </w:rPr>
        <w:tab/>
        <w:t>Facility ID No.</w:t>
      </w:r>
      <w:r w:rsidR="00D64B53">
        <w:rPr>
          <w:color w:val="000000"/>
          <w:sz w:val="22"/>
          <w:szCs w:val="22"/>
        </w:rPr>
        <w:t xml:space="preserve"> </w:t>
      </w:r>
      <w:r w:rsidR="009969F6">
        <w:rPr>
          <w:color w:val="000000"/>
          <w:sz w:val="22"/>
          <w:szCs w:val="22"/>
        </w:rPr>
        <w:t>152811</w:t>
      </w:r>
    </w:p>
    <w:p w:rsidR="00292046" w:rsidP="009969F6" w14:paraId="15F6DA2E" w14:textId="77777777">
      <w:pPr>
        <w:tabs>
          <w:tab w:val="left" w:pos="0"/>
        </w:tabs>
        <w:suppressAutoHyphens/>
        <w:ind w:left="5040" w:hanging="5040"/>
        <w:rPr>
          <w:color w:val="000000"/>
          <w:sz w:val="22"/>
          <w:szCs w:val="22"/>
        </w:rPr>
      </w:pPr>
      <w:r>
        <w:rPr>
          <w:color w:val="000000"/>
          <w:sz w:val="22"/>
          <w:szCs w:val="22"/>
        </w:rPr>
        <w:tab/>
        <w:t xml:space="preserve">File No. </w:t>
      </w:r>
      <w:r w:rsidR="009969F6">
        <w:rPr>
          <w:color w:val="000000"/>
          <w:sz w:val="22"/>
          <w:szCs w:val="22"/>
        </w:rPr>
        <w:t>BPFT-20171229ABE</w:t>
      </w:r>
    </w:p>
    <w:p w:rsidR="00D64B53" w:rsidRPr="005675BC" w:rsidP="00D64B53" w14:paraId="3A1CDB0C" w14:textId="77777777">
      <w:pPr>
        <w:tabs>
          <w:tab w:val="left" w:pos="0"/>
        </w:tabs>
        <w:suppressAutoHyphens/>
        <w:ind w:left="5040" w:hanging="5040"/>
        <w:rPr>
          <w:color w:val="000000"/>
          <w:sz w:val="22"/>
          <w:szCs w:val="22"/>
        </w:rPr>
      </w:pPr>
    </w:p>
    <w:p w:rsidR="009B0DDA" w:rsidRPr="005675BC" w:rsidP="00292046" w14:paraId="000C2804" w14:textId="77777777">
      <w:pPr>
        <w:tabs>
          <w:tab w:val="left" w:pos="0"/>
        </w:tabs>
        <w:suppressAutoHyphens/>
        <w:ind w:left="5040"/>
        <w:outlineLvl w:val="0"/>
        <w:rPr>
          <w:b/>
          <w:i/>
          <w:color w:val="000000"/>
          <w:sz w:val="22"/>
          <w:szCs w:val="22"/>
        </w:rPr>
      </w:pPr>
      <w:r>
        <w:rPr>
          <w:b/>
          <w:color w:val="000000"/>
          <w:sz w:val="22"/>
          <w:szCs w:val="22"/>
        </w:rPr>
        <w:t>Informal Objection</w:t>
      </w:r>
    </w:p>
    <w:p w:rsidR="00633232" w:rsidRPr="005675BC" w:rsidP="00330362" w14:paraId="6D67CDF5" w14:textId="77777777">
      <w:pPr>
        <w:tabs>
          <w:tab w:val="left" w:pos="0"/>
        </w:tabs>
        <w:suppressAutoHyphens/>
        <w:outlineLvl w:val="0"/>
        <w:rPr>
          <w:b/>
          <w:color w:val="000000"/>
          <w:sz w:val="22"/>
          <w:szCs w:val="22"/>
        </w:rPr>
      </w:pPr>
      <w:r w:rsidRPr="005675BC">
        <w:rPr>
          <w:color w:val="000000"/>
          <w:sz w:val="22"/>
          <w:szCs w:val="22"/>
        </w:rPr>
        <w:t>Dear</w:t>
      </w:r>
      <w:r w:rsidR="005A6D5B">
        <w:rPr>
          <w:color w:val="000000"/>
          <w:sz w:val="22"/>
          <w:szCs w:val="22"/>
        </w:rPr>
        <w:t xml:space="preserve"> </w:t>
      </w:r>
      <w:r w:rsidRPr="005675BC" w:rsidR="00CD33F5">
        <w:rPr>
          <w:color w:val="000000"/>
          <w:sz w:val="22"/>
          <w:szCs w:val="22"/>
        </w:rPr>
        <w:t>Counsel</w:t>
      </w:r>
      <w:r w:rsidRPr="005675BC">
        <w:rPr>
          <w:color w:val="000000"/>
          <w:sz w:val="22"/>
          <w:szCs w:val="22"/>
        </w:rPr>
        <w:t>:</w:t>
      </w:r>
      <w:r w:rsidRPr="005675BC" w:rsidR="006F2F26">
        <w:rPr>
          <w:color w:val="000000"/>
          <w:sz w:val="22"/>
          <w:szCs w:val="22"/>
        </w:rPr>
        <w:t xml:space="preserve"> </w:t>
      </w:r>
    </w:p>
    <w:p w:rsidR="00633232" w:rsidRPr="005675BC" w14:paraId="42552C29" w14:textId="77777777">
      <w:pPr>
        <w:tabs>
          <w:tab w:val="left" w:pos="0"/>
        </w:tabs>
        <w:suppressAutoHyphens/>
        <w:rPr>
          <w:color w:val="000000"/>
          <w:sz w:val="22"/>
          <w:szCs w:val="22"/>
        </w:rPr>
      </w:pPr>
    </w:p>
    <w:p w:rsidR="009B0DDA" w:rsidP="00725ED2" w14:paraId="588C079F" w14:textId="77777777">
      <w:pPr>
        <w:widowControl w:val="0"/>
        <w:ind w:right="-360" w:firstLine="720"/>
        <w:rPr>
          <w:color w:val="000000"/>
          <w:sz w:val="22"/>
          <w:szCs w:val="22"/>
        </w:rPr>
      </w:pPr>
      <w:r w:rsidRPr="005675BC">
        <w:rPr>
          <w:color w:val="000000"/>
          <w:sz w:val="22"/>
          <w:szCs w:val="22"/>
        </w:rPr>
        <w:t xml:space="preserve">We have before us </w:t>
      </w:r>
      <w:r w:rsidR="009969F6">
        <w:rPr>
          <w:color w:val="000000"/>
          <w:sz w:val="22"/>
          <w:szCs w:val="22"/>
        </w:rPr>
        <w:t>the above-reference</w:t>
      </w:r>
      <w:r w:rsidR="008F04D6">
        <w:rPr>
          <w:color w:val="000000"/>
          <w:sz w:val="22"/>
          <w:szCs w:val="22"/>
        </w:rPr>
        <w:t>d</w:t>
      </w:r>
      <w:r w:rsidR="009969F6">
        <w:rPr>
          <w:color w:val="000000"/>
          <w:sz w:val="22"/>
          <w:szCs w:val="22"/>
        </w:rPr>
        <w:t xml:space="preserve"> modification application </w:t>
      </w:r>
      <w:r w:rsidR="00F40E50">
        <w:rPr>
          <w:color w:val="000000"/>
          <w:sz w:val="22"/>
          <w:szCs w:val="22"/>
        </w:rPr>
        <w:t xml:space="preserve">(Modification Application) </w:t>
      </w:r>
      <w:r w:rsidR="009969F6">
        <w:rPr>
          <w:color w:val="000000"/>
          <w:sz w:val="22"/>
          <w:szCs w:val="22"/>
        </w:rPr>
        <w:t>filed by Edgewater</w:t>
      </w:r>
      <w:r w:rsidR="00F40E50">
        <w:rPr>
          <w:color w:val="000000"/>
          <w:sz w:val="22"/>
          <w:szCs w:val="22"/>
        </w:rPr>
        <w:t xml:space="preserve"> Broadcasting Inc. (Edgewater)</w:t>
      </w:r>
      <w:r w:rsidR="009969F6">
        <w:rPr>
          <w:color w:val="000000"/>
          <w:sz w:val="22"/>
          <w:szCs w:val="22"/>
        </w:rPr>
        <w:t xml:space="preserve"> on </w:t>
      </w:r>
      <w:r w:rsidR="0040212A">
        <w:rPr>
          <w:color w:val="000000"/>
          <w:sz w:val="22"/>
          <w:szCs w:val="22"/>
        </w:rPr>
        <w:t>December</w:t>
      </w:r>
      <w:r w:rsidR="009969F6">
        <w:rPr>
          <w:color w:val="000000"/>
          <w:sz w:val="22"/>
          <w:szCs w:val="22"/>
        </w:rPr>
        <w:t xml:space="preserve"> 29, 2017</w:t>
      </w:r>
      <w:r w:rsidR="00F40E50">
        <w:rPr>
          <w:color w:val="000000"/>
          <w:sz w:val="22"/>
          <w:szCs w:val="22"/>
        </w:rPr>
        <w:t>, seeking</w:t>
      </w:r>
      <w:r w:rsidR="00A6795C">
        <w:rPr>
          <w:color w:val="000000"/>
          <w:sz w:val="22"/>
          <w:szCs w:val="22"/>
        </w:rPr>
        <w:t xml:space="preserve"> </w:t>
      </w:r>
      <w:r w:rsidR="006F0D71">
        <w:rPr>
          <w:color w:val="000000"/>
          <w:sz w:val="22"/>
          <w:szCs w:val="22"/>
        </w:rPr>
        <w:t xml:space="preserve">to </w:t>
      </w:r>
      <w:r w:rsidR="003D2AF0">
        <w:rPr>
          <w:color w:val="000000"/>
          <w:sz w:val="22"/>
          <w:szCs w:val="22"/>
        </w:rPr>
        <w:t>relocate</w:t>
      </w:r>
      <w:r w:rsidR="006F0D71">
        <w:rPr>
          <w:color w:val="000000"/>
          <w:sz w:val="22"/>
          <w:szCs w:val="22"/>
        </w:rPr>
        <w:t xml:space="preserve"> the </w:t>
      </w:r>
      <w:r w:rsidR="00F40E50">
        <w:rPr>
          <w:color w:val="000000"/>
          <w:sz w:val="22"/>
          <w:szCs w:val="22"/>
        </w:rPr>
        <w:t>transmitter site of</w:t>
      </w:r>
      <w:r w:rsidR="006F0D71">
        <w:rPr>
          <w:color w:val="000000"/>
          <w:sz w:val="22"/>
          <w:szCs w:val="22"/>
        </w:rPr>
        <w:t xml:space="preserve"> FM translator station W256CL, Park Forest, Illinoi</w:t>
      </w:r>
      <w:r w:rsidR="003C15D9">
        <w:rPr>
          <w:color w:val="000000"/>
          <w:sz w:val="22"/>
          <w:szCs w:val="22"/>
        </w:rPr>
        <w:t>s</w:t>
      </w:r>
      <w:r w:rsidR="006F0D71">
        <w:rPr>
          <w:color w:val="000000"/>
          <w:sz w:val="22"/>
          <w:szCs w:val="22"/>
        </w:rPr>
        <w:t xml:space="preserve"> (Station)</w:t>
      </w:r>
      <w:r w:rsidR="00D64B53">
        <w:rPr>
          <w:color w:val="000000"/>
          <w:sz w:val="22"/>
          <w:szCs w:val="22"/>
        </w:rPr>
        <w:t>.</w:t>
      </w:r>
      <w:r>
        <w:rPr>
          <w:rStyle w:val="FootnoteReference"/>
          <w:color w:val="000000"/>
          <w:sz w:val="22"/>
          <w:szCs w:val="22"/>
        </w:rPr>
        <w:footnoteReference w:id="2"/>
      </w:r>
      <w:r w:rsidR="00D64B53">
        <w:rPr>
          <w:color w:val="000000"/>
          <w:sz w:val="22"/>
          <w:szCs w:val="22"/>
        </w:rPr>
        <w:t xml:space="preserve">  </w:t>
      </w:r>
      <w:r w:rsidR="00A6795C">
        <w:rPr>
          <w:color w:val="000000"/>
          <w:sz w:val="22"/>
          <w:szCs w:val="22"/>
        </w:rPr>
        <w:t>We also have an informal objection to the Modification Application filed by Sound of Hope Radio NFP (Sound of Hope) on January 19, 2018 (Informal Objection)</w:t>
      </w:r>
      <w:r w:rsidR="00F40E50">
        <w:rPr>
          <w:color w:val="000000"/>
          <w:sz w:val="22"/>
          <w:szCs w:val="22"/>
        </w:rPr>
        <w:t>,</w:t>
      </w:r>
      <w:r>
        <w:rPr>
          <w:rStyle w:val="FootnoteReference"/>
          <w:color w:val="000000"/>
          <w:sz w:val="22"/>
          <w:szCs w:val="22"/>
        </w:rPr>
        <w:footnoteReference w:id="3"/>
      </w:r>
      <w:r w:rsidR="00F40E50">
        <w:rPr>
          <w:color w:val="000000"/>
          <w:sz w:val="22"/>
          <w:szCs w:val="22"/>
        </w:rPr>
        <w:t xml:space="preserve"> and an opposition</w:t>
      </w:r>
      <w:r w:rsidR="003C15D9">
        <w:rPr>
          <w:color w:val="000000"/>
          <w:sz w:val="22"/>
          <w:szCs w:val="22"/>
        </w:rPr>
        <w:t xml:space="preserve"> </w:t>
      </w:r>
      <w:r w:rsidR="00F40E50">
        <w:rPr>
          <w:color w:val="000000"/>
          <w:sz w:val="22"/>
          <w:szCs w:val="22"/>
        </w:rPr>
        <w:t>to the Informal Objection filed by Edgewater on February 8, 2018 (Opposition).</w:t>
      </w:r>
      <w:r w:rsidR="00A6795C">
        <w:rPr>
          <w:color w:val="000000"/>
          <w:sz w:val="22"/>
          <w:szCs w:val="22"/>
        </w:rPr>
        <w:t xml:space="preserve">  </w:t>
      </w:r>
      <w:r w:rsidRPr="005675BC" w:rsidR="00633232">
        <w:rPr>
          <w:color w:val="000000"/>
          <w:sz w:val="22"/>
          <w:szCs w:val="22"/>
        </w:rPr>
        <w:t>For the reasons stated below, we</w:t>
      </w:r>
      <w:r w:rsidR="0058572A">
        <w:rPr>
          <w:color w:val="000000"/>
          <w:sz w:val="22"/>
          <w:szCs w:val="22"/>
        </w:rPr>
        <w:t xml:space="preserve"> </w:t>
      </w:r>
      <w:r w:rsidR="00382B8C">
        <w:rPr>
          <w:color w:val="000000"/>
          <w:sz w:val="22"/>
          <w:szCs w:val="22"/>
        </w:rPr>
        <w:t>deny</w:t>
      </w:r>
      <w:r w:rsidR="00886C0D">
        <w:rPr>
          <w:color w:val="000000"/>
          <w:sz w:val="22"/>
          <w:szCs w:val="22"/>
        </w:rPr>
        <w:t xml:space="preserve"> the Informal Objection and </w:t>
      </w:r>
      <w:r w:rsidR="00382B8C">
        <w:rPr>
          <w:color w:val="000000"/>
          <w:sz w:val="22"/>
          <w:szCs w:val="22"/>
        </w:rPr>
        <w:t>grant</w:t>
      </w:r>
      <w:r w:rsidR="00886C0D">
        <w:rPr>
          <w:color w:val="000000"/>
          <w:sz w:val="22"/>
          <w:szCs w:val="22"/>
        </w:rPr>
        <w:t xml:space="preserve"> the Modification Application.</w:t>
      </w:r>
    </w:p>
    <w:p w:rsidR="00633232" w:rsidRPr="005675BC" w:rsidP="009B0DDA" w14:paraId="0F0D39BA" w14:textId="77777777">
      <w:pPr>
        <w:ind w:right="-360" w:firstLine="720"/>
        <w:rPr>
          <w:color w:val="000000"/>
          <w:sz w:val="22"/>
          <w:szCs w:val="22"/>
        </w:rPr>
      </w:pPr>
      <w:r>
        <w:rPr>
          <w:color w:val="000000"/>
          <w:sz w:val="22"/>
          <w:szCs w:val="22"/>
        </w:rPr>
        <w:t xml:space="preserve"> </w:t>
      </w:r>
    </w:p>
    <w:p w:rsidR="00DE4900" w:rsidP="003129FA" w14:paraId="096C5BAE" w14:textId="461E218B">
      <w:pPr>
        <w:ind w:firstLine="720"/>
        <w:rPr>
          <w:color w:val="000000"/>
          <w:sz w:val="22"/>
          <w:szCs w:val="22"/>
        </w:rPr>
      </w:pPr>
      <w:r>
        <w:rPr>
          <w:b/>
          <w:color w:val="000000"/>
          <w:sz w:val="22"/>
          <w:szCs w:val="22"/>
        </w:rPr>
        <w:t xml:space="preserve">Background.  </w:t>
      </w:r>
      <w:r w:rsidR="00631927">
        <w:rPr>
          <w:color w:val="000000"/>
          <w:sz w:val="22"/>
          <w:szCs w:val="22"/>
        </w:rPr>
        <w:t xml:space="preserve">The Modification Application is the </w:t>
      </w:r>
      <w:r w:rsidR="00BA203C">
        <w:rPr>
          <w:color w:val="000000"/>
          <w:sz w:val="22"/>
          <w:szCs w:val="22"/>
        </w:rPr>
        <w:t xml:space="preserve">fourth </w:t>
      </w:r>
      <w:r w:rsidR="00D3786C">
        <w:rPr>
          <w:color w:val="000000"/>
          <w:sz w:val="22"/>
          <w:szCs w:val="22"/>
        </w:rPr>
        <w:t xml:space="preserve">in a series of </w:t>
      </w:r>
      <w:r w:rsidR="00B421C5">
        <w:rPr>
          <w:color w:val="000000"/>
          <w:sz w:val="22"/>
          <w:szCs w:val="22"/>
        </w:rPr>
        <w:t xml:space="preserve">modification </w:t>
      </w:r>
      <w:r w:rsidR="00D3786C">
        <w:rPr>
          <w:color w:val="000000"/>
          <w:sz w:val="22"/>
          <w:szCs w:val="22"/>
        </w:rPr>
        <w:t>applications</w:t>
      </w:r>
      <w:r w:rsidR="007335B5">
        <w:rPr>
          <w:color w:val="000000"/>
          <w:sz w:val="22"/>
          <w:szCs w:val="22"/>
        </w:rPr>
        <w:t xml:space="preserve"> (collectively, Applications)</w:t>
      </w:r>
      <w:r w:rsidR="00D3786C">
        <w:rPr>
          <w:color w:val="000000"/>
          <w:sz w:val="22"/>
          <w:szCs w:val="22"/>
        </w:rPr>
        <w:t xml:space="preserve"> filed by Edgewater </w:t>
      </w:r>
      <w:r w:rsidR="006F0D71">
        <w:rPr>
          <w:color w:val="000000"/>
          <w:sz w:val="22"/>
          <w:szCs w:val="22"/>
        </w:rPr>
        <w:t>that</w:t>
      </w:r>
      <w:r w:rsidR="007F141F">
        <w:rPr>
          <w:color w:val="000000"/>
          <w:sz w:val="22"/>
          <w:szCs w:val="22"/>
        </w:rPr>
        <w:t xml:space="preserve">, </w:t>
      </w:r>
      <w:r w:rsidR="00B421C5">
        <w:rPr>
          <w:color w:val="000000"/>
          <w:sz w:val="22"/>
          <w:szCs w:val="22"/>
        </w:rPr>
        <w:t xml:space="preserve">taken </w:t>
      </w:r>
      <w:r w:rsidR="003B16FE">
        <w:rPr>
          <w:color w:val="000000"/>
          <w:sz w:val="22"/>
          <w:szCs w:val="22"/>
        </w:rPr>
        <w:t>together</w:t>
      </w:r>
      <w:r w:rsidR="007F141F">
        <w:rPr>
          <w:color w:val="000000"/>
          <w:sz w:val="22"/>
          <w:szCs w:val="22"/>
        </w:rPr>
        <w:t>,</w:t>
      </w:r>
      <w:r w:rsidR="003B16FE">
        <w:rPr>
          <w:color w:val="000000"/>
          <w:sz w:val="22"/>
          <w:szCs w:val="22"/>
        </w:rPr>
        <w:t xml:space="preserve"> </w:t>
      </w:r>
      <w:r w:rsidR="00D3786C">
        <w:rPr>
          <w:color w:val="000000"/>
          <w:sz w:val="22"/>
          <w:szCs w:val="22"/>
        </w:rPr>
        <w:t xml:space="preserve">relocate the </w:t>
      </w:r>
      <w:r w:rsidR="006F0D71">
        <w:rPr>
          <w:color w:val="000000"/>
          <w:sz w:val="22"/>
          <w:szCs w:val="22"/>
        </w:rPr>
        <w:t>S</w:t>
      </w:r>
      <w:r w:rsidR="00D3786C">
        <w:rPr>
          <w:color w:val="000000"/>
          <w:sz w:val="22"/>
          <w:szCs w:val="22"/>
        </w:rPr>
        <w:t>tation</w:t>
      </w:r>
      <w:r w:rsidR="00B421C5">
        <w:rPr>
          <w:color w:val="000000"/>
          <w:sz w:val="22"/>
          <w:szCs w:val="22"/>
        </w:rPr>
        <w:t>’s facilities</w:t>
      </w:r>
      <w:r w:rsidR="00D3786C">
        <w:rPr>
          <w:color w:val="000000"/>
          <w:sz w:val="22"/>
          <w:szCs w:val="22"/>
        </w:rPr>
        <w:t xml:space="preserve"> </w:t>
      </w:r>
      <w:r w:rsidR="00D96803">
        <w:rPr>
          <w:color w:val="000000"/>
          <w:sz w:val="22"/>
          <w:szCs w:val="22"/>
        </w:rPr>
        <w:t xml:space="preserve">approximately 40 miles </w:t>
      </w:r>
      <w:r w:rsidR="00D3786C">
        <w:rPr>
          <w:color w:val="000000"/>
          <w:sz w:val="22"/>
          <w:szCs w:val="22"/>
        </w:rPr>
        <w:t>from</w:t>
      </w:r>
      <w:r w:rsidR="006F0D71">
        <w:rPr>
          <w:color w:val="000000"/>
          <w:sz w:val="22"/>
          <w:szCs w:val="22"/>
        </w:rPr>
        <w:t xml:space="preserve"> its original</w:t>
      </w:r>
      <w:r w:rsidR="00965017">
        <w:rPr>
          <w:color w:val="000000"/>
          <w:sz w:val="22"/>
          <w:szCs w:val="22"/>
        </w:rPr>
        <w:t>ly authorized</w:t>
      </w:r>
      <w:r w:rsidR="006F0D71">
        <w:rPr>
          <w:color w:val="000000"/>
          <w:sz w:val="22"/>
          <w:szCs w:val="22"/>
        </w:rPr>
        <w:t xml:space="preserve"> location</w:t>
      </w:r>
      <w:r w:rsidR="00D3786C">
        <w:rPr>
          <w:color w:val="000000"/>
          <w:sz w:val="22"/>
          <w:szCs w:val="22"/>
        </w:rPr>
        <w:t xml:space="preserve"> </w:t>
      </w:r>
      <w:r w:rsidR="00965017">
        <w:rPr>
          <w:color w:val="000000"/>
          <w:sz w:val="22"/>
          <w:szCs w:val="22"/>
        </w:rPr>
        <w:t xml:space="preserve">near Beecher, Illinois, </w:t>
      </w:r>
      <w:r w:rsidR="00D96803">
        <w:rPr>
          <w:color w:val="000000"/>
          <w:sz w:val="22"/>
          <w:szCs w:val="22"/>
        </w:rPr>
        <w:t>to downtown Chicago</w:t>
      </w:r>
      <w:r w:rsidR="0040212A">
        <w:rPr>
          <w:color w:val="000000"/>
          <w:sz w:val="22"/>
          <w:szCs w:val="22"/>
        </w:rPr>
        <w:t>, Illinois</w:t>
      </w:r>
      <w:r w:rsidR="006F0D71">
        <w:rPr>
          <w:color w:val="000000"/>
          <w:sz w:val="22"/>
          <w:szCs w:val="22"/>
        </w:rPr>
        <w:t>.</w:t>
      </w:r>
      <w:r>
        <w:rPr>
          <w:rStyle w:val="FootnoteReference"/>
          <w:color w:val="000000"/>
          <w:sz w:val="22"/>
          <w:szCs w:val="22"/>
        </w:rPr>
        <w:footnoteReference w:id="4"/>
      </w:r>
      <w:r w:rsidR="006F0D71">
        <w:rPr>
          <w:color w:val="000000"/>
          <w:sz w:val="22"/>
          <w:szCs w:val="22"/>
        </w:rPr>
        <w:t xml:space="preserve">  </w:t>
      </w:r>
      <w:r w:rsidR="00BA203C">
        <w:rPr>
          <w:color w:val="000000"/>
          <w:sz w:val="22"/>
          <w:szCs w:val="22"/>
        </w:rPr>
        <w:t>On February 9, 2015,</w:t>
      </w:r>
      <w:r w:rsidR="006B053C">
        <w:rPr>
          <w:color w:val="000000"/>
          <w:sz w:val="22"/>
          <w:szCs w:val="22"/>
        </w:rPr>
        <w:t xml:space="preserve"> </w:t>
      </w:r>
      <w:r w:rsidR="005D2547">
        <w:rPr>
          <w:color w:val="000000"/>
          <w:sz w:val="22"/>
          <w:szCs w:val="22"/>
        </w:rPr>
        <w:t xml:space="preserve">Edgewater filed </w:t>
      </w:r>
      <w:r w:rsidR="0040212A">
        <w:rPr>
          <w:color w:val="000000"/>
          <w:sz w:val="22"/>
          <w:szCs w:val="22"/>
        </w:rPr>
        <w:t xml:space="preserve">a </w:t>
      </w:r>
      <w:r w:rsidR="007F141F">
        <w:rPr>
          <w:color w:val="000000"/>
          <w:sz w:val="22"/>
          <w:szCs w:val="22"/>
        </w:rPr>
        <w:t>construction permit modification application</w:t>
      </w:r>
      <w:r w:rsidR="00F865A7">
        <w:rPr>
          <w:color w:val="000000"/>
          <w:sz w:val="22"/>
          <w:szCs w:val="22"/>
        </w:rPr>
        <w:t xml:space="preserve"> (</w:t>
      </w:r>
      <w:r w:rsidR="00BA203C">
        <w:rPr>
          <w:color w:val="000000"/>
          <w:sz w:val="22"/>
          <w:szCs w:val="22"/>
        </w:rPr>
        <w:t>First</w:t>
      </w:r>
      <w:r w:rsidR="00F865A7">
        <w:rPr>
          <w:color w:val="000000"/>
          <w:sz w:val="22"/>
          <w:szCs w:val="22"/>
        </w:rPr>
        <w:t xml:space="preserve"> Application)</w:t>
      </w:r>
      <w:r>
        <w:rPr>
          <w:color w:val="000000"/>
          <w:sz w:val="22"/>
          <w:szCs w:val="22"/>
        </w:rPr>
        <w:t>,</w:t>
      </w:r>
      <w:r w:rsidR="005D2547">
        <w:rPr>
          <w:color w:val="000000"/>
          <w:sz w:val="22"/>
          <w:szCs w:val="22"/>
        </w:rPr>
        <w:t xml:space="preserve"> </w:t>
      </w:r>
      <w:r w:rsidR="0040212A">
        <w:rPr>
          <w:color w:val="000000"/>
          <w:sz w:val="22"/>
          <w:szCs w:val="22"/>
        </w:rPr>
        <w:t xml:space="preserve">seeking </w:t>
      </w:r>
      <w:r w:rsidR="006B053C">
        <w:rPr>
          <w:color w:val="000000"/>
          <w:sz w:val="22"/>
          <w:szCs w:val="22"/>
        </w:rPr>
        <w:t>to move</w:t>
      </w:r>
      <w:r w:rsidR="005D2547">
        <w:rPr>
          <w:color w:val="000000"/>
          <w:sz w:val="22"/>
          <w:szCs w:val="22"/>
        </w:rPr>
        <w:t xml:space="preserve"> the Station toward Chicago</w:t>
      </w:r>
      <w:r>
        <w:rPr>
          <w:color w:val="000000"/>
          <w:sz w:val="22"/>
          <w:szCs w:val="22"/>
        </w:rPr>
        <w:t>.</w:t>
      </w:r>
      <w:r>
        <w:rPr>
          <w:rStyle w:val="FootnoteReference"/>
          <w:color w:val="000000"/>
          <w:sz w:val="22"/>
          <w:szCs w:val="22"/>
        </w:rPr>
        <w:footnoteReference w:id="5"/>
      </w:r>
      <w:r>
        <w:rPr>
          <w:color w:val="000000"/>
          <w:sz w:val="22"/>
          <w:szCs w:val="22"/>
        </w:rPr>
        <w:t xml:space="preserve">  </w:t>
      </w:r>
      <w:r w:rsidR="007F141F">
        <w:rPr>
          <w:color w:val="000000"/>
          <w:sz w:val="22"/>
          <w:szCs w:val="22"/>
        </w:rPr>
        <w:t>Th</w:t>
      </w:r>
      <w:r w:rsidR="00F865A7">
        <w:rPr>
          <w:color w:val="000000"/>
          <w:sz w:val="22"/>
          <w:szCs w:val="22"/>
        </w:rPr>
        <w:t xml:space="preserve">e </w:t>
      </w:r>
      <w:r w:rsidR="00AD2CAB">
        <w:rPr>
          <w:color w:val="000000"/>
          <w:sz w:val="22"/>
          <w:szCs w:val="22"/>
        </w:rPr>
        <w:t xml:space="preserve">First </w:t>
      </w:r>
      <w:r w:rsidR="00F865A7">
        <w:rPr>
          <w:color w:val="000000"/>
          <w:sz w:val="22"/>
          <w:szCs w:val="22"/>
        </w:rPr>
        <w:t>A</w:t>
      </w:r>
      <w:r w:rsidR="007F141F">
        <w:rPr>
          <w:color w:val="000000"/>
          <w:sz w:val="22"/>
          <w:szCs w:val="22"/>
        </w:rPr>
        <w:t xml:space="preserve">pplication was granted on </w:t>
      </w:r>
      <w:r w:rsidR="007F141F">
        <w:rPr>
          <w:color w:val="000000"/>
          <w:sz w:val="22"/>
          <w:szCs w:val="22"/>
        </w:rPr>
        <w:t>March 16, 2015</w:t>
      </w:r>
      <w:r w:rsidR="00AD2CAB">
        <w:rPr>
          <w:color w:val="000000"/>
          <w:sz w:val="22"/>
          <w:szCs w:val="22"/>
        </w:rPr>
        <w:t>,</w:t>
      </w:r>
      <w:r>
        <w:rPr>
          <w:rStyle w:val="FootnoteReference"/>
          <w:color w:val="000000"/>
          <w:sz w:val="22"/>
          <w:szCs w:val="22"/>
        </w:rPr>
        <w:footnoteReference w:id="6"/>
      </w:r>
      <w:r w:rsidR="00AD2CAB">
        <w:rPr>
          <w:color w:val="000000"/>
          <w:sz w:val="22"/>
          <w:szCs w:val="22"/>
        </w:rPr>
        <w:t xml:space="preserve"> and</w:t>
      </w:r>
      <w:r w:rsidR="007F141F">
        <w:rPr>
          <w:color w:val="000000"/>
          <w:sz w:val="22"/>
          <w:szCs w:val="22"/>
        </w:rPr>
        <w:t xml:space="preserve"> </w:t>
      </w:r>
      <w:r w:rsidR="00AD2CAB">
        <w:rPr>
          <w:color w:val="000000"/>
          <w:sz w:val="22"/>
          <w:szCs w:val="22"/>
        </w:rPr>
        <w:t>o</w:t>
      </w:r>
      <w:r w:rsidR="00DA4A62">
        <w:rPr>
          <w:color w:val="000000"/>
          <w:sz w:val="22"/>
          <w:szCs w:val="22"/>
        </w:rPr>
        <w:t>n January 27, 2016, Edgewater filed a</w:t>
      </w:r>
      <w:r w:rsidR="00F865A7">
        <w:rPr>
          <w:color w:val="000000"/>
          <w:sz w:val="22"/>
          <w:szCs w:val="22"/>
        </w:rPr>
        <w:t>n application for a license to cover</w:t>
      </w:r>
      <w:r w:rsidR="00AD2CAB">
        <w:rPr>
          <w:color w:val="000000"/>
          <w:sz w:val="22"/>
          <w:szCs w:val="22"/>
        </w:rPr>
        <w:t>.</w:t>
      </w:r>
      <w:r>
        <w:rPr>
          <w:rStyle w:val="FootnoteReference"/>
          <w:color w:val="000000"/>
          <w:sz w:val="22"/>
          <w:szCs w:val="22"/>
        </w:rPr>
        <w:footnoteReference w:id="7"/>
      </w:r>
      <w:r w:rsidR="00DA4A62">
        <w:rPr>
          <w:color w:val="000000"/>
          <w:sz w:val="22"/>
          <w:szCs w:val="22"/>
        </w:rPr>
        <w:t xml:space="preserve"> </w:t>
      </w:r>
      <w:r w:rsidR="00F865A7">
        <w:rPr>
          <w:color w:val="000000"/>
          <w:sz w:val="22"/>
          <w:szCs w:val="22"/>
        </w:rPr>
        <w:t>The</w:t>
      </w:r>
      <w:r w:rsidR="005D2547">
        <w:rPr>
          <w:color w:val="000000"/>
          <w:sz w:val="22"/>
          <w:szCs w:val="22"/>
        </w:rPr>
        <w:t xml:space="preserve"> license to cover the </w:t>
      </w:r>
      <w:r w:rsidR="004B42C0">
        <w:rPr>
          <w:color w:val="000000"/>
          <w:sz w:val="22"/>
          <w:szCs w:val="22"/>
        </w:rPr>
        <w:t xml:space="preserve">First </w:t>
      </w:r>
      <w:r w:rsidR="005D2547">
        <w:rPr>
          <w:color w:val="000000"/>
          <w:sz w:val="22"/>
          <w:szCs w:val="22"/>
        </w:rPr>
        <w:t>Application was granted on February 8, 2016</w:t>
      </w:r>
      <w:r w:rsidR="00AD2CAB">
        <w:rPr>
          <w:color w:val="000000"/>
          <w:sz w:val="22"/>
          <w:szCs w:val="22"/>
        </w:rPr>
        <w:t>.</w:t>
      </w:r>
      <w:r>
        <w:rPr>
          <w:rStyle w:val="FootnoteReference"/>
          <w:color w:val="000000"/>
          <w:sz w:val="22"/>
          <w:szCs w:val="22"/>
        </w:rPr>
        <w:footnoteReference w:id="8"/>
      </w:r>
      <w:r w:rsidR="005D2547">
        <w:rPr>
          <w:color w:val="000000"/>
          <w:sz w:val="22"/>
          <w:szCs w:val="22"/>
        </w:rPr>
        <w:t xml:space="preserve"> </w:t>
      </w:r>
      <w:r w:rsidR="00AD2CAB">
        <w:rPr>
          <w:color w:val="000000"/>
          <w:sz w:val="22"/>
          <w:szCs w:val="22"/>
        </w:rPr>
        <w:t>After operating at the First Application site for about a year</w:t>
      </w:r>
      <w:r w:rsidR="00F865A7">
        <w:rPr>
          <w:color w:val="000000"/>
          <w:sz w:val="22"/>
          <w:szCs w:val="22"/>
        </w:rPr>
        <w:t xml:space="preserve">, on April 14, 2017, </w:t>
      </w:r>
      <w:r w:rsidR="005D2547">
        <w:rPr>
          <w:color w:val="000000"/>
          <w:sz w:val="22"/>
          <w:szCs w:val="22"/>
        </w:rPr>
        <w:t xml:space="preserve">Edgewater </w:t>
      </w:r>
      <w:r w:rsidR="00F865A7">
        <w:rPr>
          <w:color w:val="000000"/>
          <w:sz w:val="22"/>
          <w:szCs w:val="22"/>
        </w:rPr>
        <w:t>filed a modification application (</w:t>
      </w:r>
      <w:r w:rsidR="00AD2CAB">
        <w:rPr>
          <w:color w:val="000000"/>
          <w:sz w:val="22"/>
          <w:szCs w:val="22"/>
        </w:rPr>
        <w:t xml:space="preserve">Second </w:t>
      </w:r>
      <w:r w:rsidR="00F865A7">
        <w:rPr>
          <w:color w:val="000000"/>
          <w:sz w:val="22"/>
          <w:szCs w:val="22"/>
        </w:rPr>
        <w:t>Application)</w:t>
      </w:r>
      <w:r w:rsidR="00EF69F7">
        <w:rPr>
          <w:color w:val="000000"/>
          <w:sz w:val="22"/>
          <w:szCs w:val="22"/>
        </w:rPr>
        <w:t xml:space="preserve"> </w:t>
      </w:r>
      <w:r w:rsidR="00001E51">
        <w:rPr>
          <w:color w:val="000000"/>
          <w:sz w:val="22"/>
          <w:szCs w:val="22"/>
        </w:rPr>
        <w:t xml:space="preserve">for a </w:t>
      </w:r>
      <w:r w:rsidR="00B421C5">
        <w:rPr>
          <w:color w:val="000000"/>
          <w:sz w:val="22"/>
          <w:szCs w:val="22"/>
        </w:rPr>
        <w:t>transmitter site</w:t>
      </w:r>
      <w:r w:rsidR="00001E51">
        <w:rPr>
          <w:color w:val="000000"/>
          <w:sz w:val="22"/>
          <w:szCs w:val="22"/>
        </w:rPr>
        <w:t xml:space="preserve"> located </w:t>
      </w:r>
      <w:r w:rsidR="00333972">
        <w:rPr>
          <w:color w:val="000000"/>
          <w:sz w:val="22"/>
          <w:szCs w:val="22"/>
        </w:rPr>
        <w:t>west of</w:t>
      </w:r>
      <w:r w:rsidR="005C090A">
        <w:rPr>
          <w:color w:val="000000"/>
          <w:sz w:val="22"/>
          <w:szCs w:val="22"/>
        </w:rPr>
        <w:t xml:space="preserve"> the </w:t>
      </w:r>
      <w:r w:rsidR="00AD2CAB">
        <w:rPr>
          <w:color w:val="000000"/>
          <w:sz w:val="22"/>
          <w:szCs w:val="22"/>
        </w:rPr>
        <w:t>First</w:t>
      </w:r>
      <w:r w:rsidR="005C090A">
        <w:rPr>
          <w:color w:val="000000"/>
          <w:sz w:val="22"/>
          <w:szCs w:val="22"/>
        </w:rPr>
        <w:t xml:space="preserve"> Application site</w:t>
      </w:r>
      <w:r w:rsidR="00333972">
        <w:rPr>
          <w:color w:val="000000"/>
          <w:sz w:val="22"/>
          <w:szCs w:val="22"/>
        </w:rPr>
        <w:t xml:space="preserve"> </w:t>
      </w:r>
      <w:r w:rsidR="005D2547">
        <w:rPr>
          <w:color w:val="000000"/>
          <w:sz w:val="22"/>
          <w:szCs w:val="22"/>
        </w:rPr>
        <w:t xml:space="preserve">but with a </w:t>
      </w:r>
      <w:r w:rsidR="00B421C5">
        <w:rPr>
          <w:color w:val="000000"/>
          <w:sz w:val="22"/>
          <w:szCs w:val="22"/>
        </w:rPr>
        <w:t>s</w:t>
      </w:r>
      <w:r w:rsidR="006B053C">
        <w:rPr>
          <w:color w:val="000000"/>
          <w:sz w:val="22"/>
          <w:szCs w:val="22"/>
        </w:rPr>
        <w:t xml:space="preserve">ignal </w:t>
      </w:r>
      <w:r w:rsidR="005D2547">
        <w:rPr>
          <w:color w:val="000000"/>
          <w:sz w:val="22"/>
          <w:szCs w:val="22"/>
        </w:rPr>
        <w:t>contour extending considerably further toward Chicago</w:t>
      </w:r>
      <w:r w:rsidR="00F865A7">
        <w:rPr>
          <w:color w:val="000000"/>
          <w:sz w:val="22"/>
          <w:szCs w:val="22"/>
        </w:rPr>
        <w:t>.</w:t>
      </w:r>
      <w:r>
        <w:rPr>
          <w:rStyle w:val="FootnoteReference"/>
          <w:color w:val="000000"/>
          <w:sz w:val="22"/>
          <w:szCs w:val="22"/>
        </w:rPr>
        <w:footnoteReference w:id="9"/>
      </w:r>
      <w:r w:rsidR="00F865A7">
        <w:rPr>
          <w:color w:val="000000"/>
          <w:sz w:val="22"/>
          <w:szCs w:val="22"/>
        </w:rPr>
        <w:t xml:space="preserve">  The </w:t>
      </w:r>
      <w:r w:rsidR="00AD2CAB">
        <w:rPr>
          <w:color w:val="000000"/>
          <w:sz w:val="22"/>
          <w:szCs w:val="22"/>
        </w:rPr>
        <w:t xml:space="preserve">Second </w:t>
      </w:r>
      <w:r w:rsidR="00F865A7">
        <w:rPr>
          <w:color w:val="000000"/>
          <w:sz w:val="22"/>
          <w:szCs w:val="22"/>
        </w:rPr>
        <w:t xml:space="preserve">Application was granted on </w:t>
      </w:r>
      <w:r w:rsidR="00EF69F7">
        <w:rPr>
          <w:color w:val="000000"/>
          <w:sz w:val="22"/>
          <w:szCs w:val="22"/>
        </w:rPr>
        <w:t>May 10, 2017.</w:t>
      </w:r>
      <w:r>
        <w:rPr>
          <w:rStyle w:val="FootnoteReference"/>
          <w:color w:val="000000"/>
          <w:sz w:val="22"/>
          <w:szCs w:val="22"/>
        </w:rPr>
        <w:footnoteReference w:id="10"/>
      </w:r>
      <w:r w:rsidR="00EF69F7">
        <w:rPr>
          <w:color w:val="000000"/>
          <w:sz w:val="22"/>
          <w:szCs w:val="22"/>
        </w:rPr>
        <w:t xml:space="preserve">  </w:t>
      </w:r>
      <w:r w:rsidR="00001E51">
        <w:rPr>
          <w:color w:val="000000"/>
          <w:sz w:val="22"/>
          <w:szCs w:val="22"/>
        </w:rPr>
        <w:t xml:space="preserve">On July 17, 2017, Edgewater filed an application for a license to cover the </w:t>
      </w:r>
      <w:r w:rsidR="00AD2CAB">
        <w:rPr>
          <w:color w:val="000000"/>
          <w:sz w:val="22"/>
          <w:szCs w:val="22"/>
        </w:rPr>
        <w:t>Second</w:t>
      </w:r>
      <w:r w:rsidR="00001E51">
        <w:rPr>
          <w:color w:val="000000"/>
          <w:sz w:val="22"/>
          <w:szCs w:val="22"/>
        </w:rPr>
        <w:t xml:space="preserve"> Application</w:t>
      </w:r>
      <w:r w:rsidR="004B42C0">
        <w:rPr>
          <w:color w:val="000000"/>
          <w:sz w:val="22"/>
          <w:szCs w:val="22"/>
        </w:rPr>
        <w:t xml:space="preserve"> construction permit</w:t>
      </w:r>
      <w:r>
        <w:rPr>
          <w:rStyle w:val="FootnoteReference"/>
          <w:color w:val="000000"/>
          <w:sz w:val="22"/>
          <w:szCs w:val="22"/>
        </w:rPr>
        <w:footnoteReference w:id="11"/>
      </w:r>
      <w:r w:rsidR="00001E51">
        <w:rPr>
          <w:color w:val="000000"/>
          <w:sz w:val="22"/>
          <w:szCs w:val="22"/>
        </w:rPr>
        <w:t xml:space="preserve"> and immediately</w:t>
      </w:r>
      <w:r w:rsidR="00C57421">
        <w:rPr>
          <w:color w:val="000000"/>
          <w:sz w:val="22"/>
          <w:szCs w:val="22"/>
        </w:rPr>
        <w:t>—the next day—</w:t>
      </w:r>
      <w:r w:rsidR="00333972">
        <w:rPr>
          <w:color w:val="000000"/>
          <w:sz w:val="22"/>
          <w:szCs w:val="22"/>
        </w:rPr>
        <w:t>filed</w:t>
      </w:r>
      <w:r w:rsidR="00001E51">
        <w:rPr>
          <w:color w:val="000000"/>
          <w:sz w:val="22"/>
          <w:szCs w:val="22"/>
        </w:rPr>
        <w:t xml:space="preserve"> </w:t>
      </w:r>
      <w:r w:rsidR="00333972">
        <w:rPr>
          <w:color w:val="000000"/>
          <w:sz w:val="22"/>
          <w:szCs w:val="22"/>
        </w:rPr>
        <w:t>another</w:t>
      </w:r>
      <w:r w:rsidR="00001E51">
        <w:rPr>
          <w:color w:val="000000"/>
          <w:sz w:val="22"/>
          <w:szCs w:val="22"/>
        </w:rPr>
        <w:t xml:space="preserve"> modification application (</w:t>
      </w:r>
      <w:r w:rsidR="00AD2CAB">
        <w:rPr>
          <w:color w:val="000000"/>
          <w:sz w:val="22"/>
          <w:szCs w:val="22"/>
        </w:rPr>
        <w:t>Third</w:t>
      </w:r>
      <w:r w:rsidR="00001E51">
        <w:rPr>
          <w:color w:val="000000"/>
          <w:sz w:val="22"/>
          <w:szCs w:val="22"/>
        </w:rPr>
        <w:t xml:space="preserve"> Application)</w:t>
      </w:r>
      <w:r w:rsidR="0034727F">
        <w:rPr>
          <w:color w:val="000000"/>
          <w:sz w:val="22"/>
          <w:szCs w:val="22"/>
        </w:rPr>
        <w:t xml:space="preserve"> seeking to move the Station </w:t>
      </w:r>
      <w:r w:rsidR="006B053C">
        <w:rPr>
          <w:color w:val="000000"/>
          <w:sz w:val="22"/>
          <w:szCs w:val="22"/>
        </w:rPr>
        <w:t>further</w:t>
      </w:r>
      <w:r w:rsidR="0034727F">
        <w:rPr>
          <w:color w:val="000000"/>
          <w:sz w:val="22"/>
          <w:szCs w:val="22"/>
        </w:rPr>
        <w:t xml:space="preserve"> toward Chicago</w:t>
      </w:r>
      <w:r w:rsidR="00001E51">
        <w:rPr>
          <w:color w:val="000000"/>
          <w:sz w:val="22"/>
          <w:szCs w:val="22"/>
        </w:rPr>
        <w:t>.</w:t>
      </w:r>
      <w:r>
        <w:rPr>
          <w:rStyle w:val="FootnoteReference"/>
          <w:color w:val="000000"/>
          <w:sz w:val="22"/>
          <w:szCs w:val="22"/>
        </w:rPr>
        <w:footnoteReference w:id="12"/>
      </w:r>
      <w:r w:rsidR="00001E51">
        <w:rPr>
          <w:color w:val="000000"/>
          <w:sz w:val="22"/>
          <w:szCs w:val="22"/>
        </w:rPr>
        <w:t xml:space="preserve">  The license to cover the </w:t>
      </w:r>
      <w:r w:rsidR="00AD2CAB">
        <w:rPr>
          <w:color w:val="000000"/>
          <w:sz w:val="22"/>
          <w:szCs w:val="22"/>
        </w:rPr>
        <w:t>Second</w:t>
      </w:r>
      <w:r w:rsidR="00001E51">
        <w:rPr>
          <w:color w:val="000000"/>
          <w:sz w:val="22"/>
          <w:szCs w:val="22"/>
        </w:rPr>
        <w:t xml:space="preserve"> Application </w:t>
      </w:r>
      <w:r w:rsidR="004B42C0">
        <w:rPr>
          <w:color w:val="000000"/>
          <w:sz w:val="22"/>
          <w:szCs w:val="22"/>
        </w:rPr>
        <w:t xml:space="preserve">construction permit </w:t>
      </w:r>
      <w:r w:rsidR="00001E51">
        <w:rPr>
          <w:color w:val="000000"/>
          <w:sz w:val="22"/>
          <w:szCs w:val="22"/>
        </w:rPr>
        <w:t>was granted on July 28, 2017,</w:t>
      </w:r>
      <w:r>
        <w:rPr>
          <w:rStyle w:val="FootnoteReference"/>
          <w:color w:val="000000"/>
          <w:sz w:val="22"/>
          <w:szCs w:val="22"/>
        </w:rPr>
        <w:footnoteReference w:id="13"/>
      </w:r>
      <w:r w:rsidR="00001E51">
        <w:rPr>
          <w:color w:val="000000"/>
          <w:sz w:val="22"/>
          <w:szCs w:val="22"/>
        </w:rPr>
        <w:t xml:space="preserve"> and the </w:t>
      </w:r>
      <w:r w:rsidR="00AD2CAB">
        <w:rPr>
          <w:color w:val="000000"/>
          <w:sz w:val="22"/>
          <w:szCs w:val="22"/>
        </w:rPr>
        <w:t>Third</w:t>
      </w:r>
      <w:r w:rsidR="00001E51">
        <w:rPr>
          <w:color w:val="000000"/>
          <w:sz w:val="22"/>
          <w:szCs w:val="22"/>
        </w:rPr>
        <w:t xml:space="preserve"> Application was granted on July 31, 2017.</w:t>
      </w:r>
      <w:r>
        <w:rPr>
          <w:rStyle w:val="FootnoteReference"/>
          <w:color w:val="000000"/>
          <w:sz w:val="22"/>
          <w:szCs w:val="22"/>
        </w:rPr>
        <w:footnoteReference w:id="14"/>
      </w:r>
      <w:r w:rsidR="00001E51">
        <w:rPr>
          <w:color w:val="000000"/>
          <w:sz w:val="22"/>
          <w:szCs w:val="22"/>
        </w:rPr>
        <w:t xml:space="preserve">  </w:t>
      </w:r>
      <w:r w:rsidR="006B053C">
        <w:rPr>
          <w:color w:val="000000"/>
          <w:sz w:val="22"/>
          <w:szCs w:val="22"/>
        </w:rPr>
        <w:t xml:space="preserve">After operating at the </w:t>
      </w:r>
      <w:r w:rsidR="00AD2CAB">
        <w:rPr>
          <w:color w:val="000000"/>
          <w:sz w:val="22"/>
          <w:szCs w:val="22"/>
        </w:rPr>
        <w:t xml:space="preserve">Second </w:t>
      </w:r>
      <w:r w:rsidR="006B053C">
        <w:rPr>
          <w:color w:val="000000"/>
          <w:sz w:val="22"/>
          <w:szCs w:val="22"/>
        </w:rPr>
        <w:t>Application site for about a month, o</w:t>
      </w:r>
      <w:r w:rsidR="0007331A">
        <w:rPr>
          <w:color w:val="000000"/>
          <w:sz w:val="22"/>
          <w:szCs w:val="22"/>
        </w:rPr>
        <w:t xml:space="preserve">n August 25, 2017, Edgewater filed a license to cover the </w:t>
      </w:r>
      <w:r w:rsidR="00AD2CAB">
        <w:rPr>
          <w:color w:val="000000"/>
          <w:sz w:val="22"/>
          <w:szCs w:val="22"/>
        </w:rPr>
        <w:t>Third</w:t>
      </w:r>
      <w:r w:rsidR="0007331A">
        <w:rPr>
          <w:color w:val="000000"/>
          <w:sz w:val="22"/>
          <w:szCs w:val="22"/>
        </w:rPr>
        <w:t xml:space="preserve"> Application</w:t>
      </w:r>
      <w:r w:rsidR="00C065ED">
        <w:rPr>
          <w:color w:val="000000"/>
          <w:sz w:val="22"/>
          <w:szCs w:val="22"/>
        </w:rPr>
        <w:t xml:space="preserve"> construction permit</w:t>
      </w:r>
      <w:r w:rsidR="0007331A">
        <w:rPr>
          <w:color w:val="000000"/>
          <w:sz w:val="22"/>
          <w:szCs w:val="22"/>
        </w:rPr>
        <w:t>, which was granted on September 11, 2017.</w:t>
      </w:r>
      <w:r>
        <w:rPr>
          <w:rStyle w:val="FootnoteReference"/>
          <w:color w:val="000000"/>
          <w:sz w:val="22"/>
          <w:szCs w:val="22"/>
        </w:rPr>
        <w:footnoteReference w:id="15"/>
      </w:r>
      <w:r w:rsidR="0007331A">
        <w:rPr>
          <w:color w:val="000000"/>
          <w:sz w:val="22"/>
          <w:szCs w:val="22"/>
        </w:rPr>
        <w:t xml:space="preserve"> </w:t>
      </w:r>
      <w:r w:rsidR="0034727F">
        <w:rPr>
          <w:color w:val="000000"/>
          <w:sz w:val="22"/>
          <w:szCs w:val="22"/>
        </w:rPr>
        <w:t xml:space="preserve"> </w:t>
      </w:r>
      <w:r w:rsidR="0040212A">
        <w:rPr>
          <w:color w:val="000000"/>
          <w:sz w:val="22"/>
          <w:szCs w:val="22"/>
        </w:rPr>
        <w:t>Four</w:t>
      </w:r>
      <w:r w:rsidR="006B053C">
        <w:rPr>
          <w:color w:val="000000"/>
          <w:sz w:val="22"/>
          <w:szCs w:val="22"/>
        </w:rPr>
        <w:t xml:space="preserve"> months later, </w:t>
      </w:r>
      <w:r w:rsidR="00D23109">
        <w:rPr>
          <w:color w:val="000000"/>
          <w:sz w:val="22"/>
          <w:szCs w:val="22"/>
        </w:rPr>
        <w:t>o</w:t>
      </w:r>
      <w:r w:rsidR="0034727F">
        <w:rPr>
          <w:color w:val="000000"/>
          <w:sz w:val="22"/>
          <w:szCs w:val="22"/>
        </w:rPr>
        <w:t xml:space="preserve">n December 29, 2017, Edgewater filed the present </w:t>
      </w:r>
      <w:r w:rsidR="00C57421">
        <w:rPr>
          <w:color w:val="000000"/>
          <w:sz w:val="22"/>
          <w:szCs w:val="22"/>
        </w:rPr>
        <w:t xml:space="preserve">Modification </w:t>
      </w:r>
      <w:r w:rsidR="0034727F">
        <w:rPr>
          <w:color w:val="000000"/>
          <w:sz w:val="22"/>
          <w:szCs w:val="22"/>
        </w:rPr>
        <w:t xml:space="preserve">Application, seeking to place the Station’s facilities </w:t>
      </w:r>
      <w:r w:rsidR="00D23109">
        <w:rPr>
          <w:color w:val="000000"/>
          <w:sz w:val="22"/>
          <w:szCs w:val="22"/>
        </w:rPr>
        <w:t>directly into</w:t>
      </w:r>
      <w:r w:rsidR="0034727F">
        <w:rPr>
          <w:color w:val="000000"/>
          <w:sz w:val="22"/>
          <w:szCs w:val="22"/>
        </w:rPr>
        <w:t xml:space="preserve"> downtown Chicago. </w:t>
      </w:r>
      <w:r w:rsidR="00A70A00">
        <w:rPr>
          <w:color w:val="000000"/>
          <w:sz w:val="22"/>
          <w:szCs w:val="22"/>
        </w:rPr>
        <w:t xml:space="preserve"> </w:t>
      </w:r>
      <w:r w:rsidR="006B053C">
        <w:rPr>
          <w:color w:val="000000"/>
          <w:sz w:val="22"/>
          <w:szCs w:val="22"/>
        </w:rPr>
        <w:t xml:space="preserve">Edgewater has been operating the Station at the </w:t>
      </w:r>
      <w:r w:rsidR="00AD2CAB">
        <w:rPr>
          <w:color w:val="000000"/>
          <w:sz w:val="22"/>
          <w:szCs w:val="22"/>
        </w:rPr>
        <w:t>Third</w:t>
      </w:r>
      <w:r w:rsidR="006B053C">
        <w:rPr>
          <w:color w:val="000000"/>
          <w:sz w:val="22"/>
          <w:szCs w:val="22"/>
        </w:rPr>
        <w:t xml:space="preserve"> Application </w:t>
      </w:r>
      <w:r w:rsidR="008B69CC">
        <w:rPr>
          <w:color w:val="000000"/>
          <w:sz w:val="22"/>
          <w:szCs w:val="22"/>
        </w:rPr>
        <w:t>s</w:t>
      </w:r>
      <w:r w:rsidR="006B053C">
        <w:rPr>
          <w:color w:val="000000"/>
          <w:sz w:val="22"/>
          <w:szCs w:val="22"/>
        </w:rPr>
        <w:t xml:space="preserve">ite for more than </w:t>
      </w:r>
      <w:r w:rsidR="00993E44">
        <w:rPr>
          <w:color w:val="000000"/>
          <w:sz w:val="22"/>
          <w:szCs w:val="22"/>
        </w:rPr>
        <w:t xml:space="preserve">a year </w:t>
      </w:r>
      <w:r w:rsidR="00D23109">
        <w:rPr>
          <w:color w:val="000000"/>
          <w:sz w:val="22"/>
          <w:szCs w:val="22"/>
        </w:rPr>
        <w:t>while the Modification Application was pending</w:t>
      </w:r>
      <w:r w:rsidR="006B053C">
        <w:rPr>
          <w:color w:val="000000"/>
          <w:sz w:val="22"/>
          <w:szCs w:val="22"/>
        </w:rPr>
        <w:t xml:space="preserve">.  </w:t>
      </w:r>
      <w:r w:rsidR="0064107B">
        <w:rPr>
          <w:color w:val="000000"/>
          <w:sz w:val="22"/>
          <w:szCs w:val="22"/>
        </w:rPr>
        <w:t>N</w:t>
      </w:r>
      <w:r w:rsidR="00A70A00">
        <w:rPr>
          <w:color w:val="000000"/>
          <w:sz w:val="22"/>
          <w:szCs w:val="22"/>
        </w:rPr>
        <w:t xml:space="preserve">one of the applications filed by Edgewater </w:t>
      </w:r>
      <w:r w:rsidR="00D23109">
        <w:rPr>
          <w:color w:val="000000"/>
          <w:sz w:val="22"/>
          <w:szCs w:val="22"/>
        </w:rPr>
        <w:t>p</w:t>
      </w:r>
      <w:r w:rsidR="0064107B">
        <w:rPr>
          <w:color w:val="000000"/>
          <w:sz w:val="22"/>
          <w:szCs w:val="22"/>
        </w:rPr>
        <w:t xml:space="preserve">rior to the </w:t>
      </w:r>
      <w:r w:rsidR="00C57421">
        <w:rPr>
          <w:color w:val="000000"/>
          <w:sz w:val="22"/>
          <w:szCs w:val="22"/>
        </w:rPr>
        <w:t xml:space="preserve">Modification </w:t>
      </w:r>
      <w:r w:rsidR="0064107B">
        <w:rPr>
          <w:color w:val="000000"/>
          <w:sz w:val="22"/>
          <w:szCs w:val="22"/>
        </w:rPr>
        <w:t xml:space="preserve">Application </w:t>
      </w:r>
      <w:r w:rsidR="00A70A00">
        <w:rPr>
          <w:color w:val="000000"/>
          <w:sz w:val="22"/>
          <w:szCs w:val="22"/>
        </w:rPr>
        <w:t xml:space="preserve">were contested. </w:t>
      </w:r>
    </w:p>
    <w:p w:rsidR="00001E51" w:rsidP="003129FA" w14:paraId="1D05E426" w14:textId="77777777">
      <w:pPr>
        <w:ind w:firstLine="720"/>
        <w:rPr>
          <w:color w:val="000000"/>
          <w:sz w:val="22"/>
          <w:szCs w:val="22"/>
        </w:rPr>
      </w:pPr>
    </w:p>
    <w:p w:rsidR="009535D5" w:rsidP="003129FA" w14:paraId="060E59A7" w14:textId="4FF9E1CC">
      <w:pPr>
        <w:ind w:firstLine="720"/>
        <w:rPr>
          <w:color w:val="000000"/>
          <w:sz w:val="22"/>
          <w:szCs w:val="22"/>
        </w:rPr>
      </w:pPr>
      <w:r>
        <w:rPr>
          <w:color w:val="000000"/>
          <w:sz w:val="22"/>
          <w:szCs w:val="22"/>
        </w:rPr>
        <w:t xml:space="preserve">Sound of Hope objects to the Modification Application on the </w:t>
      </w:r>
      <w:r w:rsidR="00C57421">
        <w:rPr>
          <w:color w:val="000000"/>
          <w:sz w:val="22"/>
          <w:szCs w:val="22"/>
        </w:rPr>
        <w:t>ground</w:t>
      </w:r>
      <w:r>
        <w:rPr>
          <w:color w:val="000000"/>
          <w:sz w:val="22"/>
          <w:szCs w:val="22"/>
        </w:rPr>
        <w:t xml:space="preserve"> that</w:t>
      </w:r>
      <w:r w:rsidR="00F40E50">
        <w:rPr>
          <w:color w:val="000000"/>
          <w:sz w:val="22"/>
          <w:szCs w:val="22"/>
        </w:rPr>
        <w:t xml:space="preserve"> </w:t>
      </w:r>
      <w:r>
        <w:rPr>
          <w:color w:val="000000"/>
          <w:sz w:val="22"/>
          <w:szCs w:val="22"/>
        </w:rPr>
        <w:t>the</w:t>
      </w:r>
      <w:r w:rsidR="00BC12C4">
        <w:rPr>
          <w:color w:val="000000"/>
          <w:sz w:val="22"/>
          <w:szCs w:val="22"/>
        </w:rPr>
        <w:t xml:space="preserve"> series of</w:t>
      </w:r>
      <w:r w:rsidR="0064107B">
        <w:rPr>
          <w:color w:val="000000"/>
          <w:sz w:val="22"/>
          <w:szCs w:val="22"/>
        </w:rPr>
        <w:t xml:space="preserve"> </w:t>
      </w:r>
      <w:r w:rsidR="00CA1A83">
        <w:rPr>
          <w:color w:val="000000"/>
          <w:sz w:val="22"/>
          <w:szCs w:val="22"/>
        </w:rPr>
        <w:t xml:space="preserve">minor changes </w:t>
      </w:r>
      <w:r w:rsidR="0064107B">
        <w:rPr>
          <w:color w:val="000000"/>
          <w:sz w:val="22"/>
          <w:szCs w:val="22"/>
        </w:rPr>
        <w:t>described above</w:t>
      </w:r>
      <w:r>
        <w:rPr>
          <w:color w:val="000000"/>
          <w:sz w:val="22"/>
          <w:szCs w:val="22"/>
        </w:rPr>
        <w:t xml:space="preserve"> </w:t>
      </w:r>
      <w:r w:rsidR="00CA1A83">
        <w:rPr>
          <w:color w:val="000000"/>
          <w:sz w:val="22"/>
          <w:szCs w:val="22"/>
        </w:rPr>
        <w:t xml:space="preserve">effectively </w:t>
      </w:r>
      <w:r w:rsidR="00F40E50">
        <w:rPr>
          <w:color w:val="000000"/>
          <w:sz w:val="22"/>
          <w:szCs w:val="22"/>
        </w:rPr>
        <w:t>circumvent the major change rule (</w:t>
      </w:r>
      <w:r w:rsidR="00805765">
        <w:rPr>
          <w:color w:val="000000"/>
          <w:sz w:val="22"/>
          <w:szCs w:val="22"/>
        </w:rPr>
        <w:t>s</w:t>
      </w:r>
      <w:r w:rsidR="00F40E50">
        <w:rPr>
          <w:color w:val="000000"/>
          <w:sz w:val="22"/>
          <w:szCs w:val="22"/>
        </w:rPr>
        <w:t>ection 74.1233(a))</w:t>
      </w:r>
      <w:r>
        <w:rPr>
          <w:rStyle w:val="FootnoteReference"/>
          <w:color w:val="000000"/>
          <w:sz w:val="22"/>
          <w:szCs w:val="22"/>
        </w:rPr>
        <w:footnoteReference w:id="16"/>
      </w:r>
      <w:r w:rsidR="0064107B">
        <w:rPr>
          <w:color w:val="000000"/>
          <w:sz w:val="22"/>
          <w:szCs w:val="22"/>
        </w:rPr>
        <w:t xml:space="preserve"> and thus should be disallowed as an abuse of process.</w:t>
      </w:r>
      <w:r>
        <w:rPr>
          <w:rStyle w:val="FootnoteReference"/>
          <w:color w:val="000000"/>
          <w:sz w:val="22"/>
          <w:szCs w:val="22"/>
        </w:rPr>
        <w:footnoteReference w:id="17"/>
      </w:r>
      <w:r w:rsidR="0064107B">
        <w:rPr>
          <w:color w:val="000000"/>
          <w:sz w:val="22"/>
          <w:szCs w:val="22"/>
        </w:rPr>
        <w:t xml:space="preserve">  In making this argument, Sound of Hope relies on t</w:t>
      </w:r>
      <w:r>
        <w:rPr>
          <w:color w:val="000000"/>
          <w:sz w:val="22"/>
          <w:szCs w:val="22"/>
        </w:rPr>
        <w:t xml:space="preserve">he </w:t>
      </w:r>
      <w:r w:rsidR="00B421C5">
        <w:rPr>
          <w:color w:val="000000"/>
          <w:sz w:val="22"/>
          <w:szCs w:val="22"/>
        </w:rPr>
        <w:t>Audio Division, Media Bureau (</w:t>
      </w:r>
      <w:r>
        <w:rPr>
          <w:color w:val="000000"/>
          <w:sz w:val="22"/>
          <w:szCs w:val="22"/>
        </w:rPr>
        <w:t>Bureau</w:t>
      </w:r>
      <w:r w:rsidR="00B421C5">
        <w:rPr>
          <w:color w:val="000000"/>
          <w:sz w:val="22"/>
          <w:szCs w:val="22"/>
        </w:rPr>
        <w:t>)</w:t>
      </w:r>
      <w:r w:rsidR="0064107B">
        <w:rPr>
          <w:color w:val="000000"/>
          <w:sz w:val="22"/>
          <w:szCs w:val="22"/>
        </w:rPr>
        <w:t>’s</w:t>
      </w:r>
      <w:r>
        <w:rPr>
          <w:color w:val="000000"/>
          <w:sz w:val="22"/>
          <w:szCs w:val="22"/>
        </w:rPr>
        <w:t xml:space="preserve"> </w:t>
      </w:r>
      <w:r w:rsidR="0064107B">
        <w:rPr>
          <w:color w:val="000000"/>
          <w:sz w:val="22"/>
          <w:szCs w:val="22"/>
        </w:rPr>
        <w:t xml:space="preserve">2011 </w:t>
      </w:r>
      <w:r>
        <w:rPr>
          <w:i/>
          <w:color w:val="000000"/>
          <w:sz w:val="22"/>
          <w:szCs w:val="22"/>
        </w:rPr>
        <w:t xml:space="preserve">Mattoon </w:t>
      </w:r>
      <w:r>
        <w:rPr>
          <w:color w:val="000000"/>
          <w:sz w:val="22"/>
          <w:szCs w:val="22"/>
        </w:rPr>
        <w:t>decision</w:t>
      </w:r>
      <w:r w:rsidR="00C57421">
        <w:rPr>
          <w:color w:val="000000"/>
          <w:sz w:val="22"/>
          <w:szCs w:val="22"/>
        </w:rPr>
        <w:t xml:space="preserve">, in which the Bureau explained, </w:t>
      </w:r>
      <w:r w:rsidR="00C57421">
        <w:rPr>
          <w:i/>
          <w:color w:val="000000"/>
          <w:sz w:val="22"/>
          <w:szCs w:val="22"/>
        </w:rPr>
        <w:t>obiter dicta</w:t>
      </w:r>
      <w:r>
        <w:rPr>
          <w:color w:val="000000"/>
          <w:sz w:val="22"/>
          <w:szCs w:val="22"/>
        </w:rPr>
        <w:t xml:space="preserve">: </w:t>
      </w:r>
    </w:p>
    <w:p w:rsidR="009C5098" w:rsidP="003129FA" w14:paraId="6F9218F5" w14:textId="77777777">
      <w:pPr>
        <w:ind w:firstLine="720"/>
        <w:rPr>
          <w:color w:val="000000"/>
          <w:sz w:val="22"/>
          <w:szCs w:val="22"/>
        </w:rPr>
      </w:pPr>
    </w:p>
    <w:p w:rsidR="009C5098" w:rsidP="009C5098" w14:paraId="52D45F2C" w14:textId="77777777">
      <w:pPr>
        <w:ind w:left="720"/>
        <w:rPr>
          <w:color w:val="000000"/>
          <w:sz w:val="22"/>
          <w:szCs w:val="22"/>
        </w:rPr>
      </w:pPr>
      <w:r w:rsidRPr="009C5098">
        <w:rPr>
          <w:color w:val="000000"/>
          <w:sz w:val="22"/>
          <w:szCs w:val="22"/>
        </w:rPr>
        <w:t xml:space="preserve">Some translator licensees have attempted to accomplish what would otherwise be dismissed as an impermissible major change under Section 74.1233(a) by filing serial minor modification applications to “hop” to new locations that are sometimes over 100 miles away. We believe the filing of serial modification applications represents an abuse of process. </w:t>
      </w:r>
      <w:r>
        <w:rPr>
          <w:color w:val="000000"/>
          <w:sz w:val="22"/>
          <w:szCs w:val="22"/>
        </w:rPr>
        <w:t xml:space="preserve"> </w:t>
      </w:r>
      <w:r w:rsidRPr="009C5098">
        <w:rPr>
          <w:color w:val="000000"/>
          <w:sz w:val="22"/>
          <w:szCs w:val="22"/>
        </w:rPr>
        <w:t>We recently entered into a consent decree with a party that acknowledged this practice was an abuse of process and agreed to forfeit several authorizations.</w:t>
      </w:r>
      <w:r>
        <w:rPr>
          <w:color w:val="000000"/>
          <w:sz w:val="22"/>
          <w:szCs w:val="22"/>
        </w:rPr>
        <w:t xml:space="preserve"> </w:t>
      </w:r>
      <w:r w:rsidRPr="009C5098">
        <w:rPr>
          <w:color w:val="000000"/>
          <w:sz w:val="22"/>
          <w:szCs w:val="22"/>
        </w:rPr>
        <w:t xml:space="preserve"> The purpose of the overlap requirement is “[t]o prevent ... FM translator stations from abandoning their present service areas.”</w:t>
      </w:r>
      <w:r>
        <w:rPr>
          <w:color w:val="000000"/>
          <w:sz w:val="22"/>
          <w:szCs w:val="22"/>
        </w:rPr>
        <w:t xml:space="preserve"> </w:t>
      </w:r>
      <w:r w:rsidRPr="009C5098">
        <w:rPr>
          <w:color w:val="000000"/>
          <w:sz w:val="22"/>
          <w:szCs w:val="22"/>
        </w:rPr>
        <w:t xml:space="preserve"> The evident purpose of the serial applications is to achieve the prohibited result. </w:t>
      </w:r>
      <w:r w:rsidR="00D96803">
        <w:rPr>
          <w:color w:val="000000"/>
          <w:sz w:val="22"/>
          <w:szCs w:val="22"/>
        </w:rPr>
        <w:t xml:space="preserve"> </w:t>
      </w:r>
      <w:r w:rsidRPr="009C5098">
        <w:rPr>
          <w:color w:val="000000"/>
          <w:sz w:val="22"/>
          <w:szCs w:val="22"/>
        </w:rPr>
        <w:t xml:space="preserve">No rule specifically prohibits such a practice, but the Commission can take appropriate enforcement action, including denial of applications that are </w:t>
      </w:r>
      <w:r w:rsidRPr="009C5098">
        <w:rPr>
          <w:color w:val="000000"/>
          <w:sz w:val="22"/>
          <w:szCs w:val="22"/>
        </w:rPr>
        <w:t>intended to evade the requirement or subvert its purpose pursuant to Section 308(a) of the Communications Act of 1934, as amended, on the ground that grant would not serve the public interest.</w:t>
      </w:r>
      <w:r>
        <w:rPr>
          <w:rStyle w:val="FootnoteReference"/>
          <w:color w:val="000000"/>
          <w:sz w:val="22"/>
          <w:szCs w:val="22"/>
        </w:rPr>
        <w:footnoteReference w:id="18"/>
      </w:r>
      <w:r>
        <w:rPr>
          <w:color w:val="000000"/>
          <w:sz w:val="22"/>
          <w:szCs w:val="22"/>
        </w:rPr>
        <w:t xml:space="preserve"> </w:t>
      </w:r>
    </w:p>
    <w:p w:rsidR="00C57421" w:rsidP="009C5098" w14:paraId="3853F1AD" w14:textId="77777777">
      <w:pPr>
        <w:ind w:left="720"/>
        <w:rPr>
          <w:color w:val="000000"/>
          <w:sz w:val="22"/>
          <w:szCs w:val="22"/>
        </w:rPr>
      </w:pPr>
    </w:p>
    <w:p w:rsidR="00965017" w:rsidRPr="00665BEA" w:rsidP="00665BEA" w14:paraId="076B59C2" w14:textId="77777777">
      <w:pPr>
        <w:rPr>
          <w:color w:val="000000"/>
          <w:sz w:val="22"/>
          <w:szCs w:val="22"/>
        </w:rPr>
      </w:pPr>
      <w:r>
        <w:rPr>
          <w:color w:val="000000"/>
          <w:sz w:val="22"/>
          <w:szCs w:val="22"/>
        </w:rPr>
        <w:t xml:space="preserve">Sound of Hope also cites to two other decisions: (1) the 2014 </w:t>
      </w:r>
      <w:r>
        <w:rPr>
          <w:i/>
          <w:color w:val="000000"/>
          <w:sz w:val="22"/>
          <w:szCs w:val="22"/>
        </w:rPr>
        <w:t xml:space="preserve">EMF </w:t>
      </w:r>
      <w:r>
        <w:rPr>
          <w:color w:val="000000"/>
          <w:sz w:val="22"/>
          <w:szCs w:val="22"/>
        </w:rPr>
        <w:t xml:space="preserve">decision, </w:t>
      </w:r>
      <w:r w:rsidR="00B421C5">
        <w:rPr>
          <w:color w:val="000000"/>
          <w:sz w:val="22"/>
          <w:szCs w:val="22"/>
        </w:rPr>
        <w:t xml:space="preserve">in </w:t>
      </w:r>
      <w:r>
        <w:rPr>
          <w:color w:val="000000"/>
          <w:sz w:val="22"/>
          <w:szCs w:val="22"/>
        </w:rPr>
        <w:t>which</w:t>
      </w:r>
      <w:r w:rsidR="00B421C5">
        <w:rPr>
          <w:color w:val="000000"/>
          <w:sz w:val="22"/>
          <w:szCs w:val="22"/>
        </w:rPr>
        <w:t xml:space="preserve"> the Commission</w:t>
      </w:r>
      <w:r>
        <w:rPr>
          <w:color w:val="000000"/>
          <w:sz w:val="22"/>
          <w:szCs w:val="22"/>
        </w:rPr>
        <w:t xml:space="preserve"> upheld the Bureau’s denial of a </w:t>
      </w:r>
      <w:r>
        <w:rPr>
          <w:i/>
          <w:color w:val="000000"/>
          <w:sz w:val="22"/>
          <w:szCs w:val="22"/>
        </w:rPr>
        <w:t xml:space="preserve">Mattoon </w:t>
      </w:r>
      <w:r>
        <w:rPr>
          <w:color w:val="000000"/>
          <w:sz w:val="22"/>
          <w:szCs w:val="22"/>
        </w:rPr>
        <w:t xml:space="preserve">waiver request that did not satisfy the </w:t>
      </w:r>
      <w:r>
        <w:rPr>
          <w:i/>
          <w:color w:val="000000"/>
          <w:sz w:val="22"/>
          <w:szCs w:val="22"/>
        </w:rPr>
        <w:t xml:space="preserve">Mattoon </w:t>
      </w:r>
      <w:r>
        <w:rPr>
          <w:color w:val="000000"/>
          <w:sz w:val="22"/>
          <w:szCs w:val="22"/>
        </w:rPr>
        <w:t>criterion that the translator rebroadcast an AM station;</w:t>
      </w:r>
      <w:r>
        <w:rPr>
          <w:rStyle w:val="FootnoteReference"/>
          <w:color w:val="000000"/>
          <w:sz w:val="22"/>
          <w:szCs w:val="22"/>
        </w:rPr>
        <w:footnoteReference w:id="19"/>
      </w:r>
      <w:r>
        <w:rPr>
          <w:color w:val="000000"/>
          <w:sz w:val="22"/>
          <w:szCs w:val="22"/>
        </w:rPr>
        <w:t xml:space="preserve"> and (2) the 2014 </w:t>
      </w:r>
      <w:r>
        <w:rPr>
          <w:i/>
          <w:color w:val="000000"/>
          <w:sz w:val="22"/>
          <w:szCs w:val="22"/>
        </w:rPr>
        <w:t xml:space="preserve">Trenton </w:t>
      </w:r>
      <w:r>
        <w:rPr>
          <w:color w:val="000000"/>
          <w:sz w:val="22"/>
          <w:szCs w:val="22"/>
        </w:rPr>
        <w:t xml:space="preserve">decision, </w:t>
      </w:r>
      <w:r w:rsidR="00B421C5">
        <w:rPr>
          <w:color w:val="000000"/>
          <w:sz w:val="22"/>
          <w:szCs w:val="22"/>
        </w:rPr>
        <w:t xml:space="preserve">in </w:t>
      </w:r>
      <w:r>
        <w:rPr>
          <w:color w:val="000000"/>
          <w:sz w:val="22"/>
          <w:szCs w:val="22"/>
        </w:rPr>
        <w:t xml:space="preserve">which </w:t>
      </w:r>
      <w:r w:rsidR="00B421C5">
        <w:rPr>
          <w:color w:val="000000"/>
          <w:sz w:val="22"/>
          <w:szCs w:val="22"/>
        </w:rPr>
        <w:t xml:space="preserve">the Bureau </w:t>
      </w:r>
      <w:r>
        <w:rPr>
          <w:color w:val="000000"/>
          <w:sz w:val="22"/>
          <w:szCs w:val="22"/>
        </w:rPr>
        <w:t xml:space="preserve">denied a </w:t>
      </w:r>
      <w:r>
        <w:rPr>
          <w:i/>
          <w:color w:val="000000"/>
          <w:sz w:val="22"/>
          <w:szCs w:val="22"/>
        </w:rPr>
        <w:t>Mattoon</w:t>
      </w:r>
      <w:r>
        <w:rPr>
          <w:color w:val="000000"/>
          <w:sz w:val="22"/>
          <w:szCs w:val="22"/>
        </w:rPr>
        <w:t xml:space="preserve"> waiver request on the ground that </w:t>
      </w:r>
      <w:r w:rsidR="00B421C5">
        <w:rPr>
          <w:color w:val="000000"/>
          <w:sz w:val="22"/>
          <w:szCs w:val="22"/>
        </w:rPr>
        <w:t>a previous</w:t>
      </w:r>
      <w:r>
        <w:rPr>
          <w:color w:val="000000"/>
          <w:sz w:val="22"/>
          <w:szCs w:val="22"/>
        </w:rPr>
        <w:t xml:space="preserve"> </w:t>
      </w:r>
      <w:r w:rsidR="00EB0179">
        <w:rPr>
          <w:color w:val="000000"/>
          <w:sz w:val="22"/>
          <w:szCs w:val="22"/>
        </w:rPr>
        <w:t xml:space="preserve">modification </w:t>
      </w:r>
      <w:r w:rsidR="00B421C5">
        <w:rPr>
          <w:color w:val="000000"/>
          <w:sz w:val="22"/>
          <w:szCs w:val="22"/>
        </w:rPr>
        <w:t>had</w:t>
      </w:r>
      <w:r w:rsidR="00EB0179">
        <w:rPr>
          <w:color w:val="000000"/>
          <w:sz w:val="22"/>
          <w:szCs w:val="22"/>
        </w:rPr>
        <w:t xml:space="preserve"> the apparent purpose of </w:t>
      </w:r>
      <w:r>
        <w:rPr>
          <w:color w:val="000000"/>
          <w:sz w:val="22"/>
          <w:szCs w:val="22"/>
        </w:rPr>
        <w:t>satisfy</w:t>
      </w:r>
      <w:r w:rsidR="00B421C5">
        <w:rPr>
          <w:color w:val="000000"/>
          <w:sz w:val="22"/>
          <w:szCs w:val="22"/>
        </w:rPr>
        <w:t>ing</w:t>
      </w:r>
      <w:r>
        <w:rPr>
          <w:color w:val="000000"/>
          <w:sz w:val="22"/>
          <w:szCs w:val="22"/>
        </w:rPr>
        <w:t xml:space="preserve"> the </w:t>
      </w:r>
      <w:r>
        <w:rPr>
          <w:i/>
          <w:color w:val="000000"/>
          <w:sz w:val="22"/>
          <w:szCs w:val="22"/>
        </w:rPr>
        <w:t xml:space="preserve">Mattoon </w:t>
      </w:r>
      <w:r>
        <w:rPr>
          <w:color w:val="000000"/>
          <w:sz w:val="22"/>
          <w:szCs w:val="22"/>
        </w:rPr>
        <w:t>criteria of mutual exclusivity.</w:t>
      </w:r>
      <w:r>
        <w:rPr>
          <w:rStyle w:val="FootnoteReference"/>
          <w:color w:val="000000"/>
          <w:sz w:val="22"/>
          <w:szCs w:val="22"/>
        </w:rPr>
        <w:footnoteReference w:id="20"/>
      </w:r>
      <w:r>
        <w:rPr>
          <w:color w:val="000000"/>
          <w:sz w:val="22"/>
          <w:szCs w:val="22"/>
        </w:rPr>
        <w:t xml:space="preserve"> </w:t>
      </w:r>
    </w:p>
    <w:p w:rsidR="00DE4900" w:rsidP="009C5098" w14:paraId="3C5F2E22" w14:textId="77777777">
      <w:pPr>
        <w:ind w:left="720"/>
        <w:rPr>
          <w:color w:val="000000"/>
          <w:sz w:val="22"/>
          <w:szCs w:val="22"/>
        </w:rPr>
      </w:pPr>
    </w:p>
    <w:p w:rsidR="00937EBC" w:rsidP="005C394E" w14:paraId="2A79B335" w14:textId="77777777">
      <w:pPr>
        <w:ind w:firstLine="720"/>
        <w:rPr>
          <w:color w:val="000000"/>
          <w:sz w:val="22"/>
          <w:szCs w:val="22"/>
        </w:rPr>
      </w:pPr>
      <w:r>
        <w:rPr>
          <w:color w:val="000000"/>
          <w:sz w:val="22"/>
          <w:szCs w:val="22"/>
        </w:rPr>
        <w:t xml:space="preserve">In its Opposition, </w:t>
      </w:r>
      <w:r>
        <w:rPr>
          <w:color w:val="000000"/>
          <w:sz w:val="22"/>
          <w:szCs w:val="22"/>
        </w:rPr>
        <w:t xml:space="preserve">Edgewater </w:t>
      </w:r>
      <w:r w:rsidR="003B4A5C">
        <w:rPr>
          <w:color w:val="000000"/>
          <w:sz w:val="22"/>
          <w:szCs w:val="22"/>
        </w:rPr>
        <w:t xml:space="preserve">argues that Sound of Hope’s pleading is motivated by its </w:t>
      </w:r>
      <w:r w:rsidR="00B421C5">
        <w:rPr>
          <w:color w:val="000000"/>
          <w:sz w:val="22"/>
          <w:szCs w:val="22"/>
        </w:rPr>
        <w:t>intention</w:t>
      </w:r>
      <w:r w:rsidR="003B4A5C">
        <w:rPr>
          <w:color w:val="000000"/>
          <w:sz w:val="22"/>
          <w:szCs w:val="22"/>
        </w:rPr>
        <w:t xml:space="preserve"> to file a competing modification application and that competitive advantage is not a valid basis for an informal objection.</w:t>
      </w:r>
      <w:r>
        <w:rPr>
          <w:rStyle w:val="FootnoteReference"/>
          <w:color w:val="000000"/>
          <w:sz w:val="22"/>
          <w:szCs w:val="22"/>
        </w:rPr>
        <w:footnoteReference w:id="21"/>
      </w:r>
      <w:r w:rsidR="003B4A5C">
        <w:rPr>
          <w:color w:val="000000"/>
          <w:sz w:val="22"/>
          <w:szCs w:val="22"/>
        </w:rPr>
        <w:t xml:space="preserve">  Apparently in the alternative, Edgewater complains that Sound of Hope “does not even attempt to explain how the instant modification would impact it.”</w:t>
      </w:r>
      <w:r>
        <w:rPr>
          <w:rStyle w:val="FootnoteReference"/>
          <w:color w:val="000000"/>
          <w:sz w:val="22"/>
          <w:szCs w:val="22"/>
        </w:rPr>
        <w:footnoteReference w:id="22"/>
      </w:r>
      <w:r w:rsidR="003B4A5C">
        <w:rPr>
          <w:color w:val="000000"/>
          <w:sz w:val="22"/>
          <w:szCs w:val="22"/>
        </w:rPr>
        <w:t xml:space="preserve">  </w:t>
      </w:r>
      <w:r w:rsidR="007A7A88">
        <w:rPr>
          <w:color w:val="000000"/>
          <w:sz w:val="22"/>
          <w:szCs w:val="22"/>
        </w:rPr>
        <w:t>On the merits, Edgewater</w:t>
      </w:r>
      <w:r w:rsidR="007D0F5C">
        <w:rPr>
          <w:color w:val="000000"/>
          <w:sz w:val="22"/>
          <w:szCs w:val="22"/>
        </w:rPr>
        <w:t xml:space="preserve"> states</w:t>
      </w:r>
      <w:r w:rsidR="007A7A88">
        <w:rPr>
          <w:color w:val="000000"/>
          <w:sz w:val="22"/>
          <w:szCs w:val="22"/>
        </w:rPr>
        <w:t xml:space="preserve"> that </w:t>
      </w:r>
      <w:r w:rsidR="007D0F5C">
        <w:rPr>
          <w:color w:val="000000"/>
          <w:sz w:val="22"/>
          <w:szCs w:val="22"/>
        </w:rPr>
        <w:t>not all</w:t>
      </w:r>
      <w:r w:rsidR="007A7A88">
        <w:rPr>
          <w:color w:val="000000"/>
          <w:sz w:val="22"/>
          <w:szCs w:val="22"/>
        </w:rPr>
        <w:t xml:space="preserve"> of the </w:t>
      </w:r>
      <w:r w:rsidR="007D0F5C">
        <w:rPr>
          <w:color w:val="000000"/>
          <w:sz w:val="22"/>
          <w:szCs w:val="22"/>
        </w:rPr>
        <w:t>construction permits it applied for</w:t>
      </w:r>
      <w:r w:rsidR="007A7A88">
        <w:rPr>
          <w:color w:val="000000"/>
          <w:sz w:val="22"/>
          <w:szCs w:val="22"/>
        </w:rPr>
        <w:t xml:space="preserve"> were</w:t>
      </w:r>
      <w:r w:rsidR="007D0F5C">
        <w:rPr>
          <w:color w:val="000000"/>
          <w:sz w:val="22"/>
          <w:szCs w:val="22"/>
        </w:rPr>
        <w:t xml:space="preserve"> </w:t>
      </w:r>
      <w:r w:rsidR="007A7A88">
        <w:rPr>
          <w:color w:val="000000"/>
          <w:sz w:val="22"/>
          <w:szCs w:val="22"/>
        </w:rPr>
        <w:t>licensed and</w:t>
      </w:r>
      <w:r w:rsidR="00D96803">
        <w:rPr>
          <w:color w:val="000000"/>
          <w:sz w:val="22"/>
          <w:szCs w:val="22"/>
        </w:rPr>
        <w:t xml:space="preserve"> </w:t>
      </w:r>
      <w:r w:rsidR="00235B9F">
        <w:rPr>
          <w:color w:val="000000"/>
          <w:sz w:val="22"/>
          <w:szCs w:val="22"/>
        </w:rPr>
        <w:t xml:space="preserve">asserts </w:t>
      </w:r>
      <w:r>
        <w:rPr>
          <w:color w:val="000000"/>
          <w:sz w:val="22"/>
          <w:szCs w:val="22"/>
        </w:rPr>
        <w:t>that the modifications</w:t>
      </w:r>
      <w:r w:rsidR="00D96803">
        <w:rPr>
          <w:color w:val="000000"/>
          <w:sz w:val="22"/>
          <w:szCs w:val="22"/>
        </w:rPr>
        <w:t xml:space="preserve"> were</w:t>
      </w:r>
      <w:r>
        <w:rPr>
          <w:color w:val="000000"/>
          <w:sz w:val="22"/>
          <w:szCs w:val="22"/>
        </w:rPr>
        <w:t xml:space="preserve"> “implemented consistent with the Commission’s rules and policies.”</w:t>
      </w:r>
      <w:r>
        <w:rPr>
          <w:rStyle w:val="FootnoteReference"/>
          <w:color w:val="000000"/>
          <w:sz w:val="22"/>
          <w:szCs w:val="22"/>
        </w:rPr>
        <w:footnoteReference w:id="23"/>
      </w:r>
    </w:p>
    <w:p w:rsidR="00CB7DE0" w:rsidP="00950B9B" w14:paraId="19DCBE77" w14:textId="77777777">
      <w:pPr>
        <w:rPr>
          <w:color w:val="000000"/>
          <w:sz w:val="22"/>
          <w:szCs w:val="22"/>
        </w:rPr>
      </w:pPr>
    </w:p>
    <w:p w:rsidR="007F566B" w:rsidP="00531661" w14:paraId="44839646" w14:textId="405820C8">
      <w:pPr>
        <w:ind w:firstLine="720"/>
        <w:rPr>
          <w:sz w:val="22"/>
          <w:szCs w:val="22"/>
        </w:rPr>
      </w:pPr>
      <w:r w:rsidRPr="005675BC">
        <w:rPr>
          <w:b/>
          <w:color w:val="000000"/>
          <w:spacing w:val="-7"/>
          <w:sz w:val="22"/>
          <w:szCs w:val="22"/>
        </w:rPr>
        <w:t>Discussion</w:t>
      </w:r>
      <w:r w:rsidRPr="005675BC" w:rsidR="003A3C89">
        <w:rPr>
          <w:b/>
          <w:color w:val="000000"/>
          <w:spacing w:val="-7"/>
          <w:sz w:val="22"/>
          <w:szCs w:val="22"/>
        </w:rPr>
        <w:t xml:space="preserve">. </w:t>
      </w:r>
      <w:r w:rsidRPr="005675BC">
        <w:rPr>
          <w:color w:val="000000"/>
          <w:spacing w:val="-7"/>
          <w:sz w:val="22"/>
          <w:szCs w:val="22"/>
        </w:rPr>
        <w:t xml:space="preserve"> </w:t>
      </w:r>
      <w:r w:rsidR="00934A81">
        <w:rPr>
          <w:sz w:val="22"/>
          <w:szCs w:val="22"/>
        </w:rPr>
        <w:t>An i</w:t>
      </w:r>
      <w:r w:rsidRPr="008C472B" w:rsidR="00531661">
        <w:rPr>
          <w:sz w:val="22"/>
          <w:szCs w:val="22"/>
        </w:rPr>
        <w:t xml:space="preserve">nformal objection </w:t>
      </w:r>
      <w:r w:rsidR="00531661">
        <w:rPr>
          <w:sz w:val="22"/>
          <w:szCs w:val="22"/>
        </w:rPr>
        <w:t xml:space="preserve">may be filed at any time prior to </w:t>
      </w:r>
      <w:r w:rsidR="00934A81">
        <w:rPr>
          <w:sz w:val="22"/>
          <w:szCs w:val="22"/>
        </w:rPr>
        <w:t xml:space="preserve">action </w:t>
      </w:r>
      <w:r w:rsidR="00296D8F">
        <w:rPr>
          <w:sz w:val="22"/>
          <w:szCs w:val="22"/>
        </w:rPr>
        <w:t xml:space="preserve">on </w:t>
      </w:r>
      <w:r w:rsidR="00934A81">
        <w:rPr>
          <w:sz w:val="22"/>
          <w:szCs w:val="22"/>
        </w:rPr>
        <w:t>the subject application</w:t>
      </w:r>
      <w:r>
        <w:rPr>
          <w:rStyle w:val="FootnoteReference"/>
          <w:sz w:val="22"/>
          <w:szCs w:val="22"/>
        </w:rPr>
        <w:footnoteReference w:id="24"/>
      </w:r>
      <w:r w:rsidR="00531661">
        <w:rPr>
          <w:sz w:val="22"/>
          <w:szCs w:val="22"/>
        </w:rPr>
        <w:t xml:space="preserve"> and </w:t>
      </w:r>
      <w:r w:rsidRPr="008C472B" w:rsidR="00531661">
        <w:rPr>
          <w:sz w:val="22"/>
          <w:szCs w:val="22"/>
        </w:rPr>
        <w:t xml:space="preserve">must, pursuant to </w:t>
      </w:r>
      <w:r w:rsidR="00805765">
        <w:rPr>
          <w:sz w:val="22"/>
          <w:szCs w:val="22"/>
        </w:rPr>
        <w:t>s</w:t>
      </w:r>
      <w:r w:rsidRPr="008C472B" w:rsidR="00531661">
        <w:rPr>
          <w:sz w:val="22"/>
          <w:szCs w:val="22"/>
        </w:rPr>
        <w:t>ection 309(e) of the Communications Act</w:t>
      </w:r>
      <w:r w:rsidR="00296D8F">
        <w:rPr>
          <w:sz w:val="22"/>
          <w:szCs w:val="22"/>
        </w:rPr>
        <w:t xml:space="preserve"> of 1934, as amended (Act)</w:t>
      </w:r>
      <w:r w:rsidRPr="008C472B" w:rsidR="00531661">
        <w:rPr>
          <w:sz w:val="22"/>
          <w:szCs w:val="22"/>
        </w:rPr>
        <w:t>, provide properly supported allegations of fact which, if true, would establish a substantial and material question of fact regarding whether grant of the application in question would be consistent with the public interest, convenience and necessity.</w:t>
      </w:r>
      <w:r>
        <w:rPr>
          <w:rStyle w:val="FootnoteReference"/>
          <w:sz w:val="22"/>
          <w:szCs w:val="22"/>
        </w:rPr>
        <w:footnoteReference w:id="25"/>
      </w:r>
      <w:r w:rsidR="00B55E24">
        <w:rPr>
          <w:sz w:val="22"/>
          <w:szCs w:val="22"/>
        </w:rPr>
        <w:t xml:space="preserve">  </w:t>
      </w:r>
      <w:r w:rsidR="00235B9F">
        <w:rPr>
          <w:sz w:val="22"/>
          <w:szCs w:val="22"/>
        </w:rPr>
        <w:t>Sound of Hope has failed to meet this burden.</w:t>
      </w:r>
    </w:p>
    <w:p w:rsidR="007F566B" w:rsidP="00531661" w14:paraId="0728DA5E" w14:textId="77777777">
      <w:pPr>
        <w:ind w:firstLine="720"/>
        <w:rPr>
          <w:sz w:val="22"/>
          <w:szCs w:val="22"/>
        </w:rPr>
      </w:pPr>
    </w:p>
    <w:p w:rsidR="00035B42" w:rsidP="00531661" w14:paraId="454E00F2" w14:textId="77777777">
      <w:pPr>
        <w:ind w:firstLine="720"/>
        <w:rPr>
          <w:sz w:val="22"/>
          <w:szCs w:val="22"/>
        </w:rPr>
      </w:pPr>
      <w:r>
        <w:rPr>
          <w:i/>
          <w:sz w:val="22"/>
          <w:szCs w:val="22"/>
        </w:rPr>
        <w:t xml:space="preserve">Standing.  </w:t>
      </w:r>
      <w:r w:rsidR="00235B9F">
        <w:rPr>
          <w:sz w:val="22"/>
          <w:szCs w:val="22"/>
        </w:rPr>
        <w:t xml:space="preserve">As a threshold matter, we find that </w:t>
      </w:r>
      <w:r w:rsidR="00B55E24">
        <w:rPr>
          <w:sz w:val="22"/>
          <w:szCs w:val="22"/>
        </w:rPr>
        <w:t xml:space="preserve">Edgewater’s argument that Sound of Hope lacks standing to object to the Application </w:t>
      </w:r>
      <w:r w:rsidR="00152CD6">
        <w:rPr>
          <w:sz w:val="22"/>
          <w:szCs w:val="22"/>
        </w:rPr>
        <w:t>is</w:t>
      </w:r>
      <w:r w:rsidR="00B55E24">
        <w:rPr>
          <w:sz w:val="22"/>
          <w:szCs w:val="22"/>
        </w:rPr>
        <w:t xml:space="preserve"> misplaced.</w:t>
      </w:r>
      <w:r w:rsidR="007F566B">
        <w:rPr>
          <w:sz w:val="22"/>
          <w:szCs w:val="22"/>
        </w:rPr>
        <w:t xml:space="preserve">  First, standing is not required to file an informal objection.</w:t>
      </w:r>
      <w:r>
        <w:rPr>
          <w:rStyle w:val="FootnoteReference"/>
          <w:sz w:val="22"/>
          <w:szCs w:val="22"/>
        </w:rPr>
        <w:footnoteReference w:id="26"/>
      </w:r>
      <w:r w:rsidR="007F566B">
        <w:rPr>
          <w:sz w:val="22"/>
          <w:szCs w:val="22"/>
        </w:rPr>
        <w:t xml:space="preserve">  Second, as a competitor in the relevant market, Sound of Hope has standing to object to the Application.</w:t>
      </w:r>
      <w:r>
        <w:rPr>
          <w:rStyle w:val="FootnoteReference"/>
          <w:sz w:val="22"/>
          <w:szCs w:val="22"/>
        </w:rPr>
        <w:footnoteReference w:id="27"/>
      </w:r>
      <w:r w:rsidR="007F566B">
        <w:rPr>
          <w:sz w:val="22"/>
          <w:szCs w:val="22"/>
        </w:rPr>
        <w:t xml:space="preserve"> </w:t>
      </w:r>
      <w:r w:rsidR="00B55E24">
        <w:rPr>
          <w:sz w:val="22"/>
          <w:szCs w:val="22"/>
        </w:rPr>
        <w:t xml:space="preserve"> </w:t>
      </w:r>
      <w:r w:rsidR="009E3F18">
        <w:rPr>
          <w:sz w:val="22"/>
          <w:szCs w:val="22"/>
        </w:rPr>
        <w:t>Therefore</w:t>
      </w:r>
      <w:r>
        <w:rPr>
          <w:sz w:val="22"/>
          <w:szCs w:val="22"/>
        </w:rPr>
        <w:t xml:space="preserve">, we </w:t>
      </w:r>
      <w:r w:rsidR="00152CD6">
        <w:rPr>
          <w:sz w:val="22"/>
          <w:szCs w:val="22"/>
        </w:rPr>
        <w:t xml:space="preserve">will </w:t>
      </w:r>
      <w:r>
        <w:rPr>
          <w:sz w:val="22"/>
          <w:szCs w:val="22"/>
        </w:rPr>
        <w:t>consider Sound of Hope’s arguments on the merits.</w:t>
      </w:r>
      <w:r w:rsidR="00B55E24">
        <w:rPr>
          <w:sz w:val="22"/>
          <w:szCs w:val="22"/>
        </w:rPr>
        <w:t xml:space="preserve"> </w:t>
      </w:r>
    </w:p>
    <w:p w:rsidR="00035B42" w:rsidP="00531661" w14:paraId="5C87119D" w14:textId="77777777">
      <w:pPr>
        <w:ind w:firstLine="720"/>
        <w:rPr>
          <w:color w:val="000000"/>
          <w:sz w:val="22"/>
          <w:szCs w:val="22"/>
        </w:rPr>
      </w:pPr>
    </w:p>
    <w:p w:rsidR="009E3F18" w:rsidP="00531661" w14:paraId="44BB9BBC" w14:textId="61ABD52A">
      <w:pPr>
        <w:ind w:firstLine="720"/>
        <w:rPr>
          <w:i/>
          <w:color w:val="000000"/>
          <w:sz w:val="22"/>
          <w:szCs w:val="22"/>
        </w:rPr>
      </w:pPr>
      <w:r>
        <w:rPr>
          <w:i/>
          <w:color w:val="000000"/>
          <w:sz w:val="22"/>
          <w:szCs w:val="22"/>
        </w:rPr>
        <w:t>Abuse of process</w:t>
      </w:r>
      <w:r w:rsidR="007335B5">
        <w:rPr>
          <w:i/>
          <w:color w:val="000000"/>
          <w:sz w:val="22"/>
          <w:szCs w:val="22"/>
        </w:rPr>
        <w:t xml:space="preserve"> </w:t>
      </w:r>
      <w:r w:rsidR="00235B9F">
        <w:rPr>
          <w:i/>
          <w:color w:val="000000"/>
          <w:sz w:val="22"/>
          <w:szCs w:val="22"/>
        </w:rPr>
        <w:t>analysis</w:t>
      </w:r>
      <w:r>
        <w:rPr>
          <w:i/>
          <w:color w:val="000000"/>
          <w:sz w:val="22"/>
          <w:szCs w:val="22"/>
        </w:rPr>
        <w:t>.</w:t>
      </w:r>
      <w:r w:rsidR="00B923BA">
        <w:rPr>
          <w:i/>
          <w:color w:val="000000"/>
          <w:sz w:val="22"/>
          <w:szCs w:val="22"/>
        </w:rPr>
        <w:t xml:space="preserve">  </w:t>
      </w:r>
      <w:r w:rsidR="00B923BA">
        <w:rPr>
          <w:color w:val="000000"/>
          <w:sz w:val="22"/>
          <w:szCs w:val="22"/>
        </w:rPr>
        <w:t xml:space="preserve">In </w:t>
      </w:r>
      <w:r w:rsidR="00B923BA">
        <w:rPr>
          <w:i/>
          <w:color w:val="000000"/>
          <w:sz w:val="22"/>
          <w:szCs w:val="22"/>
        </w:rPr>
        <w:t>Mattoon</w:t>
      </w:r>
      <w:r w:rsidR="007D0F5C">
        <w:rPr>
          <w:i/>
          <w:color w:val="000000"/>
          <w:sz w:val="22"/>
          <w:szCs w:val="22"/>
        </w:rPr>
        <w:t xml:space="preserve"> </w:t>
      </w:r>
      <w:r w:rsidR="007D0F5C">
        <w:rPr>
          <w:color w:val="000000"/>
          <w:sz w:val="22"/>
          <w:szCs w:val="22"/>
        </w:rPr>
        <w:t xml:space="preserve">and </w:t>
      </w:r>
      <w:r w:rsidR="007D0F5C">
        <w:rPr>
          <w:i/>
          <w:color w:val="000000"/>
          <w:sz w:val="22"/>
          <w:szCs w:val="22"/>
        </w:rPr>
        <w:t>Broadcast Towers</w:t>
      </w:r>
      <w:r w:rsidR="00B923BA">
        <w:rPr>
          <w:color w:val="000000"/>
          <w:sz w:val="22"/>
          <w:szCs w:val="22"/>
        </w:rPr>
        <w:t xml:space="preserve">, we articulated </w:t>
      </w:r>
      <w:r w:rsidRPr="005F2D7D" w:rsidR="005F5EF4">
        <w:rPr>
          <w:color w:val="000000"/>
          <w:sz w:val="22"/>
          <w:szCs w:val="22"/>
        </w:rPr>
        <w:t>the policy that a licensee who effectuates a major change in antenna location by means of a succession of serial minor changes may be abusing the Commission's processes</w:t>
      </w:r>
      <w:r w:rsidR="005F5EF4">
        <w:rPr>
          <w:color w:val="000000"/>
          <w:sz w:val="22"/>
          <w:szCs w:val="22"/>
        </w:rPr>
        <w:t>.</w:t>
      </w:r>
      <w:r>
        <w:rPr>
          <w:rStyle w:val="FootnoteReference"/>
          <w:color w:val="000000"/>
          <w:sz w:val="22"/>
          <w:szCs w:val="22"/>
        </w:rPr>
        <w:footnoteReference w:id="28"/>
      </w:r>
      <w:r w:rsidR="00326B00">
        <w:rPr>
          <w:color w:val="000000"/>
          <w:sz w:val="22"/>
          <w:szCs w:val="22"/>
        </w:rPr>
        <w:t xml:space="preserve">  </w:t>
      </w:r>
      <w:r w:rsidRPr="00E36BA8" w:rsidR="00E36BA8">
        <w:rPr>
          <w:color w:val="000000"/>
          <w:sz w:val="22"/>
          <w:szCs w:val="22"/>
        </w:rPr>
        <w:t>“</w:t>
      </w:r>
      <w:r w:rsidR="00B421C5">
        <w:rPr>
          <w:color w:val="000000"/>
          <w:sz w:val="22"/>
          <w:szCs w:val="22"/>
        </w:rPr>
        <w:t>A</w:t>
      </w:r>
      <w:r w:rsidRPr="00E36BA8" w:rsidR="00E36BA8">
        <w:rPr>
          <w:color w:val="000000"/>
          <w:sz w:val="22"/>
          <w:szCs w:val="22"/>
        </w:rPr>
        <w:t xml:space="preserve">buse of process” has been defined as “the use of a Commission process, procedure or rule to achieve a result which that process, procedure or rule was </w:t>
      </w:r>
      <w:r w:rsidRPr="00E36BA8" w:rsidR="00E36BA8">
        <w:rPr>
          <w:color w:val="000000"/>
          <w:sz w:val="22"/>
          <w:szCs w:val="22"/>
        </w:rPr>
        <w:t>not designed or intended to achieve or, alternatively, use of such process, procedure, or rule in a manner which subverts the underlying intended purpose of that process, procedure, or rule.”</w:t>
      </w:r>
      <w:r>
        <w:rPr>
          <w:rStyle w:val="FootnoteReference"/>
          <w:color w:val="000000"/>
          <w:sz w:val="22"/>
          <w:szCs w:val="22"/>
        </w:rPr>
        <w:footnoteReference w:id="29"/>
      </w:r>
      <w:r w:rsidRPr="00E36BA8" w:rsidR="00E36BA8">
        <w:rPr>
          <w:color w:val="000000"/>
          <w:sz w:val="22"/>
          <w:szCs w:val="22"/>
        </w:rPr>
        <w:t xml:space="preserve"> </w:t>
      </w:r>
      <w:r w:rsidR="00E36BA8">
        <w:rPr>
          <w:color w:val="000000"/>
          <w:sz w:val="22"/>
          <w:szCs w:val="22"/>
        </w:rPr>
        <w:t xml:space="preserve"> </w:t>
      </w:r>
      <w:r w:rsidRPr="00E36BA8" w:rsidR="00E36BA8">
        <w:rPr>
          <w:color w:val="000000"/>
          <w:sz w:val="22"/>
          <w:szCs w:val="22"/>
        </w:rPr>
        <w:t>An abuse of process ordinarily involves an intent to gain some benefit by manipulating the Commission's procedures.</w:t>
      </w:r>
      <w:r>
        <w:rPr>
          <w:rStyle w:val="FootnoteReference"/>
          <w:color w:val="000000"/>
          <w:sz w:val="22"/>
          <w:szCs w:val="22"/>
        </w:rPr>
        <w:footnoteReference w:id="30"/>
      </w:r>
      <w:r w:rsidR="007D0F5C">
        <w:rPr>
          <w:color w:val="000000"/>
          <w:sz w:val="22"/>
          <w:szCs w:val="22"/>
        </w:rPr>
        <w:t xml:space="preserve">  Much of our case law involving abuse of process relates to pleadings or applications that are filed for the purpose of delay or extracting a profit from settlement.</w:t>
      </w:r>
      <w:r>
        <w:rPr>
          <w:rStyle w:val="FootnoteReference"/>
          <w:color w:val="000000"/>
          <w:sz w:val="22"/>
          <w:szCs w:val="22"/>
        </w:rPr>
        <w:footnoteReference w:id="31"/>
      </w:r>
      <w:r w:rsidR="007D0F5C">
        <w:rPr>
          <w:color w:val="000000"/>
          <w:sz w:val="22"/>
          <w:szCs w:val="22"/>
        </w:rPr>
        <w:t xml:space="preserve">  In such cases, if a petition is found to be abusive because it lacks correct verification, for example, the enforcement sanction is typically dismissal of the pleading.</w:t>
      </w:r>
      <w:r>
        <w:rPr>
          <w:rStyle w:val="FootnoteReference"/>
          <w:color w:val="000000"/>
          <w:sz w:val="22"/>
          <w:szCs w:val="22"/>
        </w:rPr>
        <w:footnoteReference w:id="32"/>
      </w:r>
      <w:r w:rsidR="007D0F5C">
        <w:rPr>
          <w:color w:val="000000"/>
          <w:sz w:val="22"/>
          <w:szCs w:val="22"/>
        </w:rPr>
        <w:t xml:space="preserve">  </w:t>
      </w:r>
      <w:r w:rsidR="001C5526">
        <w:rPr>
          <w:color w:val="000000"/>
          <w:sz w:val="22"/>
          <w:szCs w:val="22"/>
        </w:rPr>
        <w:t>Similarly</w:t>
      </w:r>
      <w:r w:rsidR="007D0F5C">
        <w:rPr>
          <w:color w:val="000000"/>
          <w:sz w:val="22"/>
          <w:szCs w:val="22"/>
        </w:rPr>
        <w:t xml:space="preserve">, in </w:t>
      </w:r>
      <w:r w:rsidR="007D0F5C">
        <w:rPr>
          <w:i/>
          <w:color w:val="000000"/>
          <w:sz w:val="22"/>
          <w:szCs w:val="22"/>
        </w:rPr>
        <w:t>Mattoon</w:t>
      </w:r>
      <w:r w:rsidR="007D0F5C">
        <w:rPr>
          <w:color w:val="000000"/>
          <w:sz w:val="22"/>
          <w:szCs w:val="22"/>
        </w:rPr>
        <w:t xml:space="preserve">, the Bureau suggested that an appropriate sanction </w:t>
      </w:r>
      <w:r w:rsidR="00387AA0">
        <w:rPr>
          <w:color w:val="000000"/>
          <w:sz w:val="22"/>
          <w:szCs w:val="22"/>
        </w:rPr>
        <w:t xml:space="preserve">for </w:t>
      </w:r>
      <w:r w:rsidR="007D0F5C">
        <w:rPr>
          <w:color w:val="000000"/>
          <w:sz w:val="22"/>
          <w:szCs w:val="22"/>
        </w:rPr>
        <w:t xml:space="preserve">abusive serial modifications </w:t>
      </w:r>
      <w:r w:rsidR="0059647C">
        <w:rPr>
          <w:color w:val="000000"/>
          <w:sz w:val="22"/>
          <w:szCs w:val="22"/>
        </w:rPr>
        <w:t>c</w:t>
      </w:r>
      <w:r w:rsidR="007D0F5C">
        <w:rPr>
          <w:color w:val="000000"/>
          <w:sz w:val="22"/>
          <w:szCs w:val="22"/>
        </w:rPr>
        <w:t xml:space="preserve">ould be “denial of </w:t>
      </w:r>
      <w:r w:rsidRPr="009C5098" w:rsidR="007D0F5C">
        <w:rPr>
          <w:color w:val="000000"/>
          <w:sz w:val="22"/>
          <w:szCs w:val="22"/>
        </w:rPr>
        <w:t xml:space="preserve">applications that are intended to evade the </w:t>
      </w:r>
      <w:r w:rsidR="007D0F5C">
        <w:rPr>
          <w:color w:val="000000"/>
          <w:sz w:val="22"/>
          <w:szCs w:val="22"/>
        </w:rPr>
        <w:t>[major change</w:t>
      </w:r>
      <w:r w:rsidRPr="00EB0CE7" w:rsidR="007D0F5C">
        <w:rPr>
          <w:color w:val="000000"/>
          <w:sz w:val="22"/>
          <w:szCs w:val="22"/>
        </w:rPr>
        <w:t xml:space="preserve">] </w:t>
      </w:r>
      <w:r w:rsidRPr="009C5098" w:rsidR="007D0F5C">
        <w:rPr>
          <w:color w:val="000000"/>
          <w:sz w:val="22"/>
          <w:szCs w:val="22"/>
        </w:rPr>
        <w:t>requirement or subvert its purpose</w:t>
      </w:r>
      <w:r w:rsidR="007D0F5C">
        <w:rPr>
          <w:color w:val="000000"/>
          <w:sz w:val="22"/>
          <w:szCs w:val="22"/>
        </w:rPr>
        <w:t>.”</w:t>
      </w:r>
      <w:r>
        <w:rPr>
          <w:rStyle w:val="FootnoteReference"/>
          <w:color w:val="000000"/>
          <w:sz w:val="22"/>
          <w:szCs w:val="22"/>
        </w:rPr>
        <w:footnoteReference w:id="33"/>
      </w:r>
      <w:r w:rsidR="001C5526">
        <w:rPr>
          <w:color w:val="000000"/>
          <w:sz w:val="22"/>
          <w:szCs w:val="22"/>
        </w:rPr>
        <w:t xml:space="preserve">  </w:t>
      </w:r>
      <w:r w:rsidR="00A979B1">
        <w:rPr>
          <w:color w:val="000000"/>
          <w:sz w:val="22"/>
          <w:szCs w:val="22"/>
        </w:rPr>
        <w:t>Therefore</w:t>
      </w:r>
      <w:r w:rsidR="0059647C">
        <w:rPr>
          <w:color w:val="000000"/>
          <w:sz w:val="22"/>
          <w:szCs w:val="22"/>
        </w:rPr>
        <w:t>, in this case we consider</w:t>
      </w:r>
      <w:r w:rsidR="001C5526">
        <w:rPr>
          <w:color w:val="000000"/>
          <w:sz w:val="22"/>
          <w:szCs w:val="22"/>
        </w:rPr>
        <w:t xml:space="preserve"> whether to grant or deny the Modification Application</w:t>
      </w:r>
      <w:r w:rsidR="0059647C">
        <w:rPr>
          <w:color w:val="000000"/>
          <w:sz w:val="22"/>
          <w:szCs w:val="22"/>
        </w:rPr>
        <w:t xml:space="preserve"> based on the abuse of process theory set out in </w:t>
      </w:r>
      <w:r w:rsidR="0059647C">
        <w:rPr>
          <w:i/>
          <w:color w:val="000000"/>
          <w:sz w:val="22"/>
          <w:szCs w:val="22"/>
        </w:rPr>
        <w:t xml:space="preserve">Mattoon </w:t>
      </w:r>
      <w:r w:rsidR="0059647C">
        <w:rPr>
          <w:color w:val="000000"/>
          <w:sz w:val="22"/>
          <w:szCs w:val="22"/>
        </w:rPr>
        <w:t xml:space="preserve">and </w:t>
      </w:r>
      <w:r w:rsidR="0059647C">
        <w:rPr>
          <w:i/>
          <w:color w:val="000000"/>
          <w:sz w:val="22"/>
          <w:szCs w:val="22"/>
        </w:rPr>
        <w:t>Broadcast Towers</w:t>
      </w:r>
      <w:r w:rsidR="001C5526">
        <w:rPr>
          <w:color w:val="000000"/>
          <w:sz w:val="22"/>
          <w:szCs w:val="22"/>
        </w:rPr>
        <w:t xml:space="preserve">. </w:t>
      </w:r>
      <w:r w:rsidR="007D0F5C">
        <w:rPr>
          <w:color w:val="000000"/>
          <w:sz w:val="22"/>
          <w:szCs w:val="22"/>
        </w:rPr>
        <w:t xml:space="preserve">  </w:t>
      </w:r>
      <w:r w:rsidR="00E36BA8">
        <w:rPr>
          <w:i/>
          <w:color w:val="000000"/>
          <w:sz w:val="22"/>
          <w:szCs w:val="22"/>
        </w:rPr>
        <w:t xml:space="preserve"> </w:t>
      </w:r>
    </w:p>
    <w:p w:rsidR="00D13D56" w:rsidP="00531661" w14:paraId="6C52641F" w14:textId="77777777">
      <w:pPr>
        <w:ind w:firstLine="720"/>
        <w:rPr>
          <w:color w:val="000000"/>
          <w:sz w:val="22"/>
          <w:szCs w:val="22"/>
        </w:rPr>
      </w:pPr>
    </w:p>
    <w:p w:rsidR="00D13D56" w:rsidRPr="000E1348" w:rsidP="00D13D56" w14:paraId="2FD7D786" w14:textId="3476530C">
      <w:pPr>
        <w:ind w:firstLine="720"/>
        <w:rPr>
          <w:color w:val="000000"/>
          <w:sz w:val="22"/>
          <w:szCs w:val="22"/>
        </w:rPr>
      </w:pPr>
      <w:r>
        <w:rPr>
          <w:color w:val="000000"/>
          <w:sz w:val="22"/>
          <w:szCs w:val="22"/>
        </w:rPr>
        <w:t xml:space="preserve">Because the </w:t>
      </w:r>
      <w:r w:rsidR="001C5526">
        <w:rPr>
          <w:color w:val="000000"/>
          <w:sz w:val="22"/>
          <w:szCs w:val="22"/>
        </w:rPr>
        <w:t>Commission has considered</w:t>
      </w:r>
      <w:r>
        <w:rPr>
          <w:color w:val="000000"/>
          <w:sz w:val="22"/>
          <w:szCs w:val="22"/>
        </w:rPr>
        <w:t xml:space="preserve"> </w:t>
      </w:r>
      <w:r w:rsidR="0059647C">
        <w:rPr>
          <w:color w:val="000000"/>
          <w:sz w:val="22"/>
          <w:szCs w:val="22"/>
        </w:rPr>
        <w:t xml:space="preserve">allegedly </w:t>
      </w:r>
      <w:r w:rsidR="001C5526">
        <w:rPr>
          <w:color w:val="000000"/>
          <w:sz w:val="22"/>
          <w:szCs w:val="22"/>
        </w:rPr>
        <w:t xml:space="preserve">abusive </w:t>
      </w:r>
      <w:r>
        <w:rPr>
          <w:color w:val="000000"/>
          <w:sz w:val="22"/>
          <w:szCs w:val="22"/>
        </w:rPr>
        <w:t xml:space="preserve">serial translator modifications in both the waiver and enforcement contexts, it is important to note that these two types of proceedings are governed by different standards and procedures.  </w:t>
      </w:r>
      <w:r w:rsidR="00A1033B">
        <w:rPr>
          <w:color w:val="000000"/>
          <w:sz w:val="22"/>
          <w:szCs w:val="22"/>
        </w:rPr>
        <w:t xml:space="preserve">In an enforcement proceeding, </w:t>
      </w:r>
      <w:r w:rsidR="000E1348">
        <w:rPr>
          <w:color w:val="000000"/>
          <w:sz w:val="22"/>
          <w:szCs w:val="22"/>
        </w:rPr>
        <w:t xml:space="preserve">as here, </w:t>
      </w:r>
      <w:r w:rsidR="00A1033B">
        <w:rPr>
          <w:color w:val="000000"/>
          <w:sz w:val="22"/>
          <w:szCs w:val="22"/>
        </w:rPr>
        <w:t>the Commission determines whether the conduct at issue violates a Commission rule or policy, and, if so, what sanction</w:t>
      </w:r>
      <w:r w:rsidR="0059647C">
        <w:rPr>
          <w:color w:val="000000"/>
          <w:sz w:val="22"/>
          <w:szCs w:val="22"/>
        </w:rPr>
        <w:t>s</w:t>
      </w:r>
      <w:r w:rsidR="00A1033B">
        <w:rPr>
          <w:color w:val="000000"/>
          <w:sz w:val="22"/>
          <w:szCs w:val="22"/>
        </w:rPr>
        <w:t xml:space="preserve"> or other actions would be appropriate.  </w:t>
      </w:r>
      <w:r>
        <w:rPr>
          <w:color w:val="000000"/>
          <w:sz w:val="22"/>
          <w:szCs w:val="22"/>
        </w:rPr>
        <w:t>In a waiver proceeding</w:t>
      </w:r>
      <w:r w:rsidR="001C5526">
        <w:rPr>
          <w:color w:val="000000"/>
          <w:sz w:val="22"/>
          <w:szCs w:val="22"/>
        </w:rPr>
        <w:t>—</w:t>
      </w:r>
      <w:r>
        <w:rPr>
          <w:color w:val="000000"/>
          <w:sz w:val="22"/>
          <w:szCs w:val="22"/>
        </w:rPr>
        <w:t>although the Commission must carefully consider all waiver requests</w:t>
      </w:r>
      <w:r w:rsidR="001C5526">
        <w:rPr>
          <w:color w:val="000000"/>
          <w:sz w:val="22"/>
          <w:szCs w:val="22"/>
        </w:rPr>
        <w:t>—</w:t>
      </w:r>
      <w:r>
        <w:rPr>
          <w:color w:val="000000"/>
          <w:sz w:val="22"/>
          <w:szCs w:val="22"/>
        </w:rPr>
        <w:t xml:space="preserve">the requesting party is by no means entitled to a waiver grant </w:t>
      </w:r>
      <w:r w:rsidR="001C5526">
        <w:rPr>
          <w:color w:val="000000"/>
          <w:sz w:val="22"/>
          <w:szCs w:val="22"/>
        </w:rPr>
        <w:t xml:space="preserve">and </w:t>
      </w:r>
      <w:r>
        <w:rPr>
          <w:color w:val="000000"/>
          <w:sz w:val="22"/>
          <w:szCs w:val="22"/>
        </w:rPr>
        <w:t>faces a “high hurdle even at the starting gate.”</w:t>
      </w:r>
      <w:r>
        <w:rPr>
          <w:rStyle w:val="FootnoteReference"/>
          <w:color w:val="000000"/>
          <w:sz w:val="22"/>
          <w:szCs w:val="22"/>
        </w:rPr>
        <w:footnoteReference w:id="34"/>
      </w:r>
      <w:r>
        <w:rPr>
          <w:color w:val="000000"/>
          <w:sz w:val="22"/>
          <w:szCs w:val="22"/>
        </w:rPr>
        <w:t xml:space="preserve">  </w:t>
      </w:r>
      <w:r w:rsidR="00A979B1">
        <w:rPr>
          <w:color w:val="000000"/>
          <w:sz w:val="22"/>
          <w:szCs w:val="22"/>
        </w:rPr>
        <w:t xml:space="preserve">The burden is on the waiver requestor to show that (1) special </w:t>
      </w:r>
      <w:r w:rsidRPr="00A979B1" w:rsidR="00A979B1">
        <w:rPr>
          <w:color w:val="000000"/>
          <w:sz w:val="22"/>
          <w:szCs w:val="22"/>
        </w:rPr>
        <w:t>circumstances warrant a deviation from the general rule, and (2) such deviation better serves the public interest.</w:t>
      </w:r>
      <w:r>
        <w:rPr>
          <w:rStyle w:val="FootnoteReference"/>
          <w:color w:val="000000"/>
          <w:sz w:val="22"/>
          <w:szCs w:val="22"/>
        </w:rPr>
        <w:footnoteReference w:id="35"/>
      </w:r>
      <w:r w:rsidRPr="00A979B1" w:rsidR="00A979B1">
        <w:rPr>
          <w:color w:val="000000"/>
          <w:sz w:val="22"/>
          <w:szCs w:val="22"/>
        </w:rPr>
        <w:t xml:space="preserve">  </w:t>
      </w:r>
      <w:r>
        <w:rPr>
          <w:color w:val="000000"/>
          <w:sz w:val="22"/>
          <w:szCs w:val="22"/>
        </w:rPr>
        <w:t xml:space="preserve">Therefore, </w:t>
      </w:r>
      <w:r w:rsidR="001C5526">
        <w:rPr>
          <w:color w:val="000000"/>
          <w:sz w:val="22"/>
          <w:szCs w:val="22"/>
        </w:rPr>
        <w:t xml:space="preserve">the same </w:t>
      </w:r>
      <w:r w:rsidR="00A1033B">
        <w:rPr>
          <w:color w:val="000000"/>
          <w:sz w:val="22"/>
          <w:szCs w:val="22"/>
        </w:rPr>
        <w:t xml:space="preserve">set of </w:t>
      </w:r>
      <w:r w:rsidR="00A979B1">
        <w:rPr>
          <w:color w:val="000000"/>
          <w:sz w:val="22"/>
          <w:szCs w:val="22"/>
        </w:rPr>
        <w:t xml:space="preserve">circumstances </w:t>
      </w:r>
      <w:r w:rsidR="0059647C">
        <w:rPr>
          <w:color w:val="000000"/>
          <w:sz w:val="22"/>
          <w:szCs w:val="22"/>
        </w:rPr>
        <w:t>(</w:t>
      </w:r>
      <w:r w:rsidR="00A979B1">
        <w:rPr>
          <w:color w:val="000000"/>
          <w:sz w:val="22"/>
          <w:szCs w:val="22"/>
        </w:rPr>
        <w:t>or public interest considerations)</w:t>
      </w:r>
      <w:r w:rsidR="00A1033B">
        <w:rPr>
          <w:color w:val="000000"/>
          <w:sz w:val="22"/>
          <w:szCs w:val="22"/>
        </w:rPr>
        <w:t xml:space="preserve"> that </w:t>
      </w:r>
      <w:r w:rsidR="00A979B1">
        <w:rPr>
          <w:color w:val="000000"/>
          <w:sz w:val="22"/>
          <w:szCs w:val="22"/>
        </w:rPr>
        <w:t xml:space="preserve">might </w:t>
      </w:r>
      <w:r w:rsidR="00A1033B">
        <w:rPr>
          <w:color w:val="000000"/>
          <w:sz w:val="22"/>
          <w:szCs w:val="22"/>
        </w:rPr>
        <w:t>lead</w:t>
      </w:r>
      <w:r>
        <w:rPr>
          <w:color w:val="000000"/>
          <w:sz w:val="22"/>
          <w:szCs w:val="22"/>
        </w:rPr>
        <w:t xml:space="preserve"> the Commission to deny a waiver request</w:t>
      </w:r>
      <w:r w:rsidR="00A1033B">
        <w:rPr>
          <w:color w:val="000000"/>
          <w:sz w:val="22"/>
          <w:szCs w:val="22"/>
        </w:rPr>
        <w:t xml:space="preserve"> ma</w:t>
      </w:r>
      <w:r>
        <w:rPr>
          <w:color w:val="000000"/>
          <w:sz w:val="22"/>
          <w:szCs w:val="22"/>
        </w:rPr>
        <w:t>y not</w:t>
      </w:r>
      <w:r w:rsidR="00A1033B">
        <w:rPr>
          <w:color w:val="000000"/>
          <w:sz w:val="22"/>
          <w:szCs w:val="22"/>
        </w:rPr>
        <w:t xml:space="preserve"> </w:t>
      </w:r>
      <w:r w:rsidR="00A979B1">
        <w:rPr>
          <w:color w:val="000000"/>
          <w:sz w:val="22"/>
          <w:szCs w:val="22"/>
        </w:rPr>
        <w:t xml:space="preserve">equally </w:t>
      </w:r>
      <w:r w:rsidR="00A1033B">
        <w:rPr>
          <w:color w:val="000000"/>
          <w:sz w:val="22"/>
          <w:szCs w:val="22"/>
        </w:rPr>
        <w:t xml:space="preserve">warrant </w:t>
      </w:r>
      <w:r w:rsidR="0059647C">
        <w:rPr>
          <w:color w:val="000000"/>
          <w:sz w:val="22"/>
          <w:szCs w:val="22"/>
        </w:rPr>
        <w:t xml:space="preserve">an </w:t>
      </w:r>
      <w:r w:rsidR="00C87BF2">
        <w:rPr>
          <w:color w:val="000000"/>
          <w:sz w:val="22"/>
          <w:szCs w:val="22"/>
        </w:rPr>
        <w:t>enforcement action</w:t>
      </w:r>
      <w:r>
        <w:rPr>
          <w:color w:val="000000"/>
          <w:sz w:val="22"/>
          <w:szCs w:val="22"/>
        </w:rPr>
        <w:t xml:space="preserve">.  </w:t>
      </w:r>
      <w:r w:rsidR="000E1348">
        <w:rPr>
          <w:color w:val="000000"/>
          <w:sz w:val="22"/>
          <w:szCs w:val="22"/>
        </w:rPr>
        <w:t xml:space="preserve">This distinction is crucial, because while the decisions cited by Sound of Hope are waiver cases, </w:t>
      </w:r>
      <w:r w:rsidR="00B52B79">
        <w:rPr>
          <w:color w:val="000000"/>
          <w:sz w:val="22"/>
          <w:szCs w:val="22"/>
        </w:rPr>
        <w:t xml:space="preserve">including </w:t>
      </w:r>
      <w:r w:rsidR="00B52B79">
        <w:rPr>
          <w:i/>
          <w:color w:val="000000"/>
          <w:sz w:val="22"/>
          <w:szCs w:val="22"/>
        </w:rPr>
        <w:t xml:space="preserve">Mattoon </w:t>
      </w:r>
      <w:r w:rsidR="00B52B79">
        <w:rPr>
          <w:color w:val="000000"/>
          <w:sz w:val="22"/>
          <w:szCs w:val="22"/>
        </w:rPr>
        <w:t>itself, in this case Edgewater is not requesting a waiver.  Rather, Sound of Hope</w:t>
      </w:r>
      <w:r w:rsidR="000E1348">
        <w:rPr>
          <w:color w:val="000000"/>
          <w:sz w:val="22"/>
          <w:szCs w:val="22"/>
        </w:rPr>
        <w:t xml:space="preserve"> </w:t>
      </w:r>
      <w:r w:rsidR="00B52B79">
        <w:rPr>
          <w:color w:val="000000"/>
          <w:sz w:val="22"/>
          <w:szCs w:val="22"/>
        </w:rPr>
        <w:t>urges us to take</w:t>
      </w:r>
      <w:r w:rsidR="000E1348">
        <w:rPr>
          <w:color w:val="000000"/>
          <w:sz w:val="22"/>
          <w:szCs w:val="22"/>
        </w:rPr>
        <w:t xml:space="preserve"> enforcement action based on abuse of process, as discussed above.  </w:t>
      </w:r>
    </w:p>
    <w:p w:rsidR="00AA0C00" w:rsidP="00531661" w14:paraId="0673F6A4" w14:textId="77777777">
      <w:pPr>
        <w:ind w:firstLine="720"/>
        <w:rPr>
          <w:color w:val="000000"/>
          <w:sz w:val="22"/>
          <w:szCs w:val="22"/>
        </w:rPr>
      </w:pPr>
    </w:p>
    <w:p w:rsidR="003C15D9" w:rsidRPr="005852DD" w:rsidP="003C15D9" w14:paraId="29C9A594" w14:textId="77777777">
      <w:pPr>
        <w:ind w:firstLine="720"/>
        <w:rPr>
          <w:color w:val="000000"/>
          <w:sz w:val="22"/>
          <w:szCs w:val="22"/>
        </w:rPr>
      </w:pPr>
      <w:r>
        <w:rPr>
          <w:color w:val="000000"/>
          <w:sz w:val="22"/>
          <w:szCs w:val="22"/>
        </w:rPr>
        <w:t xml:space="preserve">In its only previous enforcement action </w:t>
      </w:r>
      <w:r w:rsidR="001C5526">
        <w:rPr>
          <w:color w:val="000000"/>
          <w:sz w:val="22"/>
          <w:szCs w:val="22"/>
        </w:rPr>
        <w:t xml:space="preserve">based on </w:t>
      </w:r>
      <w:r>
        <w:rPr>
          <w:color w:val="000000"/>
          <w:sz w:val="22"/>
          <w:szCs w:val="22"/>
        </w:rPr>
        <w:t xml:space="preserve">serial modifications, </w:t>
      </w:r>
      <w:r>
        <w:rPr>
          <w:i/>
          <w:color w:val="000000"/>
          <w:sz w:val="22"/>
          <w:szCs w:val="22"/>
        </w:rPr>
        <w:t>Broadcast Towers</w:t>
      </w:r>
      <w:r>
        <w:rPr>
          <w:color w:val="000000"/>
          <w:sz w:val="22"/>
          <w:szCs w:val="22"/>
        </w:rPr>
        <w:t>, the Bureau</w:t>
      </w:r>
      <w:r>
        <w:rPr>
          <w:i/>
          <w:color w:val="000000"/>
          <w:sz w:val="22"/>
          <w:szCs w:val="22"/>
        </w:rPr>
        <w:t xml:space="preserve"> </w:t>
      </w:r>
      <w:r>
        <w:rPr>
          <w:color w:val="000000"/>
          <w:sz w:val="22"/>
          <w:szCs w:val="22"/>
        </w:rPr>
        <w:t>entered into a consent decree</w:t>
      </w:r>
      <w:r w:rsidR="00A1033B">
        <w:rPr>
          <w:color w:val="000000"/>
          <w:sz w:val="22"/>
          <w:szCs w:val="22"/>
        </w:rPr>
        <w:t xml:space="preserve"> resolving various violations including</w:t>
      </w:r>
      <w:r>
        <w:rPr>
          <w:color w:val="000000"/>
          <w:sz w:val="22"/>
          <w:szCs w:val="22"/>
        </w:rPr>
        <w:t xml:space="preserve"> the “abuse of Commission processes committed by BTI as it migrated the Translators north to Miami.”</w:t>
      </w:r>
      <w:r>
        <w:rPr>
          <w:rStyle w:val="FootnoteReference"/>
          <w:color w:val="000000"/>
          <w:sz w:val="22"/>
          <w:szCs w:val="22"/>
        </w:rPr>
        <w:footnoteReference w:id="36"/>
      </w:r>
      <w:r>
        <w:rPr>
          <w:color w:val="000000"/>
          <w:sz w:val="22"/>
          <w:szCs w:val="22"/>
        </w:rPr>
        <w:t xml:space="preserve">  </w:t>
      </w:r>
      <w:r w:rsidR="00DE0CC6">
        <w:rPr>
          <w:color w:val="000000"/>
          <w:sz w:val="22"/>
          <w:szCs w:val="22"/>
        </w:rPr>
        <w:t>After</w:t>
      </w:r>
      <w:r w:rsidR="008436E1">
        <w:rPr>
          <w:color w:val="000000"/>
          <w:sz w:val="22"/>
          <w:szCs w:val="22"/>
        </w:rPr>
        <w:t xml:space="preserve"> </w:t>
      </w:r>
      <w:r w:rsidR="0059647C">
        <w:rPr>
          <w:color w:val="000000"/>
          <w:sz w:val="22"/>
          <w:szCs w:val="22"/>
        </w:rPr>
        <w:t>reiterating</w:t>
      </w:r>
      <w:r w:rsidR="00A1033B">
        <w:rPr>
          <w:color w:val="000000"/>
          <w:sz w:val="22"/>
          <w:szCs w:val="22"/>
        </w:rPr>
        <w:t xml:space="preserve"> this policy</w:t>
      </w:r>
      <w:r>
        <w:rPr>
          <w:color w:val="000000"/>
          <w:sz w:val="22"/>
          <w:szCs w:val="22"/>
        </w:rPr>
        <w:t xml:space="preserve"> in </w:t>
      </w:r>
      <w:r>
        <w:rPr>
          <w:i/>
          <w:color w:val="000000"/>
          <w:sz w:val="22"/>
          <w:szCs w:val="22"/>
        </w:rPr>
        <w:t>Mattoon</w:t>
      </w:r>
      <w:r w:rsidR="00C82BFF">
        <w:rPr>
          <w:i/>
          <w:color w:val="000000"/>
          <w:sz w:val="22"/>
          <w:szCs w:val="22"/>
        </w:rPr>
        <w:t xml:space="preserve"> </w:t>
      </w:r>
      <w:r w:rsidR="00C82BFF">
        <w:rPr>
          <w:color w:val="000000"/>
          <w:sz w:val="22"/>
          <w:szCs w:val="22"/>
        </w:rPr>
        <w:t>(in the context of a waiver</w:t>
      </w:r>
      <w:r w:rsidR="00D13D56">
        <w:rPr>
          <w:color w:val="000000"/>
          <w:sz w:val="22"/>
          <w:szCs w:val="22"/>
        </w:rPr>
        <w:t xml:space="preserve"> request</w:t>
      </w:r>
      <w:r w:rsidR="00C82BFF">
        <w:rPr>
          <w:color w:val="000000"/>
          <w:sz w:val="22"/>
          <w:szCs w:val="22"/>
        </w:rPr>
        <w:t>)</w:t>
      </w:r>
      <w:r>
        <w:rPr>
          <w:color w:val="000000"/>
          <w:sz w:val="22"/>
          <w:szCs w:val="22"/>
        </w:rPr>
        <w:t>, the Bureau</w:t>
      </w:r>
      <w:r w:rsidR="00A1033B">
        <w:rPr>
          <w:color w:val="000000"/>
          <w:sz w:val="22"/>
          <w:szCs w:val="22"/>
        </w:rPr>
        <w:t xml:space="preserve"> </w:t>
      </w:r>
      <w:r w:rsidR="00BF2517">
        <w:rPr>
          <w:color w:val="000000"/>
          <w:sz w:val="22"/>
          <w:szCs w:val="22"/>
        </w:rPr>
        <w:t xml:space="preserve">has </w:t>
      </w:r>
      <w:r>
        <w:rPr>
          <w:color w:val="000000"/>
          <w:sz w:val="22"/>
          <w:szCs w:val="22"/>
        </w:rPr>
        <w:t xml:space="preserve">considered </w:t>
      </w:r>
      <w:r w:rsidR="00C82BFF">
        <w:rPr>
          <w:color w:val="000000"/>
          <w:sz w:val="22"/>
          <w:szCs w:val="22"/>
        </w:rPr>
        <w:t xml:space="preserve">only </w:t>
      </w:r>
      <w:r>
        <w:rPr>
          <w:color w:val="000000"/>
          <w:sz w:val="22"/>
          <w:szCs w:val="22"/>
        </w:rPr>
        <w:t xml:space="preserve">one other </w:t>
      </w:r>
      <w:r w:rsidR="00D13D56">
        <w:rPr>
          <w:color w:val="000000"/>
          <w:sz w:val="22"/>
          <w:szCs w:val="22"/>
        </w:rPr>
        <w:t>non-waiver</w:t>
      </w:r>
      <w:r w:rsidR="00C82BFF">
        <w:rPr>
          <w:color w:val="000000"/>
          <w:sz w:val="22"/>
          <w:szCs w:val="22"/>
        </w:rPr>
        <w:t xml:space="preserve"> serial modification case</w:t>
      </w:r>
      <w:r>
        <w:rPr>
          <w:color w:val="000000"/>
          <w:sz w:val="22"/>
          <w:szCs w:val="22"/>
        </w:rPr>
        <w:t xml:space="preserve">.  In </w:t>
      </w:r>
      <w:r w:rsidR="00D13D56">
        <w:rPr>
          <w:i/>
          <w:color w:val="000000"/>
          <w:sz w:val="22"/>
          <w:szCs w:val="22"/>
        </w:rPr>
        <w:t>Branchport</w:t>
      </w:r>
      <w:r>
        <w:rPr>
          <w:color w:val="000000"/>
          <w:sz w:val="22"/>
          <w:szCs w:val="22"/>
        </w:rPr>
        <w:t xml:space="preserve">, </w:t>
      </w:r>
      <w:r w:rsidR="00C82BFF">
        <w:rPr>
          <w:color w:val="000000"/>
          <w:sz w:val="22"/>
          <w:szCs w:val="22"/>
        </w:rPr>
        <w:t>the Bureau</w:t>
      </w:r>
      <w:r>
        <w:rPr>
          <w:color w:val="000000"/>
          <w:sz w:val="22"/>
          <w:szCs w:val="22"/>
        </w:rPr>
        <w:t xml:space="preserve"> </w:t>
      </w:r>
      <w:r w:rsidR="00BF2517">
        <w:rPr>
          <w:color w:val="000000"/>
          <w:sz w:val="22"/>
          <w:szCs w:val="22"/>
        </w:rPr>
        <w:t>determined</w:t>
      </w:r>
      <w:r>
        <w:rPr>
          <w:color w:val="000000"/>
          <w:sz w:val="22"/>
          <w:szCs w:val="22"/>
        </w:rPr>
        <w:t xml:space="preserve"> that it would not pursue an enforcement action where </w:t>
      </w:r>
      <w:r>
        <w:rPr>
          <w:color w:val="000000"/>
          <w:sz w:val="22"/>
          <w:szCs w:val="22"/>
        </w:rPr>
        <w:t>the</w:t>
      </w:r>
      <w:r>
        <w:rPr>
          <w:color w:val="000000"/>
          <w:sz w:val="22"/>
          <w:szCs w:val="22"/>
        </w:rPr>
        <w:t xml:space="preserve"> serial</w:t>
      </w:r>
      <w:r>
        <w:rPr>
          <w:color w:val="000000"/>
          <w:sz w:val="22"/>
          <w:szCs w:val="22"/>
        </w:rPr>
        <w:t xml:space="preserve"> modifications at issue </w:t>
      </w:r>
      <w:r>
        <w:rPr>
          <w:color w:val="000000"/>
          <w:sz w:val="22"/>
          <w:szCs w:val="22"/>
        </w:rPr>
        <w:t xml:space="preserve">ultimately </w:t>
      </w:r>
      <w:r>
        <w:rPr>
          <w:color w:val="000000"/>
          <w:sz w:val="22"/>
          <w:szCs w:val="22"/>
        </w:rPr>
        <w:t xml:space="preserve">returned the station’s antenna to its approximate starting location, </w:t>
      </w:r>
      <w:r>
        <w:rPr>
          <w:color w:val="000000"/>
          <w:sz w:val="22"/>
          <w:szCs w:val="22"/>
        </w:rPr>
        <w:t>explaining that in such circumstances enforcement was not necessary</w:t>
      </w:r>
      <w:r>
        <w:rPr>
          <w:color w:val="000000"/>
          <w:sz w:val="22"/>
          <w:szCs w:val="22"/>
        </w:rPr>
        <w:t xml:space="preserve"> “(1) to protect the </w:t>
      </w:r>
      <w:r>
        <w:rPr>
          <w:i/>
          <w:color w:val="000000"/>
          <w:sz w:val="22"/>
          <w:szCs w:val="22"/>
        </w:rPr>
        <w:t>Ashbacker</w:t>
      </w:r>
      <w:r>
        <w:rPr>
          <w:i/>
          <w:color w:val="000000"/>
          <w:sz w:val="22"/>
          <w:szCs w:val="22"/>
        </w:rPr>
        <w:t xml:space="preserve"> </w:t>
      </w:r>
      <w:r>
        <w:rPr>
          <w:color w:val="000000"/>
          <w:sz w:val="22"/>
          <w:szCs w:val="22"/>
        </w:rPr>
        <w:t>rights of potential applicants to comparative consideration for the “same” license (i.e. that are mutually exclusive with the final destination of the “hopping” station</w:t>
      </w:r>
      <w:r w:rsidR="00D13D56">
        <w:rPr>
          <w:color w:val="000000"/>
          <w:sz w:val="22"/>
          <w:szCs w:val="22"/>
        </w:rPr>
        <w:t>)</w:t>
      </w:r>
      <w:r>
        <w:rPr>
          <w:color w:val="000000"/>
          <w:sz w:val="22"/>
          <w:szCs w:val="22"/>
        </w:rPr>
        <w:t xml:space="preserve">, and (2) to prevent, in the public interest, FM translator stations from abusing Commission processes in order to ‘abandon[] their present </w:t>
      </w:r>
      <w:r>
        <w:rPr>
          <w:color w:val="000000"/>
          <w:sz w:val="22"/>
          <w:szCs w:val="22"/>
        </w:rPr>
        <w:t>service areas’ in favor of more populous locations.”</w:t>
      </w:r>
      <w:r>
        <w:rPr>
          <w:rStyle w:val="FootnoteReference"/>
          <w:color w:val="000000"/>
          <w:sz w:val="22"/>
          <w:szCs w:val="22"/>
        </w:rPr>
        <w:footnoteReference w:id="37"/>
      </w:r>
      <w:r>
        <w:rPr>
          <w:color w:val="000000"/>
          <w:sz w:val="22"/>
          <w:szCs w:val="22"/>
        </w:rPr>
        <w:t xml:space="preserve">  </w:t>
      </w:r>
      <w:r w:rsidR="001C5526">
        <w:rPr>
          <w:color w:val="000000"/>
          <w:sz w:val="22"/>
          <w:szCs w:val="22"/>
        </w:rPr>
        <w:t xml:space="preserve">Based on </w:t>
      </w:r>
      <w:r w:rsidR="005852DD">
        <w:rPr>
          <w:color w:val="000000"/>
          <w:sz w:val="22"/>
          <w:szCs w:val="22"/>
        </w:rPr>
        <w:t xml:space="preserve">the </w:t>
      </w:r>
      <w:r w:rsidR="00BF2517">
        <w:rPr>
          <w:color w:val="000000"/>
          <w:sz w:val="22"/>
          <w:szCs w:val="22"/>
        </w:rPr>
        <w:t>reasoning of</w:t>
      </w:r>
      <w:r w:rsidR="005852DD">
        <w:rPr>
          <w:color w:val="000000"/>
          <w:sz w:val="22"/>
          <w:szCs w:val="22"/>
        </w:rPr>
        <w:t xml:space="preserve"> </w:t>
      </w:r>
      <w:r w:rsidR="005852DD">
        <w:rPr>
          <w:i/>
          <w:color w:val="000000"/>
          <w:sz w:val="22"/>
          <w:szCs w:val="22"/>
        </w:rPr>
        <w:t xml:space="preserve">Mattoon </w:t>
      </w:r>
      <w:r w:rsidR="005852DD">
        <w:rPr>
          <w:color w:val="000000"/>
          <w:sz w:val="22"/>
          <w:szCs w:val="22"/>
        </w:rPr>
        <w:t xml:space="preserve">and </w:t>
      </w:r>
      <w:r w:rsidR="005852DD">
        <w:rPr>
          <w:i/>
          <w:color w:val="000000"/>
          <w:sz w:val="22"/>
          <w:szCs w:val="22"/>
        </w:rPr>
        <w:t>Branchport</w:t>
      </w:r>
      <w:r w:rsidR="005852DD">
        <w:rPr>
          <w:color w:val="000000"/>
          <w:sz w:val="22"/>
          <w:szCs w:val="22"/>
        </w:rPr>
        <w:t xml:space="preserve">, we </w:t>
      </w:r>
      <w:r w:rsidR="00BF2517">
        <w:rPr>
          <w:color w:val="000000"/>
          <w:sz w:val="22"/>
          <w:szCs w:val="22"/>
        </w:rPr>
        <w:t xml:space="preserve">first </w:t>
      </w:r>
      <w:r w:rsidR="00A1033B">
        <w:rPr>
          <w:color w:val="000000"/>
          <w:sz w:val="22"/>
          <w:szCs w:val="22"/>
        </w:rPr>
        <w:t>analyze</w:t>
      </w:r>
      <w:r w:rsidR="005852DD">
        <w:rPr>
          <w:color w:val="000000"/>
          <w:sz w:val="22"/>
          <w:szCs w:val="22"/>
        </w:rPr>
        <w:t xml:space="preserve"> the </w:t>
      </w:r>
      <w:r w:rsidR="00BF2517">
        <w:rPr>
          <w:color w:val="000000"/>
          <w:sz w:val="22"/>
          <w:szCs w:val="22"/>
        </w:rPr>
        <w:t xml:space="preserve">potential abuse of process issue and then consider the </w:t>
      </w:r>
      <w:r w:rsidR="005852DD">
        <w:rPr>
          <w:i/>
          <w:color w:val="000000"/>
          <w:sz w:val="22"/>
          <w:szCs w:val="22"/>
        </w:rPr>
        <w:t>Ashbacker</w:t>
      </w:r>
      <w:r w:rsidR="005852DD">
        <w:rPr>
          <w:i/>
          <w:color w:val="000000"/>
          <w:sz w:val="22"/>
          <w:szCs w:val="22"/>
        </w:rPr>
        <w:t xml:space="preserve"> </w:t>
      </w:r>
      <w:r w:rsidR="005852DD">
        <w:rPr>
          <w:color w:val="000000"/>
          <w:sz w:val="22"/>
          <w:szCs w:val="22"/>
        </w:rPr>
        <w:t>implications of the Edgewater serial modifications</w:t>
      </w:r>
      <w:r w:rsidR="00BF2517">
        <w:rPr>
          <w:color w:val="000000"/>
          <w:sz w:val="22"/>
          <w:szCs w:val="22"/>
        </w:rPr>
        <w:t>.</w:t>
      </w:r>
    </w:p>
    <w:p w:rsidR="00667336" w:rsidP="00FE511C" w14:paraId="37E1FADA" w14:textId="77777777">
      <w:pPr>
        <w:ind w:firstLine="720"/>
        <w:rPr>
          <w:color w:val="000000"/>
          <w:sz w:val="22"/>
          <w:szCs w:val="22"/>
        </w:rPr>
      </w:pPr>
    </w:p>
    <w:p w:rsidR="00667336" w:rsidRPr="003C15D9" w:rsidP="00667336" w14:paraId="73616019" w14:textId="212899C7">
      <w:pPr>
        <w:ind w:firstLine="720"/>
        <w:rPr>
          <w:color w:val="000000"/>
          <w:sz w:val="22"/>
          <w:szCs w:val="22"/>
        </w:rPr>
      </w:pPr>
      <w:r>
        <w:rPr>
          <w:color w:val="000000"/>
          <w:sz w:val="22"/>
          <w:szCs w:val="22"/>
        </w:rPr>
        <w:t xml:space="preserve">When considering serial translator moves, </w:t>
      </w:r>
      <w:r w:rsidR="00C87BF2">
        <w:rPr>
          <w:color w:val="000000"/>
          <w:sz w:val="22"/>
          <w:szCs w:val="22"/>
        </w:rPr>
        <w:t xml:space="preserve">we </w:t>
      </w:r>
      <w:r w:rsidR="00BF2517">
        <w:rPr>
          <w:color w:val="000000"/>
          <w:sz w:val="22"/>
          <w:szCs w:val="22"/>
        </w:rPr>
        <w:t xml:space="preserve">must </w:t>
      </w:r>
      <w:r>
        <w:rPr>
          <w:color w:val="000000"/>
          <w:sz w:val="22"/>
          <w:szCs w:val="22"/>
        </w:rPr>
        <w:t xml:space="preserve">distinguish between </w:t>
      </w:r>
      <w:r w:rsidR="00ED32BC">
        <w:rPr>
          <w:color w:val="000000"/>
          <w:sz w:val="22"/>
          <w:szCs w:val="22"/>
        </w:rPr>
        <w:t>modifications based on legitimate business or interference concerns</w:t>
      </w:r>
      <w:r w:rsidR="00B83C20">
        <w:rPr>
          <w:color w:val="000000"/>
          <w:sz w:val="22"/>
          <w:szCs w:val="22"/>
        </w:rPr>
        <w:t xml:space="preserve"> </w:t>
      </w:r>
      <w:r>
        <w:rPr>
          <w:color w:val="000000"/>
          <w:sz w:val="22"/>
          <w:szCs w:val="22"/>
        </w:rPr>
        <w:t xml:space="preserve">and </w:t>
      </w:r>
      <w:r w:rsidR="00B83C20">
        <w:rPr>
          <w:color w:val="000000"/>
          <w:sz w:val="22"/>
          <w:szCs w:val="22"/>
        </w:rPr>
        <w:t xml:space="preserve">deliberate </w:t>
      </w:r>
      <w:r>
        <w:rPr>
          <w:color w:val="000000"/>
          <w:sz w:val="22"/>
          <w:szCs w:val="22"/>
        </w:rPr>
        <w:t>attempts to circumvent the Commission’s rules and policies.</w:t>
      </w:r>
      <w:r>
        <w:rPr>
          <w:rStyle w:val="FootnoteReference"/>
          <w:color w:val="000000"/>
          <w:sz w:val="22"/>
          <w:szCs w:val="22"/>
        </w:rPr>
        <w:footnoteReference w:id="38"/>
      </w:r>
      <w:r>
        <w:rPr>
          <w:color w:val="000000"/>
          <w:sz w:val="22"/>
          <w:szCs w:val="22"/>
        </w:rPr>
        <w:t xml:space="preserve">  As the Commission has noted, </w:t>
      </w:r>
      <w:r w:rsidR="00ED32BC">
        <w:rPr>
          <w:color w:val="000000"/>
          <w:sz w:val="22"/>
          <w:szCs w:val="22"/>
        </w:rPr>
        <w:t>“</w:t>
      </w:r>
      <w:r>
        <w:rPr>
          <w:color w:val="000000"/>
          <w:sz w:val="22"/>
          <w:szCs w:val="22"/>
        </w:rPr>
        <w:t>[</w:t>
      </w:r>
      <w:r>
        <w:rPr>
          <w:color w:val="000000"/>
          <w:sz w:val="22"/>
          <w:szCs w:val="22"/>
        </w:rPr>
        <w:t>i</w:t>
      </w:r>
      <w:r>
        <w:rPr>
          <w:color w:val="000000"/>
          <w:sz w:val="22"/>
          <w:szCs w:val="22"/>
        </w:rPr>
        <w:t>]</w:t>
      </w:r>
      <w:r>
        <w:rPr>
          <w:color w:val="000000"/>
          <w:sz w:val="22"/>
          <w:szCs w:val="22"/>
        </w:rPr>
        <w:t>nformation</w:t>
      </w:r>
      <w:r>
        <w:rPr>
          <w:color w:val="000000"/>
          <w:sz w:val="22"/>
          <w:szCs w:val="22"/>
        </w:rPr>
        <w:t xml:space="preserve"> as to intent to make improper use of the Commission’s process is likely to </w:t>
      </w:r>
      <w:r>
        <w:rPr>
          <w:color w:val="000000"/>
          <w:sz w:val="22"/>
          <w:szCs w:val="22"/>
        </w:rPr>
        <w:t xml:space="preserve">be </w:t>
      </w:r>
      <w:r>
        <w:rPr>
          <w:color w:val="000000"/>
          <w:sz w:val="22"/>
          <w:szCs w:val="22"/>
        </w:rPr>
        <w:t xml:space="preserve">unusually difficult to obtain, given the </w:t>
      </w:r>
      <w:r>
        <w:rPr>
          <w:color w:val="000000"/>
          <w:sz w:val="22"/>
          <w:szCs w:val="22"/>
        </w:rPr>
        <w:t>subjectiveness</w:t>
      </w:r>
      <w:r>
        <w:rPr>
          <w:color w:val="000000"/>
          <w:sz w:val="22"/>
          <w:szCs w:val="22"/>
        </w:rPr>
        <w:t xml:space="preserve"> of the issue and the frequently ambiguous nature of the associated conduct.”</w:t>
      </w:r>
      <w:r>
        <w:rPr>
          <w:rStyle w:val="FootnoteReference"/>
          <w:color w:val="000000"/>
          <w:sz w:val="22"/>
          <w:szCs w:val="22"/>
        </w:rPr>
        <w:footnoteReference w:id="39"/>
      </w:r>
      <w:r>
        <w:rPr>
          <w:color w:val="000000"/>
          <w:sz w:val="22"/>
          <w:szCs w:val="22"/>
        </w:rPr>
        <w:t xml:space="preserve">  Because of the evidentiary difficulties</w:t>
      </w:r>
      <w:r w:rsidRPr="003C15D9" w:rsidR="003C15D9">
        <w:rPr>
          <w:color w:val="000000"/>
          <w:sz w:val="22"/>
          <w:szCs w:val="22"/>
        </w:rPr>
        <w:t xml:space="preserve"> </w:t>
      </w:r>
      <w:r w:rsidR="003C15D9">
        <w:rPr>
          <w:color w:val="000000"/>
          <w:sz w:val="22"/>
          <w:szCs w:val="22"/>
        </w:rPr>
        <w:t>inherent in abuse of process cases</w:t>
      </w:r>
      <w:r>
        <w:rPr>
          <w:color w:val="000000"/>
          <w:sz w:val="22"/>
          <w:szCs w:val="22"/>
        </w:rPr>
        <w:t>, the Commission has refused to “infer improper purpose in filing an application or pleadings without a specific showing of improper motivation.”</w:t>
      </w:r>
      <w:r>
        <w:rPr>
          <w:rStyle w:val="FootnoteReference"/>
          <w:color w:val="000000"/>
          <w:sz w:val="22"/>
          <w:szCs w:val="22"/>
        </w:rPr>
        <w:footnoteReference w:id="40"/>
      </w:r>
      <w:r>
        <w:rPr>
          <w:color w:val="000000"/>
          <w:sz w:val="22"/>
          <w:szCs w:val="22"/>
        </w:rPr>
        <w:t xml:space="preserve">  </w:t>
      </w:r>
      <w:r w:rsidR="00BF2517">
        <w:rPr>
          <w:color w:val="000000"/>
          <w:sz w:val="22"/>
          <w:szCs w:val="22"/>
        </w:rPr>
        <w:t>To make this determination</w:t>
      </w:r>
      <w:r>
        <w:rPr>
          <w:color w:val="000000"/>
          <w:sz w:val="22"/>
          <w:szCs w:val="22"/>
        </w:rPr>
        <w:t xml:space="preserve">, we </w:t>
      </w:r>
      <w:r w:rsidR="00ED32BC">
        <w:rPr>
          <w:color w:val="000000"/>
          <w:sz w:val="22"/>
          <w:szCs w:val="22"/>
        </w:rPr>
        <w:t>identify</w:t>
      </w:r>
      <w:r w:rsidR="00B83C20">
        <w:rPr>
          <w:color w:val="000000"/>
          <w:sz w:val="22"/>
          <w:szCs w:val="22"/>
        </w:rPr>
        <w:t xml:space="preserve"> </w:t>
      </w:r>
      <w:r>
        <w:rPr>
          <w:color w:val="000000"/>
          <w:sz w:val="22"/>
          <w:szCs w:val="22"/>
        </w:rPr>
        <w:t xml:space="preserve">the </w:t>
      </w:r>
      <w:r w:rsidR="00BF2517">
        <w:rPr>
          <w:color w:val="000000"/>
          <w:sz w:val="22"/>
          <w:szCs w:val="22"/>
        </w:rPr>
        <w:t xml:space="preserve">relevant </w:t>
      </w:r>
      <w:r>
        <w:rPr>
          <w:color w:val="000000"/>
          <w:sz w:val="22"/>
          <w:szCs w:val="22"/>
        </w:rPr>
        <w:t xml:space="preserve">evidentiary factors </w:t>
      </w:r>
      <w:r w:rsidR="00BF2517">
        <w:rPr>
          <w:color w:val="000000"/>
          <w:sz w:val="22"/>
          <w:szCs w:val="22"/>
        </w:rPr>
        <w:t>for</w:t>
      </w:r>
      <w:r>
        <w:rPr>
          <w:color w:val="000000"/>
          <w:sz w:val="22"/>
          <w:szCs w:val="22"/>
        </w:rPr>
        <w:t xml:space="preserve"> an</w:t>
      </w:r>
      <w:r w:rsidR="00E00D1B">
        <w:rPr>
          <w:color w:val="000000"/>
          <w:sz w:val="22"/>
          <w:szCs w:val="22"/>
        </w:rPr>
        <w:t xml:space="preserve"> </w:t>
      </w:r>
      <w:r>
        <w:rPr>
          <w:color w:val="000000"/>
          <w:sz w:val="22"/>
          <w:szCs w:val="22"/>
        </w:rPr>
        <w:t>abuse of process analysis</w:t>
      </w:r>
      <w:r w:rsidR="00E00D1B">
        <w:rPr>
          <w:color w:val="000000"/>
          <w:sz w:val="22"/>
          <w:szCs w:val="22"/>
        </w:rPr>
        <w:t xml:space="preserve"> based on serial modifications</w:t>
      </w:r>
      <w:r w:rsidR="007D0F5C">
        <w:rPr>
          <w:color w:val="000000"/>
          <w:sz w:val="22"/>
          <w:szCs w:val="22"/>
        </w:rPr>
        <w:t xml:space="preserve"> and </w:t>
      </w:r>
      <w:r w:rsidR="00BF2517">
        <w:rPr>
          <w:color w:val="000000"/>
          <w:sz w:val="22"/>
          <w:szCs w:val="22"/>
        </w:rPr>
        <w:t xml:space="preserve">then </w:t>
      </w:r>
      <w:r w:rsidR="007D0F5C">
        <w:rPr>
          <w:color w:val="000000"/>
          <w:sz w:val="22"/>
          <w:szCs w:val="22"/>
        </w:rPr>
        <w:t>apply each factor to the circumstances presented here</w:t>
      </w:r>
      <w:r w:rsidR="00B83C20">
        <w:rPr>
          <w:color w:val="000000"/>
          <w:sz w:val="22"/>
          <w:szCs w:val="22"/>
        </w:rPr>
        <w:t>, as follows:</w:t>
      </w:r>
      <w:r w:rsidR="003C15D9">
        <w:rPr>
          <w:color w:val="000000"/>
          <w:sz w:val="22"/>
          <w:szCs w:val="22"/>
        </w:rPr>
        <w:t xml:space="preserve">  </w:t>
      </w:r>
    </w:p>
    <w:p w:rsidR="00C10DC1" w:rsidP="00FE511C" w14:paraId="79B0964A" w14:textId="77777777">
      <w:pPr>
        <w:ind w:firstLine="720"/>
        <w:rPr>
          <w:color w:val="000000"/>
          <w:sz w:val="22"/>
          <w:szCs w:val="22"/>
        </w:rPr>
      </w:pPr>
    </w:p>
    <w:p w:rsidR="009B7E39" w:rsidP="007D0F5C" w14:paraId="068294CA" w14:textId="5CF10EB0">
      <w:pPr>
        <w:ind w:firstLine="720"/>
        <w:rPr>
          <w:color w:val="000000"/>
          <w:sz w:val="22"/>
          <w:szCs w:val="22"/>
        </w:rPr>
      </w:pPr>
      <w:r>
        <w:rPr>
          <w:color w:val="000000"/>
          <w:sz w:val="22"/>
          <w:szCs w:val="22"/>
        </w:rPr>
        <w:t xml:space="preserve">(1) </w:t>
      </w:r>
      <w:r w:rsidRPr="004901B6">
        <w:rPr>
          <w:color w:val="000000"/>
          <w:sz w:val="22"/>
          <w:szCs w:val="22"/>
          <w:u w:val="single"/>
        </w:rPr>
        <w:t>Temporary construction</w:t>
      </w:r>
      <w:r>
        <w:rPr>
          <w:color w:val="000000"/>
          <w:sz w:val="22"/>
          <w:szCs w:val="22"/>
        </w:rPr>
        <w:t xml:space="preserve">.  </w:t>
      </w:r>
      <w:r w:rsidR="007D0F5C">
        <w:rPr>
          <w:color w:val="000000"/>
          <w:sz w:val="22"/>
          <w:szCs w:val="22"/>
        </w:rPr>
        <w:t xml:space="preserve">Central to our </w:t>
      </w:r>
      <w:r>
        <w:rPr>
          <w:color w:val="000000"/>
          <w:sz w:val="22"/>
          <w:szCs w:val="22"/>
        </w:rPr>
        <w:t xml:space="preserve">abuse of process </w:t>
      </w:r>
      <w:r w:rsidR="007D0F5C">
        <w:rPr>
          <w:color w:val="000000"/>
          <w:sz w:val="22"/>
          <w:szCs w:val="22"/>
        </w:rPr>
        <w:t xml:space="preserve">analysis in </w:t>
      </w:r>
      <w:r w:rsidR="007D0F5C">
        <w:rPr>
          <w:i/>
          <w:color w:val="000000"/>
          <w:sz w:val="22"/>
          <w:szCs w:val="22"/>
        </w:rPr>
        <w:t xml:space="preserve">Broadcast Towers </w:t>
      </w:r>
      <w:r w:rsidR="007D0F5C">
        <w:rPr>
          <w:color w:val="000000"/>
          <w:sz w:val="22"/>
          <w:szCs w:val="22"/>
        </w:rPr>
        <w:t>was the</w:t>
      </w:r>
      <w:r>
        <w:rPr>
          <w:color w:val="000000"/>
          <w:sz w:val="22"/>
          <w:szCs w:val="22"/>
        </w:rPr>
        <w:t xml:space="preserve"> ample </w:t>
      </w:r>
      <w:r w:rsidR="007D0F5C">
        <w:rPr>
          <w:color w:val="000000"/>
          <w:sz w:val="22"/>
          <w:szCs w:val="22"/>
        </w:rPr>
        <w:t>evidence</w:t>
      </w:r>
      <w:r w:rsidR="00C26DA5">
        <w:rPr>
          <w:color w:val="000000"/>
          <w:sz w:val="22"/>
          <w:szCs w:val="22"/>
        </w:rPr>
        <w:t xml:space="preserve"> in the record</w:t>
      </w:r>
      <w:r w:rsidR="007D0F5C">
        <w:rPr>
          <w:color w:val="000000"/>
          <w:sz w:val="22"/>
          <w:szCs w:val="22"/>
        </w:rPr>
        <w:t xml:space="preserve"> that the translator operator intended each modification site as </w:t>
      </w:r>
      <w:r>
        <w:rPr>
          <w:color w:val="000000"/>
          <w:sz w:val="22"/>
          <w:szCs w:val="22"/>
        </w:rPr>
        <w:t>simply</w:t>
      </w:r>
      <w:r w:rsidR="007D0F5C">
        <w:rPr>
          <w:color w:val="000000"/>
          <w:sz w:val="22"/>
          <w:szCs w:val="22"/>
        </w:rPr>
        <w:t xml:space="preserve"> a waystation on its path to its final destination.  </w:t>
      </w:r>
      <w:r w:rsidR="00BF2517">
        <w:rPr>
          <w:color w:val="000000"/>
          <w:sz w:val="22"/>
          <w:szCs w:val="22"/>
        </w:rPr>
        <w:t xml:space="preserve">A key fact in that case </w:t>
      </w:r>
      <w:r w:rsidR="00C26DA5">
        <w:rPr>
          <w:color w:val="000000"/>
          <w:sz w:val="22"/>
          <w:szCs w:val="22"/>
        </w:rPr>
        <w:t>was that</w:t>
      </w:r>
      <w:r w:rsidR="007D0F5C">
        <w:rPr>
          <w:color w:val="000000"/>
          <w:sz w:val="22"/>
          <w:szCs w:val="22"/>
        </w:rPr>
        <w:t xml:space="preserve"> the broadcast facilities at </w:t>
      </w:r>
      <w:r>
        <w:rPr>
          <w:color w:val="000000"/>
          <w:sz w:val="22"/>
          <w:szCs w:val="22"/>
        </w:rPr>
        <w:t>each location were temporarily constructed, both physically (consisting of telescoping antennas transported by vehicle to public roadside sites and powered by portable generators) and legally (the applicant lacked reasonable assurance of site availability at each site).</w:t>
      </w:r>
      <w:r>
        <w:rPr>
          <w:rStyle w:val="FootnoteReference"/>
          <w:color w:val="000000"/>
          <w:sz w:val="22"/>
          <w:szCs w:val="22"/>
        </w:rPr>
        <w:footnoteReference w:id="41"/>
      </w:r>
      <w:r w:rsidR="007D0F5C">
        <w:rPr>
          <w:color w:val="000000"/>
          <w:sz w:val="22"/>
          <w:szCs w:val="22"/>
        </w:rPr>
        <w:t xml:space="preserve"> </w:t>
      </w:r>
      <w:r w:rsidR="00FE331D">
        <w:rPr>
          <w:color w:val="000000"/>
          <w:sz w:val="22"/>
          <w:szCs w:val="22"/>
        </w:rPr>
        <w:t xml:space="preserve"> </w:t>
      </w:r>
      <w:r>
        <w:rPr>
          <w:color w:val="000000"/>
          <w:sz w:val="22"/>
          <w:szCs w:val="22"/>
        </w:rPr>
        <w:t xml:space="preserve">The temporary nature of the construction was further evidenced by the fact that after </w:t>
      </w:r>
      <w:r w:rsidR="002521CF">
        <w:rPr>
          <w:color w:val="000000"/>
          <w:sz w:val="22"/>
          <w:szCs w:val="22"/>
        </w:rPr>
        <w:t xml:space="preserve">a </w:t>
      </w:r>
      <w:r>
        <w:rPr>
          <w:color w:val="000000"/>
          <w:sz w:val="22"/>
          <w:szCs w:val="22"/>
        </w:rPr>
        <w:t>brief operation, the transmission facilities were dismantled and a license to cover was filed.</w:t>
      </w:r>
      <w:r>
        <w:rPr>
          <w:rStyle w:val="FootnoteReference"/>
          <w:color w:val="000000"/>
          <w:sz w:val="22"/>
          <w:szCs w:val="22"/>
        </w:rPr>
        <w:footnoteReference w:id="42"/>
      </w:r>
      <w:r>
        <w:rPr>
          <w:color w:val="000000"/>
          <w:sz w:val="22"/>
          <w:szCs w:val="22"/>
        </w:rPr>
        <w:t xml:space="preserve">  </w:t>
      </w:r>
      <w:r w:rsidR="00ED32BC">
        <w:rPr>
          <w:color w:val="000000"/>
          <w:sz w:val="22"/>
          <w:szCs w:val="22"/>
        </w:rPr>
        <w:t xml:space="preserve">This cycle of </w:t>
      </w:r>
      <w:r w:rsidR="00FE331D">
        <w:rPr>
          <w:color w:val="000000"/>
          <w:sz w:val="22"/>
          <w:szCs w:val="22"/>
        </w:rPr>
        <w:t xml:space="preserve">repeated </w:t>
      </w:r>
      <w:r w:rsidR="007D0F5C">
        <w:rPr>
          <w:color w:val="000000"/>
          <w:sz w:val="22"/>
          <w:szCs w:val="22"/>
        </w:rPr>
        <w:t xml:space="preserve">temporary construction </w:t>
      </w:r>
      <w:r w:rsidR="00ED32BC">
        <w:rPr>
          <w:color w:val="000000"/>
          <w:sz w:val="22"/>
          <w:szCs w:val="22"/>
        </w:rPr>
        <w:t>was</w:t>
      </w:r>
      <w:r w:rsidR="007D0F5C">
        <w:rPr>
          <w:color w:val="000000"/>
          <w:sz w:val="22"/>
          <w:szCs w:val="22"/>
        </w:rPr>
        <w:t xml:space="preserve"> a clear indicator of abuse of process.</w:t>
      </w:r>
      <w:r>
        <w:rPr>
          <w:color w:val="000000"/>
          <w:sz w:val="22"/>
          <w:szCs w:val="22"/>
        </w:rPr>
        <w:t xml:space="preserve">  In th</w:t>
      </w:r>
      <w:r w:rsidR="00BF2517">
        <w:rPr>
          <w:color w:val="000000"/>
          <w:sz w:val="22"/>
          <w:szCs w:val="22"/>
        </w:rPr>
        <w:t>e present</w:t>
      </w:r>
      <w:r>
        <w:rPr>
          <w:color w:val="000000"/>
          <w:sz w:val="22"/>
          <w:szCs w:val="22"/>
        </w:rPr>
        <w:t xml:space="preserve"> case, </w:t>
      </w:r>
      <w:r w:rsidR="00FE331D">
        <w:rPr>
          <w:color w:val="000000"/>
          <w:sz w:val="22"/>
          <w:szCs w:val="22"/>
        </w:rPr>
        <w:t xml:space="preserve">however, </w:t>
      </w:r>
      <w:r>
        <w:rPr>
          <w:color w:val="000000"/>
          <w:sz w:val="22"/>
          <w:szCs w:val="22"/>
        </w:rPr>
        <w:t xml:space="preserve">there is </w:t>
      </w:r>
      <w:r w:rsidR="002521CF">
        <w:rPr>
          <w:color w:val="000000"/>
          <w:sz w:val="22"/>
          <w:szCs w:val="22"/>
        </w:rPr>
        <w:t>no</w:t>
      </w:r>
      <w:r>
        <w:rPr>
          <w:color w:val="000000"/>
          <w:sz w:val="22"/>
          <w:szCs w:val="22"/>
        </w:rPr>
        <w:t xml:space="preserve"> evidence </w:t>
      </w:r>
      <w:r w:rsidR="00BF2517">
        <w:rPr>
          <w:color w:val="000000"/>
          <w:sz w:val="22"/>
          <w:szCs w:val="22"/>
        </w:rPr>
        <w:t>before us</w:t>
      </w:r>
      <w:r>
        <w:rPr>
          <w:color w:val="000000"/>
          <w:sz w:val="22"/>
          <w:szCs w:val="22"/>
        </w:rPr>
        <w:t xml:space="preserve"> that the facilities at issue were </w:t>
      </w:r>
      <w:r w:rsidR="002521CF">
        <w:rPr>
          <w:color w:val="000000"/>
          <w:sz w:val="22"/>
          <w:szCs w:val="22"/>
        </w:rPr>
        <w:t xml:space="preserve">not technically </w:t>
      </w:r>
      <w:r w:rsidR="00FE331D">
        <w:rPr>
          <w:color w:val="000000"/>
          <w:sz w:val="22"/>
          <w:szCs w:val="22"/>
        </w:rPr>
        <w:t>capable of</w:t>
      </w:r>
      <w:r w:rsidR="002521CF">
        <w:rPr>
          <w:color w:val="000000"/>
          <w:sz w:val="22"/>
          <w:szCs w:val="22"/>
        </w:rPr>
        <w:t xml:space="preserve"> </w:t>
      </w:r>
      <w:r w:rsidR="00FE331D">
        <w:rPr>
          <w:color w:val="000000"/>
          <w:sz w:val="22"/>
          <w:szCs w:val="22"/>
        </w:rPr>
        <w:t>long-term</w:t>
      </w:r>
      <w:r w:rsidR="002521CF">
        <w:rPr>
          <w:color w:val="000000"/>
          <w:sz w:val="22"/>
          <w:szCs w:val="22"/>
        </w:rPr>
        <w:t xml:space="preserve"> operation or</w:t>
      </w:r>
      <w:r w:rsidR="00ED32BC">
        <w:rPr>
          <w:color w:val="000000"/>
          <w:sz w:val="22"/>
          <w:szCs w:val="22"/>
        </w:rPr>
        <w:t xml:space="preserve"> subject to</w:t>
      </w:r>
      <w:r w:rsidR="002521CF">
        <w:rPr>
          <w:color w:val="000000"/>
          <w:sz w:val="22"/>
          <w:szCs w:val="22"/>
        </w:rPr>
        <w:t xml:space="preserve"> </w:t>
      </w:r>
      <w:r w:rsidR="00BF2517">
        <w:rPr>
          <w:color w:val="000000"/>
          <w:sz w:val="22"/>
          <w:szCs w:val="22"/>
        </w:rPr>
        <w:t xml:space="preserve">any </w:t>
      </w:r>
      <w:r w:rsidR="002521CF">
        <w:rPr>
          <w:color w:val="000000"/>
          <w:sz w:val="22"/>
          <w:szCs w:val="22"/>
        </w:rPr>
        <w:t xml:space="preserve">legal impediment </w:t>
      </w:r>
      <w:r w:rsidR="00FE331D">
        <w:rPr>
          <w:color w:val="000000"/>
          <w:sz w:val="22"/>
          <w:szCs w:val="22"/>
        </w:rPr>
        <w:t>to long-term operation</w:t>
      </w:r>
      <w:r w:rsidR="00146AD0">
        <w:rPr>
          <w:color w:val="000000"/>
          <w:sz w:val="22"/>
          <w:szCs w:val="22"/>
        </w:rPr>
        <w:t>, which would have been one indicator of being used merely as a waystation</w:t>
      </w:r>
      <w:r>
        <w:rPr>
          <w:color w:val="000000"/>
          <w:sz w:val="22"/>
          <w:szCs w:val="22"/>
        </w:rPr>
        <w:t>.</w:t>
      </w:r>
      <w:r w:rsidR="00C44FE9">
        <w:rPr>
          <w:color w:val="000000"/>
          <w:sz w:val="22"/>
          <w:szCs w:val="22"/>
        </w:rPr>
        <w:t xml:space="preserve">  A key indicator of non-temporary construction is long-term operation, which occurred at the First and Third Application sites (more than a year at each site).</w:t>
      </w:r>
      <w:r>
        <w:rPr>
          <w:rStyle w:val="FootnoteReference"/>
          <w:color w:val="000000"/>
          <w:sz w:val="22"/>
          <w:szCs w:val="22"/>
        </w:rPr>
        <w:footnoteReference w:id="43"/>
      </w:r>
      <w:r w:rsidR="00C44FE9">
        <w:rPr>
          <w:color w:val="000000"/>
          <w:sz w:val="22"/>
          <w:szCs w:val="22"/>
        </w:rPr>
        <w:t xml:space="preserve">  In addition, at the Second and Third Application sites, the </w:t>
      </w:r>
      <w:r w:rsidR="00F32352">
        <w:rPr>
          <w:color w:val="000000"/>
          <w:sz w:val="22"/>
          <w:szCs w:val="22"/>
        </w:rPr>
        <w:t xml:space="preserve">Station </w:t>
      </w:r>
      <w:r w:rsidR="00C44FE9">
        <w:rPr>
          <w:color w:val="000000"/>
          <w:sz w:val="22"/>
          <w:szCs w:val="22"/>
        </w:rPr>
        <w:t>antennas were mounted on existing, third-party</w:t>
      </w:r>
      <w:r w:rsidR="004E5A31">
        <w:rPr>
          <w:color w:val="000000"/>
          <w:sz w:val="22"/>
          <w:szCs w:val="22"/>
        </w:rPr>
        <w:t>-</w:t>
      </w:r>
      <w:r w:rsidR="00C44FE9">
        <w:rPr>
          <w:color w:val="000000"/>
          <w:sz w:val="22"/>
          <w:szCs w:val="22"/>
        </w:rPr>
        <w:t>owned communications towers, which also indicates durable construction.  For these reasons, we conclude that</w:t>
      </w:r>
      <w:r w:rsidR="002521CF">
        <w:rPr>
          <w:color w:val="000000"/>
          <w:sz w:val="22"/>
          <w:szCs w:val="22"/>
        </w:rPr>
        <w:t xml:space="preserve"> this factor </w:t>
      </w:r>
      <w:r w:rsidR="00B508DC">
        <w:rPr>
          <w:color w:val="000000"/>
          <w:sz w:val="22"/>
          <w:szCs w:val="22"/>
        </w:rPr>
        <w:t xml:space="preserve">does not support </w:t>
      </w:r>
      <w:r w:rsidR="00FE331D">
        <w:rPr>
          <w:color w:val="000000"/>
          <w:sz w:val="22"/>
          <w:szCs w:val="22"/>
        </w:rPr>
        <w:t>a</w:t>
      </w:r>
      <w:r w:rsidR="00BF2517">
        <w:rPr>
          <w:color w:val="000000"/>
          <w:sz w:val="22"/>
          <w:szCs w:val="22"/>
        </w:rPr>
        <w:t>n</w:t>
      </w:r>
      <w:r w:rsidR="00ED32BC">
        <w:rPr>
          <w:color w:val="000000"/>
          <w:sz w:val="22"/>
          <w:szCs w:val="22"/>
        </w:rPr>
        <w:t xml:space="preserve"> </w:t>
      </w:r>
      <w:r w:rsidR="005E07BB">
        <w:rPr>
          <w:color w:val="000000"/>
          <w:sz w:val="22"/>
          <w:szCs w:val="22"/>
        </w:rPr>
        <w:t>enforcement action based on</w:t>
      </w:r>
      <w:r w:rsidR="00B508DC">
        <w:rPr>
          <w:color w:val="000000"/>
          <w:sz w:val="22"/>
          <w:szCs w:val="22"/>
        </w:rPr>
        <w:t xml:space="preserve"> abuse of process.</w:t>
      </w:r>
      <w:r w:rsidR="002521CF">
        <w:rPr>
          <w:color w:val="000000"/>
          <w:sz w:val="22"/>
          <w:szCs w:val="22"/>
        </w:rPr>
        <w:t xml:space="preserve"> </w:t>
      </w:r>
      <w:r>
        <w:rPr>
          <w:color w:val="000000"/>
          <w:sz w:val="22"/>
          <w:szCs w:val="22"/>
        </w:rPr>
        <w:t xml:space="preserve">  </w:t>
      </w:r>
    </w:p>
    <w:p w:rsidR="004C09D4" w:rsidP="00531661" w14:paraId="5A92BF41" w14:textId="77777777">
      <w:pPr>
        <w:ind w:firstLine="720"/>
        <w:rPr>
          <w:color w:val="000000"/>
          <w:sz w:val="22"/>
          <w:szCs w:val="22"/>
        </w:rPr>
      </w:pPr>
    </w:p>
    <w:p w:rsidR="00B508DC" w:rsidP="00B508DC" w14:paraId="4AC01174" w14:textId="3B0C11C5">
      <w:pPr>
        <w:ind w:firstLine="720"/>
        <w:rPr>
          <w:color w:val="000000"/>
          <w:sz w:val="22"/>
          <w:szCs w:val="22"/>
        </w:rPr>
      </w:pPr>
      <w:r>
        <w:rPr>
          <w:color w:val="000000"/>
          <w:sz w:val="22"/>
          <w:szCs w:val="22"/>
        </w:rPr>
        <w:t xml:space="preserve">(2) </w:t>
      </w:r>
      <w:r w:rsidRPr="004901B6" w:rsidR="00ED32BC">
        <w:rPr>
          <w:color w:val="000000"/>
          <w:sz w:val="22"/>
          <w:szCs w:val="22"/>
          <w:u w:val="single"/>
        </w:rPr>
        <w:t>Duration of operation</w:t>
      </w:r>
      <w:r>
        <w:rPr>
          <w:color w:val="000000"/>
          <w:sz w:val="22"/>
          <w:szCs w:val="22"/>
        </w:rPr>
        <w:t xml:space="preserve">.  Related to temporary construction, this factor concerns the length of time that the licensee </w:t>
      </w:r>
      <w:r w:rsidR="00ED32BC">
        <w:rPr>
          <w:color w:val="000000"/>
          <w:sz w:val="22"/>
          <w:szCs w:val="22"/>
        </w:rPr>
        <w:t>broadcast</w:t>
      </w:r>
      <w:r>
        <w:rPr>
          <w:color w:val="000000"/>
          <w:sz w:val="22"/>
          <w:szCs w:val="22"/>
        </w:rPr>
        <w:t xml:space="preserve"> from each modification site.  </w:t>
      </w:r>
      <w:r w:rsidR="00ED71C3">
        <w:rPr>
          <w:color w:val="000000"/>
          <w:sz w:val="22"/>
          <w:szCs w:val="22"/>
        </w:rPr>
        <w:t xml:space="preserve">In addition to evidence of physical or legal impediments to long term operation, we have found that </w:t>
      </w:r>
      <w:r w:rsidR="007167F3">
        <w:rPr>
          <w:color w:val="000000"/>
          <w:sz w:val="22"/>
          <w:szCs w:val="22"/>
        </w:rPr>
        <w:t xml:space="preserve">operation of less than a year at a </w:t>
      </w:r>
      <w:r w:rsidR="00ED71C3">
        <w:rPr>
          <w:color w:val="000000"/>
          <w:sz w:val="22"/>
          <w:szCs w:val="22"/>
        </w:rPr>
        <w:t>site</w:t>
      </w:r>
      <w:r w:rsidR="007167F3">
        <w:rPr>
          <w:color w:val="000000"/>
          <w:sz w:val="22"/>
          <w:szCs w:val="22"/>
        </w:rPr>
        <w:t xml:space="preserve"> </w:t>
      </w:r>
      <w:r w:rsidR="00C26DA5">
        <w:rPr>
          <w:color w:val="000000"/>
          <w:sz w:val="22"/>
          <w:szCs w:val="22"/>
        </w:rPr>
        <w:t xml:space="preserve">may be an indicator </w:t>
      </w:r>
      <w:r w:rsidR="00ED71C3">
        <w:rPr>
          <w:color w:val="000000"/>
          <w:sz w:val="22"/>
          <w:szCs w:val="22"/>
        </w:rPr>
        <w:t>that the facilities were temporarily constructed</w:t>
      </w:r>
      <w:r w:rsidR="007167F3">
        <w:rPr>
          <w:color w:val="000000"/>
          <w:sz w:val="22"/>
          <w:szCs w:val="22"/>
        </w:rPr>
        <w:t>.</w:t>
      </w:r>
      <w:r>
        <w:rPr>
          <w:rStyle w:val="FootnoteReference"/>
          <w:color w:val="000000"/>
          <w:sz w:val="22"/>
          <w:szCs w:val="22"/>
        </w:rPr>
        <w:footnoteReference w:id="44"/>
      </w:r>
      <w:r w:rsidR="007167F3">
        <w:rPr>
          <w:color w:val="000000"/>
          <w:sz w:val="22"/>
          <w:szCs w:val="22"/>
        </w:rPr>
        <w:t xml:space="preserve">  </w:t>
      </w:r>
      <w:r w:rsidR="00ED71C3">
        <w:rPr>
          <w:color w:val="000000"/>
          <w:sz w:val="22"/>
          <w:szCs w:val="22"/>
        </w:rPr>
        <w:t>Long</w:t>
      </w:r>
      <w:r w:rsidR="007167F3">
        <w:rPr>
          <w:color w:val="000000"/>
          <w:sz w:val="22"/>
          <w:szCs w:val="22"/>
        </w:rPr>
        <w:t xml:space="preserve"> periods of silence</w:t>
      </w:r>
      <w:r w:rsidR="00ED71C3">
        <w:rPr>
          <w:color w:val="000000"/>
          <w:sz w:val="22"/>
          <w:szCs w:val="22"/>
        </w:rPr>
        <w:t>—</w:t>
      </w:r>
      <w:r w:rsidR="007167F3">
        <w:rPr>
          <w:color w:val="000000"/>
          <w:sz w:val="22"/>
          <w:szCs w:val="22"/>
        </w:rPr>
        <w:t>whether authorized or not</w:t>
      </w:r>
      <w:r w:rsidR="00ED71C3">
        <w:rPr>
          <w:color w:val="000000"/>
          <w:sz w:val="22"/>
          <w:szCs w:val="22"/>
        </w:rPr>
        <w:t>—</w:t>
      </w:r>
      <w:r w:rsidR="00ED32BC">
        <w:rPr>
          <w:color w:val="000000"/>
          <w:sz w:val="22"/>
          <w:szCs w:val="22"/>
        </w:rPr>
        <w:t xml:space="preserve">can </w:t>
      </w:r>
      <w:r w:rsidR="005E07BB">
        <w:rPr>
          <w:color w:val="000000"/>
          <w:sz w:val="22"/>
          <w:szCs w:val="22"/>
        </w:rPr>
        <w:t xml:space="preserve">provide </w:t>
      </w:r>
      <w:r w:rsidR="00ED32BC">
        <w:rPr>
          <w:color w:val="000000"/>
          <w:sz w:val="22"/>
          <w:szCs w:val="22"/>
        </w:rPr>
        <w:t xml:space="preserve">evidence </w:t>
      </w:r>
      <w:r w:rsidR="00ED71C3">
        <w:rPr>
          <w:color w:val="000000"/>
          <w:sz w:val="22"/>
          <w:szCs w:val="22"/>
        </w:rPr>
        <w:t>that</w:t>
      </w:r>
      <w:r w:rsidR="007167F3">
        <w:rPr>
          <w:color w:val="000000"/>
          <w:sz w:val="22"/>
          <w:szCs w:val="22"/>
        </w:rPr>
        <w:t xml:space="preserve"> the interim location is merely a formality to satisfy the contour overlap requirement and</w:t>
      </w:r>
      <w:r w:rsidR="00097781">
        <w:rPr>
          <w:color w:val="000000"/>
          <w:sz w:val="22"/>
          <w:szCs w:val="22"/>
        </w:rPr>
        <w:t xml:space="preserve"> thus</w:t>
      </w:r>
      <w:r w:rsidR="007167F3">
        <w:rPr>
          <w:color w:val="000000"/>
          <w:sz w:val="22"/>
          <w:szCs w:val="22"/>
        </w:rPr>
        <w:t xml:space="preserve"> evade the major change rule.</w:t>
      </w:r>
      <w:r>
        <w:rPr>
          <w:rStyle w:val="FootnoteReference"/>
          <w:color w:val="000000"/>
          <w:sz w:val="22"/>
          <w:szCs w:val="22"/>
        </w:rPr>
        <w:footnoteReference w:id="45"/>
      </w:r>
      <w:r w:rsidR="007167F3">
        <w:rPr>
          <w:color w:val="000000"/>
          <w:sz w:val="22"/>
          <w:szCs w:val="22"/>
        </w:rPr>
        <w:t xml:space="preserve">  In </w:t>
      </w:r>
      <w:r w:rsidR="007167F3">
        <w:rPr>
          <w:i/>
          <w:color w:val="000000"/>
          <w:sz w:val="22"/>
          <w:szCs w:val="22"/>
        </w:rPr>
        <w:t>Broadcast Towers</w:t>
      </w:r>
      <w:r w:rsidR="007167F3">
        <w:rPr>
          <w:color w:val="000000"/>
          <w:sz w:val="22"/>
          <w:szCs w:val="22"/>
        </w:rPr>
        <w:t>,</w:t>
      </w:r>
      <w:r w:rsidR="007167F3">
        <w:rPr>
          <w:i/>
          <w:color w:val="000000"/>
          <w:sz w:val="22"/>
          <w:szCs w:val="22"/>
        </w:rPr>
        <w:t xml:space="preserve"> </w:t>
      </w:r>
      <w:r w:rsidR="00ED71C3">
        <w:rPr>
          <w:color w:val="000000"/>
          <w:sz w:val="22"/>
          <w:szCs w:val="22"/>
        </w:rPr>
        <w:t xml:space="preserve">for example, </w:t>
      </w:r>
      <w:r w:rsidR="007167F3">
        <w:rPr>
          <w:color w:val="000000"/>
          <w:sz w:val="22"/>
          <w:szCs w:val="22"/>
        </w:rPr>
        <w:t>the translator operator stipulated that, due to the brief operation at each roadside site, it had failed to provide dependable service an</w:t>
      </w:r>
      <w:r>
        <w:rPr>
          <w:color w:val="000000"/>
          <w:sz w:val="22"/>
          <w:szCs w:val="22"/>
        </w:rPr>
        <w:t>d</w:t>
      </w:r>
      <w:r w:rsidR="007167F3">
        <w:rPr>
          <w:color w:val="000000"/>
          <w:sz w:val="22"/>
          <w:szCs w:val="22"/>
        </w:rPr>
        <w:t xml:space="preserve"> avoid unwarranted interruptions to service from the translators at issue, in violation of </w:t>
      </w:r>
      <w:r w:rsidR="00805765">
        <w:rPr>
          <w:color w:val="000000"/>
          <w:sz w:val="22"/>
          <w:szCs w:val="22"/>
        </w:rPr>
        <w:t>s</w:t>
      </w:r>
      <w:r w:rsidR="007167F3">
        <w:rPr>
          <w:color w:val="000000"/>
          <w:sz w:val="22"/>
          <w:szCs w:val="22"/>
        </w:rPr>
        <w:t xml:space="preserve">ection 74.1263(a) of the </w:t>
      </w:r>
      <w:r w:rsidR="00146AD0">
        <w:rPr>
          <w:color w:val="000000"/>
          <w:sz w:val="22"/>
          <w:szCs w:val="22"/>
        </w:rPr>
        <w:t>r</w:t>
      </w:r>
      <w:r w:rsidR="007167F3">
        <w:rPr>
          <w:color w:val="000000"/>
          <w:sz w:val="22"/>
          <w:szCs w:val="22"/>
        </w:rPr>
        <w:t>ules.</w:t>
      </w:r>
      <w:r>
        <w:rPr>
          <w:rStyle w:val="FootnoteReference"/>
          <w:color w:val="000000"/>
          <w:sz w:val="22"/>
          <w:szCs w:val="22"/>
        </w:rPr>
        <w:footnoteReference w:id="46"/>
      </w:r>
      <w:r w:rsidR="007167F3">
        <w:rPr>
          <w:color w:val="000000"/>
          <w:sz w:val="22"/>
          <w:szCs w:val="22"/>
        </w:rPr>
        <w:t xml:space="preserve">  </w:t>
      </w:r>
      <w:r w:rsidR="00C26DA5">
        <w:rPr>
          <w:color w:val="000000"/>
          <w:sz w:val="22"/>
          <w:szCs w:val="22"/>
        </w:rPr>
        <w:t>After licensing, the translator operator</w:t>
      </w:r>
      <w:r w:rsidR="007167F3">
        <w:rPr>
          <w:color w:val="000000"/>
          <w:sz w:val="22"/>
          <w:szCs w:val="22"/>
        </w:rPr>
        <w:t xml:space="preserve"> </w:t>
      </w:r>
      <w:r w:rsidR="00ED71C3">
        <w:rPr>
          <w:color w:val="000000"/>
          <w:sz w:val="22"/>
          <w:szCs w:val="22"/>
        </w:rPr>
        <w:t xml:space="preserve">broadcast </w:t>
      </w:r>
      <w:r w:rsidR="007167F3">
        <w:rPr>
          <w:color w:val="000000"/>
          <w:sz w:val="22"/>
          <w:szCs w:val="22"/>
        </w:rPr>
        <w:t>“for two to five hours once every thirty days” at each site to avoid the requirement to seek Commission approval to be off air.</w:t>
      </w:r>
      <w:r>
        <w:rPr>
          <w:rStyle w:val="FootnoteReference"/>
          <w:color w:val="000000"/>
          <w:sz w:val="22"/>
          <w:szCs w:val="22"/>
        </w:rPr>
        <w:footnoteReference w:id="47"/>
      </w:r>
      <w:r w:rsidR="007167F3">
        <w:rPr>
          <w:color w:val="000000"/>
          <w:sz w:val="22"/>
          <w:szCs w:val="22"/>
        </w:rPr>
        <w:t xml:space="preserve">  </w:t>
      </w:r>
      <w:r w:rsidR="007335B5">
        <w:rPr>
          <w:color w:val="000000"/>
          <w:sz w:val="22"/>
          <w:szCs w:val="22"/>
        </w:rPr>
        <w:t>These fac</w:t>
      </w:r>
      <w:r w:rsidR="005E07BB">
        <w:rPr>
          <w:color w:val="000000"/>
          <w:sz w:val="22"/>
          <w:szCs w:val="22"/>
        </w:rPr>
        <w:t>tors</w:t>
      </w:r>
      <w:r w:rsidR="007335B5">
        <w:rPr>
          <w:color w:val="000000"/>
          <w:sz w:val="22"/>
          <w:szCs w:val="22"/>
        </w:rPr>
        <w:t xml:space="preserve"> pointed to a deliberate strategy to operate the interim site only to the extent necessary to satisfy the Commission’s minimum requirements before moving on to the next site.  </w:t>
      </w:r>
      <w:r>
        <w:rPr>
          <w:color w:val="000000"/>
          <w:sz w:val="22"/>
          <w:szCs w:val="22"/>
        </w:rPr>
        <w:t xml:space="preserve">Here, as </w:t>
      </w:r>
      <w:r w:rsidR="00986E21">
        <w:rPr>
          <w:color w:val="000000"/>
          <w:sz w:val="22"/>
          <w:szCs w:val="22"/>
        </w:rPr>
        <w:t>noted</w:t>
      </w:r>
      <w:r>
        <w:rPr>
          <w:color w:val="000000"/>
          <w:sz w:val="22"/>
          <w:szCs w:val="22"/>
        </w:rPr>
        <w:t xml:space="preserve"> </w:t>
      </w:r>
      <w:r w:rsidR="00805765">
        <w:rPr>
          <w:color w:val="000000"/>
          <w:sz w:val="22"/>
          <w:szCs w:val="22"/>
        </w:rPr>
        <w:t>above</w:t>
      </w:r>
      <w:r>
        <w:rPr>
          <w:color w:val="000000"/>
          <w:sz w:val="22"/>
          <w:szCs w:val="22"/>
        </w:rPr>
        <w:t xml:space="preserve">, Edgewater operated the station at the </w:t>
      </w:r>
      <w:r w:rsidR="004B42C0">
        <w:rPr>
          <w:color w:val="000000"/>
          <w:sz w:val="22"/>
          <w:szCs w:val="22"/>
        </w:rPr>
        <w:t xml:space="preserve">First </w:t>
      </w:r>
      <w:r>
        <w:rPr>
          <w:color w:val="000000"/>
          <w:sz w:val="22"/>
          <w:szCs w:val="22"/>
        </w:rPr>
        <w:t xml:space="preserve">Application Site for more than a year.  Although it operated </w:t>
      </w:r>
      <w:r>
        <w:rPr>
          <w:color w:val="000000"/>
          <w:sz w:val="22"/>
          <w:szCs w:val="22"/>
        </w:rPr>
        <w:t xml:space="preserve">the Station </w:t>
      </w:r>
      <w:r>
        <w:rPr>
          <w:color w:val="000000"/>
          <w:sz w:val="22"/>
          <w:szCs w:val="22"/>
        </w:rPr>
        <w:t xml:space="preserve">at the </w:t>
      </w:r>
      <w:r w:rsidR="004B42C0">
        <w:rPr>
          <w:color w:val="000000"/>
          <w:sz w:val="22"/>
          <w:szCs w:val="22"/>
        </w:rPr>
        <w:t xml:space="preserve">Second </w:t>
      </w:r>
      <w:r>
        <w:rPr>
          <w:color w:val="000000"/>
          <w:sz w:val="22"/>
          <w:szCs w:val="22"/>
        </w:rPr>
        <w:t xml:space="preserve">Application </w:t>
      </w:r>
      <w:r w:rsidR="008B69CC">
        <w:rPr>
          <w:color w:val="000000"/>
          <w:sz w:val="22"/>
          <w:szCs w:val="22"/>
        </w:rPr>
        <w:t>s</w:t>
      </w:r>
      <w:r>
        <w:rPr>
          <w:color w:val="000000"/>
          <w:sz w:val="22"/>
          <w:szCs w:val="22"/>
        </w:rPr>
        <w:t xml:space="preserve">ite for </w:t>
      </w:r>
      <w:r>
        <w:rPr>
          <w:color w:val="000000"/>
          <w:sz w:val="22"/>
          <w:szCs w:val="22"/>
        </w:rPr>
        <w:t xml:space="preserve">only </w:t>
      </w:r>
      <w:r>
        <w:rPr>
          <w:color w:val="000000"/>
          <w:sz w:val="22"/>
          <w:szCs w:val="22"/>
        </w:rPr>
        <w:t xml:space="preserve">one month, </w:t>
      </w:r>
      <w:r w:rsidR="00A75324">
        <w:rPr>
          <w:color w:val="000000"/>
          <w:sz w:val="22"/>
          <w:szCs w:val="22"/>
        </w:rPr>
        <w:t xml:space="preserve">which is a red flag that the </w:t>
      </w:r>
      <w:r w:rsidR="004B42C0">
        <w:rPr>
          <w:color w:val="000000"/>
          <w:sz w:val="22"/>
          <w:szCs w:val="22"/>
        </w:rPr>
        <w:t xml:space="preserve">Second </w:t>
      </w:r>
      <w:r w:rsidR="00A75324">
        <w:rPr>
          <w:color w:val="000000"/>
          <w:sz w:val="22"/>
          <w:szCs w:val="22"/>
        </w:rPr>
        <w:t xml:space="preserve">Application site could represent simply a waystation, </w:t>
      </w:r>
      <w:r>
        <w:rPr>
          <w:color w:val="000000"/>
          <w:sz w:val="22"/>
          <w:szCs w:val="22"/>
        </w:rPr>
        <w:t xml:space="preserve">Edgewater then broadcast from the </w:t>
      </w:r>
      <w:r w:rsidR="004B42C0">
        <w:rPr>
          <w:color w:val="000000"/>
          <w:sz w:val="22"/>
          <w:szCs w:val="22"/>
        </w:rPr>
        <w:t xml:space="preserve">Third </w:t>
      </w:r>
      <w:r>
        <w:rPr>
          <w:color w:val="000000"/>
          <w:sz w:val="22"/>
          <w:szCs w:val="22"/>
        </w:rPr>
        <w:t xml:space="preserve">Application </w:t>
      </w:r>
      <w:r w:rsidR="008B69CC">
        <w:rPr>
          <w:color w:val="000000"/>
          <w:sz w:val="22"/>
          <w:szCs w:val="22"/>
        </w:rPr>
        <w:t>s</w:t>
      </w:r>
      <w:r>
        <w:rPr>
          <w:color w:val="000000"/>
          <w:sz w:val="22"/>
          <w:szCs w:val="22"/>
        </w:rPr>
        <w:t xml:space="preserve">ite </w:t>
      </w:r>
      <w:r w:rsidR="005B7F36">
        <w:rPr>
          <w:color w:val="000000"/>
          <w:sz w:val="22"/>
          <w:szCs w:val="22"/>
        </w:rPr>
        <w:t xml:space="preserve">for more than </w:t>
      </w:r>
      <w:r w:rsidR="00C065ED">
        <w:rPr>
          <w:color w:val="000000"/>
          <w:sz w:val="22"/>
          <w:szCs w:val="22"/>
        </w:rPr>
        <w:t>a year</w:t>
      </w:r>
      <w:r w:rsidR="005B7F36">
        <w:rPr>
          <w:color w:val="000000"/>
          <w:sz w:val="22"/>
          <w:szCs w:val="22"/>
        </w:rPr>
        <w:t xml:space="preserve">, </w:t>
      </w:r>
      <w:r>
        <w:rPr>
          <w:color w:val="000000"/>
          <w:sz w:val="22"/>
          <w:szCs w:val="22"/>
        </w:rPr>
        <w:t xml:space="preserve">from August 2017 to the present.  </w:t>
      </w:r>
      <w:r w:rsidR="00FE331D">
        <w:rPr>
          <w:color w:val="000000"/>
          <w:sz w:val="22"/>
          <w:szCs w:val="22"/>
        </w:rPr>
        <w:t xml:space="preserve">The prolonged periods of service at </w:t>
      </w:r>
      <w:r w:rsidR="00A75324">
        <w:rPr>
          <w:color w:val="000000"/>
          <w:sz w:val="22"/>
          <w:szCs w:val="22"/>
        </w:rPr>
        <w:t xml:space="preserve">the </w:t>
      </w:r>
      <w:r w:rsidR="004B42C0">
        <w:rPr>
          <w:color w:val="000000"/>
          <w:sz w:val="22"/>
          <w:szCs w:val="22"/>
        </w:rPr>
        <w:t>First</w:t>
      </w:r>
      <w:r w:rsidR="00A75324">
        <w:rPr>
          <w:color w:val="000000"/>
          <w:sz w:val="22"/>
          <w:szCs w:val="22"/>
        </w:rPr>
        <w:t xml:space="preserve"> and </w:t>
      </w:r>
      <w:r w:rsidR="004B42C0">
        <w:rPr>
          <w:color w:val="000000"/>
          <w:sz w:val="22"/>
          <w:szCs w:val="22"/>
        </w:rPr>
        <w:t>Third</w:t>
      </w:r>
      <w:r w:rsidR="00A75324">
        <w:rPr>
          <w:color w:val="000000"/>
          <w:sz w:val="22"/>
          <w:szCs w:val="22"/>
        </w:rPr>
        <w:t xml:space="preserve"> Application site</w:t>
      </w:r>
      <w:r w:rsidR="00C065ED">
        <w:rPr>
          <w:color w:val="000000"/>
          <w:sz w:val="22"/>
          <w:szCs w:val="22"/>
        </w:rPr>
        <w:t>s</w:t>
      </w:r>
      <w:r w:rsidR="00A75324">
        <w:rPr>
          <w:color w:val="000000"/>
          <w:sz w:val="22"/>
          <w:szCs w:val="22"/>
        </w:rPr>
        <w:t xml:space="preserve"> </w:t>
      </w:r>
      <w:r w:rsidR="005B7F36">
        <w:rPr>
          <w:color w:val="000000"/>
          <w:sz w:val="22"/>
          <w:szCs w:val="22"/>
        </w:rPr>
        <w:t>indicate</w:t>
      </w:r>
      <w:r w:rsidR="00FE331D">
        <w:rPr>
          <w:color w:val="000000"/>
          <w:sz w:val="22"/>
          <w:szCs w:val="22"/>
        </w:rPr>
        <w:t xml:space="preserve"> that the</w:t>
      </w:r>
      <w:r w:rsidR="00A75324">
        <w:rPr>
          <w:color w:val="000000"/>
          <w:sz w:val="22"/>
          <w:szCs w:val="22"/>
        </w:rPr>
        <w:t>se</w:t>
      </w:r>
      <w:r w:rsidR="00FE331D">
        <w:rPr>
          <w:color w:val="000000"/>
          <w:sz w:val="22"/>
          <w:szCs w:val="22"/>
        </w:rPr>
        <w:t xml:space="preserve"> facilities were not temporarily constructed and that Edgewater in fact served the public from </w:t>
      </w:r>
      <w:r w:rsidR="005E07BB">
        <w:rPr>
          <w:color w:val="000000"/>
          <w:sz w:val="22"/>
          <w:szCs w:val="22"/>
        </w:rPr>
        <w:t xml:space="preserve">each </w:t>
      </w:r>
      <w:r w:rsidR="00FE331D">
        <w:rPr>
          <w:color w:val="000000"/>
          <w:sz w:val="22"/>
          <w:szCs w:val="22"/>
        </w:rPr>
        <w:t xml:space="preserve">location.  </w:t>
      </w:r>
      <w:r w:rsidR="005B7F36">
        <w:rPr>
          <w:color w:val="000000"/>
          <w:sz w:val="22"/>
          <w:szCs w:val="22"/>
        </w:rPr>
        <w:t>T</w:t>
      </w:r>
      <w:r w:rsidR="007335B5">
        <w:rPr>
          <w:color w:val="000000"/>
          <w:sz w:val="22"/>
          <w:szCs w:val="22"/>
        </w:rPr>
        <w:t>herefore</w:t>
      </w:r>
      <w:r>
        <w:rPr>
          <w:color w:val="000000"/>
          <w:sz w:val="22"/>
          <w:szCs w:val="22"/>
        </w:rPr>
        <w:t xml:space="preserve">, </w:t>
      </w:r>
      <w:r w:rsidR="00A75324">
        <w:rPr>
          <w:color w:val="000000"/>
          <w:sz w:val="22"/>
          <w:szCs w:val="22"/>
        </w:rPr>
        <w:t xml:space="preserve">although </w:t>
      </w:r>
      <w:r w:rsidR="002D25EB">
        <w:rPr>
          <w:color w:val="000000"/>
          <w:sz w:val="22"/>
          <w:szCs w:val="22"/>
        </w:rPr>
        <w:t>it partially cuts both ways</w:t>
      </w:r>
      <w:r w:rsidR="00A75324">
        <w:rPr>
          <w:color w:val="000000"/>
          <w:sz w:val="22"/>
          <w:szCs w:val="22"/>
        </w:rPr>
        <w:t xml:space="preserve">, </w:t>
      </w:r>
      <w:r>
        <w:rPr>
          <w:color w:val="000000"/>
          <w:sz w:val="22"/>
          <w:szCs w:val="22"/>
        </w:rPr>
        <w:t xml:space="preserve">this factor </w:t>
      </w:r>
      <w:r w:rsidR="00A75324">
        <w:rPr>
          <w:color w:val="000000"/>
          <w:sz w:val="22"/>
          <w:szCs w:val="22"/>
        </w:rPr>
        <w:t xml:space="preserve">overall </w:t>
      </w:r>
      <w:r>
        <w:rPr>
          <w:color w:val="000000"/>
          <w:sz w:val="22"/>
          <w:szCs w:val="22"/>
        </w:rPr>
        <w:t xml:space="preserve">does not support </w:t>
      </w:r>
      <w:r w:rsidR="005E07BB">
        <w:rPr>
          <w:color w:val="000000"/>
          <w:sz w:val="22"/>
          <w:szCs w:val="22"/>
        </w:rPr>
        <w:t>an enforcement action based on</w:t>
      </w:r>
      <w:r>
        <w:rPr>
          <w:color w:val="000000"/>
          <w:sz w:val="22"/>
          <w:szCs w:val="22"/>
        </w:rPr>
        <w:t xml:space="preserve"> abuse of process.</w:t>
      </w:r>
    </w:p>
    <w:p w:rsidR="00B508DC" w:rsidP="00B508DC" w14:paraId="456A7E1C" w14:textId="77777777">
      <w:pPr>
        <w:ind w:firstLine="720"/>
        <w:rPr>
          <w:color w:val="000000"/>
          <w:sz w:val="22"/>
          <w:szCs w:val="22"/>
        </w:rPr>
      </w:pPr>
    </w:p>
    <w:p w:rsidR="00053922" w:rsidP="004322A2" w14:paraId="2174D263" w14:textId="77777777">
      <w:pPr>
        <w:ind w:firstLine="720"/>
        <w:rPr>
          <w:sz w:val="22"/>
          <w:szCs w:val="22"/>
        </w:rPr>
      </w:pPr>
      <w:r>
        <w:rPr>
          <w:color w:val="000000"/>
          <w:sz w:val="22"/>
          <w:szCs w:val="22"/>
        </w:rPr>
        <w:t xml:space="preserve">(3) </w:t>
      </w:r>
      <w:r w:rsidRPr="004901B6" w:rsidR="00A979B1">
        <w:rPr>
          <w:color w:val="000000"/>
          <w:sz w:val="22"/>
          <w:szCs w:val="22"/>
          <w:u w:val="single"/>
        </w:rPr>
        <w:t xml:space="preserve">Alternative </w:t>
      </w:r>
      <w:r w:rsidRPr="004901B6" w:rsidR="005A3A3D">
        <w:rPr>
          <w:color w:val="000000"/>
          <w:sz w:val="22"/>
          <w:szCs w:val="22"/>
          <w:u w:val="single"/>
        </w:rPr>
        <w:t>purposes</w:t>
      </w:r>
      <w:r>
        <w:rPr>
          <w:color w:val="000000"/>
          <w:sz w:val="22"/>
          <w:szCs w:val="22"/>
        </w:rPr>
        <w:t xml:space="preserve">.  </w:t>
      </w:r>
      <w:r>
        <w:rPr>
          <w:sz w:val="22"/>
          <w:szCs w:val="22"/>
        </w:rPr>
        <w:t>As mentioned above, our policy against serial modifications is based on potential abuse of the Commission’s licensing procedures, i.e., intentional efforts to evade rule restrictions.</w:t>
      </w:r>
      <w:r>
        <w:rPr>
          <w:rStyle w:val="FootnoteReference"/>
          <w:sz w:val="22"/>
          <w:szCs w:val="22"/>
        </w:rPr>
        <w:footnoteReference w:id="48"/>
      </w:r>
      <w:r>
        <w:rPr>
          <w:sz w:val="22"/>
          <w:szCs w:val="22"/>
        </w:rPr>
        <w:t xml:space="preserve">  </w:t>
      </w:r>
      <w:r w:rsidR="004322A2">
        <w:rPr>
          <w:sz w:val="22"/>
          <w:szCs w:val="22"/>
        </w:rPr>
        <w:t xml:space="preserve">An application that is filed </w:t>
      </w:r>
      <w:r w:rsidR="00AF6E6E">
        <w:rPr>
          <w:sz w:val="22"/>
          <w:szCs w:val="22"/>
        </w:rPr>
        <w:t xml:space="preserve">for </w:t>
      </w:r>
      <w:r>
        <w:rPr>
          <w:sz w:val="22"/>
          <w:szCs w:val="22"/>
        </w:rPr>
        <w:t xml:space="preserve">a </w:t>
      </w:r>
      <w:r>
        <w:rPr>
          <w:sz w:val="22"/>
          <w:szCs w:val="22"/>
        </w:rPr>
        <w:t>demonstrably</w:t>
      </w:r>
      <w:r>
        <w:rPr>
          <w:sz w:val="22"/>
          <w:szCs w:val="22"/>
        </w:rPr>
        <w:t xml:space="preserve"> legitimate</w:t>
      </w:r>
      <w:r w:rsidR="00AF6E6E">
        <w:rPr>
          <w:sz w:val="22"/>
          <w:szCs w:val="22"/>
        </w:rPr>
        <w:t xml:space="preserve"> purpose</w:t>
      </w:r>
      <w:r>
        <w:rPr>
          <w:sz w:val="22"/>
          <w:szCs w:val="22"/>
        </w:rPr>
        <w:t xml:space="preserve">—e.g., </w:t>
      </w:r>
      <w:r w:rsidR="005755F0">
        <w:rPr>
          <w:sz w:val="22"/>
          <w:szCs w:val="22"/>
        </w:rPr>
        <w:t xml:space="preserve">that is the result of </w:t>
      </w:r>
      <w:r w:rsidR="005B7F36">
        <w:rPr>
          <w:sz w:val="22"/>
          <w:szCs w:val="22"/>
        </w:rPr>
        <w:t xml:space="preserve">unexpected </w:t>
      </w:r>
      <w:r w:rsidR="005755F0">
        <w:rPr>
          <w:sz w:val="22"/>
          <w:szCs w:val="22"/>
        </w:rPr>
        <w:t xml:space="preserve">tower damage, or </w:t>
      </w:r>
      <w:r>
        <w:rPr>
          <w:sz w:val="22"/>
          <w:szCs w:val="22"/>
        </w:rPr>
        <w:t>to</w:t>
      </w:r>
      <w:r w:rsidR="004322A2">
        <w:rPr>
          <w:sz w:val="22"/>
          <w:szCs w:val="22"/>
        </w:rPr>
        <w:t xml:space="preserve"> resolv</w:t>
      </w:r>
      <w:r>
        <w:rPr>
          <w:sz w:val="22"/>
          <w:szCs w:val="22"/>
        </w:rPr>
        <w:t>e</w:t>
      </w:r>
      <w:r w:rsidR="004322A2">
        <w:rPr>
          <w:sz w:val="22"/>
          <w:szCs w:val="22"/>
        </w:rPr>
        <w:t xml:space="preserve"> interference issues that are outside the translator licensee’s control</w:t>
      </w:r>
      <w:r>
        <w:rPr>
          <w:sz w:val="22"/>
          <w:szCs w:val="22"/>
        </w:rPr>
        <w:t>—</w:t>
      </w:r>
      <w:r w:rsidR="004322A2">
        <w:rPr>
          <w:sz w:val="22"/>
          <w:szCs w:val="22"/>
        </w:rPr>
        <w:t xml:space="preserve">does not </w:t>
      </w:r>
      <w:r>
        <w:rPr>
          <w:sz w:val="22"/>
          <w:szCs w:val="22"/>
        </w:rPr>
        <w:t xml:space="preserve">raise </w:t>
      </w:r>
      <w:r w:rsidR="004322A2">
        <w:rPr>
          <w:sz w:val="22"/>
          <w:szCs w:val="22"/>
        </w:rPr>
        <w:t>abuse of process concerns.</w:t>
      </w:r>
      <w:r>
        <w:rPr>
          <w:rStyle w:val="FootnoteReference"/>
          <w:sz w:val="22"/>
          <w:szCs w:val="22"/>
        </w:rPr>
        <w:footnoteReference w:id="49"/>
      </w:r>
      <w:r w:rsidR="004322A2">
        <w:rPr>
          <w:sz w:val="22"/>
          <w:szCs w:val="22"/>
        </w:rPr>
        <w:t xml:space="preserve">  </w:t>
      </w:r>
      <w:r>
        <w:rPr>
          <w:sz w:val="22"/>
          <w:szCs w:val="22"/>
        </w:rPr>
        <w:t>In this case,</w:t>
      </w:r>
      <w:r w:rsidR="005E07BB">
        <w:rPr>
          <w:sz w:val="22"/>
          <w:szCs w:val="22"/>
        </w:rPr>
        <w:t xml:space="preserve"> however,</w:t>
      </w:r>
      <w:r>
        <w:rPr>
          <w:sz w:val="22"/>
          <w:szCs w:val="22"/>
        </w:rPr>
        <w:t xml:space="preserve"> there is no evidence that Edgewater filed any </w:t>
      </w:r>
      <w:r w:rsidR="00D04C33">
        <w:rPr>
          <w:sz w:val="22"/>
          <w:szCs w:val="22"/>
        </w:rPr>
        <w:t>A</w:t>
      </w:r>
      <w:r w:rsidR="007335B5">
        <w:rPr>
          <w:sz w:val="22"/>
          <w:szCs w:val="22"/>
        </w:rPr>
        <w:t>pplication</w:t>
      </w:r>
      <w:r>
        <w:rPr>
          <w:sz w:val="22"/>
          <w:szCs w:val="22"/>
        </w:rPr>
        <w:t xml:space="preserve"> </w:t>
      </w:r>
      <w:r w:rsidR="007335B5">
        <w:rPr>
          <w:sz w:val="22"/>
          <w:szCs w:val="22"/>
        </w:rPr>
        <w:t>due to</w:t>
      </w:r>
      <w:r>
        <w:rPr>
          <w:sz w:val="22"/>
          <w:szCs w:val="22"/>
        </w:rPr>
        <w:t xml:space="preserve"> interference or any other clearly legitimate reason, so this factor </w:t>
      </w:r>
      <w:r>
        <w:rPr>
          <w:sz w:val="22"/>
          <w:szCs w:val="22"/>
        </w:rPr>
        <w:t xml:space="preserve">does not </w:t>
      </w:r>
      <w:r w:rsidR="00D04C33">
        <w:rPr>
          <w:sz w:val="22"/>
          <w:szCs w:val="22"/>
        </w:rPr>
        <w:t xml:space="preserve">remove </w:t>
      </w:r>
      <w:r>
        <w:rPr>
          <w:sz w:val="22"/>
          <w:szCs w:val="22"/>
        </w:rPr>
        <w:t>any of the Applications from</w:t>
      </w:r>
      <w:r w:rsidR="005E07BB">
        <w:rPr>
          <w:sz w:val="22"/>
          <w:szCs w:val="22"/>
        </w:rPr>
        <w:t xml:space="preserve"> further scrutiny</w:t>
      </w:r>
      <w:r w:rsidR="00A979B1">
        <w:rPr>
          <w:sz w:val="22"/>
          <w:szCs w:val="22"/>
        </w:rPr>
        <w:t xml:space="preserve"> regarding potential abuse of process</w:t>
      </w:r>
      <w:r>
        <w:rPr>
          <w:sz w:val="22"/>
          <w:szCs w:val="22"/>
        </w:rPr>
        <w:t>.</w:t>
      </w:r>
    </w:p>
    <w:p w:rsidR="00053922" w:rsidP="004322A2" w14:paraId="19B7EE1E" w14:textId="77777777">
      <w:pPr>
        <w:ind w:firstLine="720"/>
        <w:rPr>
          <w:sz w:val="22"/>
          <w:szCs w:val="22"/>
        </w:rPr>
      </w:pPr>
    </w:p>
    <w:p w:rsidR="009C14A8" w:rsidP="009902EB" w14:paraId="4036B9AF" w14:textId="07FDBEC5">
      <w:pPr>
        <w:ind w:firstLine="720"/>
        <w:rPr>
          <w:color w:val="000000"/>
          <w:sz w:val="22"/>
          <w:szCs w:val="22"/>
        </w:rPr>
      </w:pPr>
      <w:r>
        <w:rPr>
          <w:sz w:val="22"/>
          <w:szCs w:val="22"/>
        </w:rPr>
        <w:t xml:space="preserve">(4) </w:t>
      </w:r>
      <w:r w:rsidRPr="004901B6" w:rsidR="005B7F36">
        <w:rPr>
          <w:sz w:val="22"/>
          <w:szCs w:val="22"/>
          <w:u w:val="single"/>
        </w:rPr>
        <w:t>Pattern of translator relocations</w:t>
      </w:r>
      <w:r w:rsidR="004322A2">
        <w:rPr>
          <w:i/>
          <w:color w:val="000000"/>
          <w:sz w:val="22"/>
          <w:szCs w:val="22"/>
        </w:rPr>
        <w:t xml:space="preserve">. </w:t>
      </w:r>
      <w:r w:rsidR="00FE331D">
        <w:rPr>
          <w:i/>
          <w:color w:val="000000"/>
          <w:sz w:val="22"/>
          <w:szCs w:val="22"/>
        </w:rPr>
        <w:t xml:space="preserve"> </w:t>
      </w:r>
      <w:r w:rsidR="00C85A88">
        <w:rPr>
          <w:color w:val="000000"/>
          <w:sz w:val="22"/>
          <w:szCs w:val="22"/>
        </w:rPr>
        <w:t>The purpose of the overlap requirement of the major change rule is “[t]o prevent . . . FM translator stations from abandoning their present service areas.”</w:t>
      </w:r>
      <w:r>
        <w:rPr>
          <w:rStyle w:val="FootnoteReference"/>
          <w:color w:val="000000"/>
          <w:sz w:val="22"/>
          <w:szCs w:val="22"/>
        </w:rPr>
        <w:footnoteReference w:id="50"/>
      </w:r>
      <w:r w:rsidR="00C85A88">
        <w:rPr>
          <w:color w:val="000000"/>
          <w:sz w:val="22"/>
          <w:szCs w:val="22"/>
        </w:rPr>
        <w:t xml:space="preserve">  </w:t>
      </w:r>
      <w:r w:rsidR="00E72C12">
        <w:rPr>
          <w:color w:val="000000"/>
          <w:sz w:val="22"/>
          <w:szCs w:val="22"/>
        </w:rPr>
        <w:t>The Commission has long been concerned that its statutory goal of distributing radio service fairly and equitably</w:t>
      </w:r>
      <w:r w:rsidR="005E07BB">
        <w:rPr>
          <w:color w:val="000000"/>
          <w:sz w:val="22"/>
          <w:szCs w:val="22"/>
        </w:rPr>
        <w:t xml:space="preserve"> may </w:t>
      </w:r>
      <w:r w:rsidR="00D04C33">
        <w:rPr>
          <w:color w:val="000000"/>
          <w:sz w:val="22"/>
          <w:szCs w:val="22"/>
        </w:rPr>
        <w:t>be undermined by</w:t>
      </w:r>
      <w:r w:rsidR="00E72C12">
        <w:rPr>
          <w:color w:val="000000"/>
          <w:sz w:val="22"/>
          <w:szCs w:val="22"/>
        </w:rPr>
        <w:t xml:space="preserve"> the financial incentive for </w:t>
      </w:r>
      <w:r w:rsidR="00D04C33">
        <w:rPr>
          <w:color w:val="000000"/>
          <w:sz w:val="22"/>
          <w:szCs w:val="22"/>
        </w:rPr>
        <w:t>broadcasters</w:t>
      </w:r>
      <w:r w:rsidR="00E72C12">
        <w:rPr>
          <w:color w:val="000000"/>
          <w:sz w:val="22"/>
          <w:szCs w:val="22"/>
        </w:rPr>
        <w:t xml:space="preserve"> </w:t>
      </w:r>
      <w:r w:rsidR="00D04C33">
        <w:rPr>
          <w:color w:val="000000"/>
          <w:sz w:val="22"/>
          <w:szCs w:val="22"/>
        </w:rPr>
        <w:t xml:space="preserve">to </w:t>
      </w:r>
      <w:r w:rsidR="00E72C12">
        <w:rPr>
          <w:color w:val="000000"/>
          <w:sz w:val="22"/>
          <w:szCs w:val="22"/>
        </w:rPr>
        <w:t>mov</w:t>
      </w:r>
      <w:r w:rsidR="00D04C33">
        <w:rPr>
          <w:color w:val="000000"/>
          <w:sz w:val="22"/>
          <w:szCs w:val="22"/>
        </w:rPr>
        <w:t xml:space="preserve">e their stations </w:t>
      </w:r>
      <w:r w:rsidR="00E72C12">
        <w:rPr>
          <w:color w:val="000000"/>
          <w:sz w:val="22"/>
          <w:szCs w:val="22"/>
        </w:rPr>
        <w:t>from rural areas into heavily populated urban areas.</w:t>
      </w:r>
      <w:r>
        <w:rPr>
          <w:rStyle w:val="FootnoteReference"/>
          <w:color w:val="000000"/>
          <w:sz w:val="22"/>
          <w:szCs w:val="22"/>
        </w:rPr>
        <w:footnoteReference w:id="51"/>
      </w:r>
      <w:r w:rsidR="00E72C12">
        <w:rPr>
          <w:color w:val="000000"/>
          <w:sz w:val="22"/>
          <w:szCs w:val="22"/>
        </w:rPr>
        <w:t xml:space="preserve">  </w:t>
      </w:r>
      <w:r>
        <w:rPr>
          <w:color w:val="000000"/>
          <w:sz w:val="22"/>
          <w:szCs w:val="22"/>
        </w:rPr>
        <w:t>I</w:t>
      </w:r>
      <w:r w:rsidR="00D04C33">
        <w:rPr>
          <w:color w:val="000000"/>
          <w:sz w:val="22"/>
          <w:szCs w:val="22"/>
        </w:rPr>
        <w:t xml:space="preserve">n </w:t>
      </w:r>
      <w:r w:rsidR="00D04C33">
        <w:rPr>
          <w:i/>
          <w:color w:val="000000"/>
          <w:sz w:val="22"/>
          <w:szCs w:val="22"/>
        </w:rPr>
        <w:t>Branchport</w:t>
      </w:r>
      <w:r w:rsidR="00D04C33">
        <w:rPr>
          <w:color w:val="000000"/>
          <w:sz w:val="22"/>
          <w:szCs w:val="22"/>
        </w:rPr>
        <w:t>,</w:t>
      </w:r>
      <w:r w:rsidR="00D04C33">
        <w:rPr>
          <w:i/>
          <w:color w:val="000000"/>
          <w:sz w:val="22"/>
          <w:szCs w:val="22"/>
        </w:rPr>
        <w:t xml:space="preserve"> </w:t>
      </w:r>
      <w:r w:rsidR="00D04C33">
        <w:rPr>
          <w:color w:val="000000"/>
          <w:sz w:val="22"/>
          <w:szCs w:val="22"/>
        </w:rPr>
        <w:t>w</w:t>
      </w:r>
      <w:r w:rsidR="00C85A88">
        <w:rPr>
          <w:color w:val="000000"/>
          <w:sz w:val="22"/>
          <w:szCs w:val="22"/>
        </w:rPr>
        <w:t xml:space="preserve">e </w:t>
      </w:r>
      <w:r w:rsidR="00D7213E">
        <w:rPr>
          <w:color w:val="000000"/>
          <w:sz w:val="22"/>
          <w:szCs w:val="22"/>
        </w:rPr>
        <w:t xml:space="preserve">concluded </w:t>
      </w:r>
      <w:r w:rsidR="00C85A88">
        <w:rPr>
          <w:color w:val="000000"/>
          <w:sz w:val="22"/>
          <w:szCs w:val="22"/>
        </w:rPr>
        <w:t xml:space="preserve">that </w:t>
      </w:r>
      <w:r w:rsidR="00D04C33">
        <w:rPr>
          <w:color w:val="000000"/>
          <w:sz w:val="22"/>
          <w:szCs w:val="22"/>
        </w:rPr>
        <w:t>serial modifications do</w:t>
      </w:r>
      <w:r w:rsidR="00C85A88">
        <w:rPr>
          <w:color w:val="000000"/>
          <w:sz w:val="22"/>
          <w:szCs w:val="22"/>
        </w:rPr>
        <w:t xml:space="preserve"> not implicate abuse of process concerns if</w:t>
      </w:r>
      <w:r w:rsidR="000E1D1F">
        <w:rPr>
          <w:color w:val="000000"/>
          <w:sz w:val="22"/>
          <w:szCs w:val="22"/>
        </w:rPr>
        <w:t xml:space="preserve"> </w:t>
      </w:r>
      <w:r w:rsidR="00D04C33">
        <w:rPr>
          <w:color w:val="000000"/>
          <w:sz w:val="22"/>
          <w:szCs w:val="22"/>
        </w:rPr>
        <w:t>they</w:t>
      </w:r>
      <w:r w:rsidR="000E1D1F">
        <w:rPr>
          <w:color w:val="000000"/>
          <w:sz w:val="22"/>
          <w:szCs w:val="22"/>
        </w:rPr>
        <w:t xml:space="preserve"> ultimately return the relevant station’s facilities to their original location</w:t>
      </w:r>
      <w:r w:rsidR="00C85A88">
        <w:rPr>
          <w:color w:val="000000"/>
          <w:sz w:val="22"/>
          <w:szCs w:val="22"/>
        </w:rPr>
        <w:t>.</w:t>
      </w:r>
      <w:r>
        <w:rPr>
          <w:rStyle w:val="FootnoteReference"/>
          <w:color w:val="000000"/>
          <w:sz w:val="22"/>
          <w:szCs w:val="22"/>
        </w:rPr>
        <w:footnoteReference w:id="52"/>
      </w:r>
      <w:r w:rsidR="00C85A88">
        <w:rPr>
          <w:color w:val="000000"/>
          <w:sz w:val="22"/>
          <w:szCs w:val="22"/>
        </w:rPr>
        <w:t xml:space="preserve">  </w:t>
      </w:r>
      <w:r w:rsidR="00D04C33">
        <w:rPr>
          <w:color w:val="000000"/>
          <w:sz w:val="22"/>
          <w:szCs w:val="22"/>
        </w:rPr>
        <w:t xml:space="preserve">In contrast, </w:t>
      </w:r>
      <w:r w:rsidR="00611E65">
        <w:rPr>
          <w:color w:val="000000"/>
          <w:sz w:val="22"/>
          <w:szCs w:val="22"/>
        </w:rPr>
        <w:t xml:space="preserve">in </w:t>
      </w:r>
      <w:r w:rsidR="00611E65">
        <w:rPr>
          <w:i/>
          <w:color w:val="000000"/>
          <w:sz w:val="22"/>
          <w:szCs w:val="22"/>
        </w:rPr>
        <w:t>Broadcast Towers</w:t>
      </w:r>
      <w:r w:rsidR="00611E65">
        <w:rPr>
          <w:color w:val="000000"/>
          <w:sz w:val="22"/>
          <w:szCs w:val="22"/>
        </w:rPr>
        <w:t>,</w:t>
      </w:r>
      <w:r w:rsidR="00611E65">
        <w:rPr>
          <w:i/>
          <w:color w:val="000000"/>
          <w:sz w:val="22"/>
          <w:szCs w:val="22"/>
        </w:rPr>
        <w:t xml:space="preserve"> </w:t>
      </w:r>
      <w:r w:rsidR="00D04C33">
        <w:rPr>
          <w:color w:val="000000"/>
          <w:sz w:val="22"/>
          <w:szCs w:val="22"/>
        </w:rPr>
        <w:t xml:space="preserve">we found </w:t>
      </w:r>
      <w:r w:rsidR="005E07BB">
        <w:rPr>
          <w:color w:val="000000"/>
          <w:sz w:val="22"/>
          <w:szCs w:val="22"/>
        </w:rPr>
        <w:t xml:space="preserve">that </w:t>
      </w:r>
      <w:r w:rsidR="00D04C33">
        <w:rPr>
          <w:color w:val="000000"/>
          <w:sz w:val="22"/>
          <w:szCs w:val="22"/>
        </w:rPr>
        <w:t>abuse of process</w:t>
      </w:r>
      <w:r w:rsidR="005E07BB">
        <w:rPr>
          <w:color w:val="000000"/>
          <w:sz w:val="22"/>
          <w:szCs w:val="22"/>
        </w:rPr>
        <w:t xml:space="preserve"> existed</w:t>
      </w:r>
      <w:r w:rsidR="00D04C33">
        <w:rPr>
          <w:color w:val="000000"/>
          <w:sz w:val="22"/>
          <w:szCs w:val="22"/>
        </w:rPr>
        <w:t xml:space="preserve"> </w:t>
      </w:r>
      <w:r w:rsidR="000E1D1F">
        <w:rPr>
          <w:color w:val="000000"/>
          <w:sz w:val="22"/>
          <w:szCs w:val="22"/>
        </w:rPr>
        <w:t xml:space="preserve">where the </w:t>
      </w:r>
      <w:r w:rsidR="000E1D1F">
        <w:rPr>
          <w:color w:val="000000"/>
          <w:sz w:val="22"/>
          <w:szCs w:val="22"/>
        </w:rPr>
        <w:t xml:space="preserve">licensee migrated its translators </w:t>
      </w:r>
      <w:r w:rsidR="00A979B1">
        <w:rPr>
          <w:color w:val="000000"/>
          <w:sz w:val="22"/>
          <w:szCs w:val="22"/>
        </w:rPr>
        <w:t xml:space="preserve">straight </w:t>
      </w:r>
      <w:r w:rsidR="000E1D1F">
        <w:rPr>
          <w:color w:val="000000"/>
          <w:sz w:val="22"/>
          <w:szCs w:val="22"/>
        </w:rPr>
        <w:t>north from the Florida Keys area into Miami</w:t>
      </w:r>
      <w:r w:rsidR="009902EB">
        <w:rPr>
          <w:color w:val="000000"/>
          <w:sz w:val="22"/>
          <w:szCs w:val="22"/>
        </w:rPr>
        <w:t>.</w:t>
      </w:r>
      <w:r>
        <w:rPr>
          <w:rStyle w:val="FootnoteReference"/>
          <w:color w:val="000000"/>
          <w:sz w:val="22"/>
          <w:szCs w:val="22"/>
        </w:rPr>
        <w:footnoteReference w:id="53"/>
      </w:r>
      <w:r w:rsidR="00882779">
        <w:rPr>
          <w:color w:val="000000"/>
          <w:sz w:val="22"/>
          <w:szCs w:val="22"/>
        </w:rPr>
        <w:t xml:space="preserve">  </w:t>
      </w:r>
      <w:r w:rsidR="00A974AF">
        <w:rPr>
          <w:color w:val="000000"/>
          <w:sz w:val="22"/>
          <w:szCs w:val="22"/>
        </w:rPr>
        <w:t xml:space="preserve">Such straight-line “marches” are </w:t>
      </w:r>
      <w:r w:rsidR="00BB5D18">
        <w:rPr>
          <w:color w:val="000000"/>
          <w:sz w:val="22"/>
          <w:szCs w:val="22"/>
        </w:rPr>
        <w:t xml:space="preserve">clearly </w:t>
      </w:r>
      <w:r w:rsidR="00A974AF">
        <w:rPr>
          <w:color w:val="000000"/>
          <w:sz w:val="22"/>
          <w:szCs w:val="22"/>
        </w:rPr>
        <w:t>indicative of an intention to circumvent the major change rule</w:t>
      </w:r>
      <w:r>
        <w:rPr>
          <w:color w:val="000000"/>
          <w:sz w:val="22"/>
          <w:szCs w:val="22"/>
        </w:rPr>
        <w:t xml:space="preserve"> by moving the station to a</w:t>
      </w:r>
      <w:r w:rsidR="005E07BB">
        <w:rPr>
          <w:color w:val="000000"/>
          <w:sz w:val="22"/>
          <w:szCs w:val="22"/>
        </w:rPr>
        <w:t xml:space="preserve"> distant</w:t>
      </w:r>
      <w:r>
        <w:rPr>
          <w:color w:val="000000"/>
          <w:sz w:val="22"/>
          <w:szCs w:val="22"/>
        </w:rPr>
        <w:t xml:space="preserve"> location that would otherwise be considered a major change</w:t>
      </w:r>
      <w:r w:rsidR="00A974AF">
        <w:rPr>
          <w:color w:val="000000"/>
          <w:sz w:val="22"/>
          <w:szCs w:val="22"/>
        </w:rPr>
        <w:t xml:space="preserve">.  </w:t>
      </w:r>
      <w:r w:rsidR="00611E65">
        <w:rPr>
          <w:color w:val="000000"/>
          <w:sz w:val="22"/>
          <w:szCs w:val="22"/>
        </w:rPr>
        <w:t xml:space="preserve">This is particularly the case </w:t>
      </w:r>
      <w:r w:rsidR="005B7F36">
        <w:rPr>
          <w:color w:val="000000"/>
          <w:sz w:val="22"/>
          <w:szCs w:val="22"/>
        </w:rPr>
        <w:t>in the presence of</w:t>
      </w:r>
      <w:r w:rsidR="00611E65">
        <w:rPr>
          <w:color w:val="000000"/>
          <w:sz w:val="22"/>
          <w:szCs w:val="22"/>
        </w:rPr>
        <w:t xml:space="preserve"> </w:t>
      </w:r>
      <w:r w:rsidR="00A974AF">
        <w:rPr>
          <w:color w:val="000000"/>
          <w:sz w:val="22"/>
          <w:szCs w:val="22"/>
        </w:rPr>
        <w:t xml:space="preserve">a </w:t>
      </w:r>
      <w:r w:rsidR="000E1D1F">
        <w:rPr>
          <w:color w:val="000000"/>
          <w:sz w:val="22"/>
          <w:szCs w:val="22"/>
        </w:rPr>
        <w:t xml:space="preserve">clear incentive </w:t>
      </w:r>
      <w:r w:rsidR="00611E65">
        <w:rPr>
          <w:color w:val="000000"/>
          <w:sz w:val="22"/>
          <w:szCs w:val="22"/>
        </w:rPr>
        <w:t>for</w:t>
      </w:r>
      <w:r w:rsidR="000E1D1F">
        <w:rPr>
          <w:color w:val="000000"/>
          <w:sz w:val="22"/>
          <w:szCs w:val="22"/>
        </w:rPr>
        <w:t xml:space="preserve"> avoid</w:t>
      </w:r>
      <w:r w:rsidR="00611E65">
        <w:rPr>
          <w:color w:val="000000"/>
          <w:sz w:val="22"/>
          <w:szCs w:val="22"/>
        </w:rPr>
        <w:t>ing</w:t>
      </w:r>
      <w:r w:rsidR="000E1D1F">
        <w:rPr>
          <w:color w:val="000000"/>
          <w:sz w:val="22"/>
          <w:szCs w:val="22"/>
        </w:rPr>
        <w:t xml:space="preserve"> the major change rule</w:t>
      </w:r>
      <w:r w:rsidR="00A974AF">
        <w:rPr>
          <w:color w:val="000000"/>
          <w:sz w:val="22"/>
          <w:szCs w:val="22"/>
        </w:rPr>
        <w:t>—</w:t>
      </w:r>
      <w:r w:rsidR="000E1D1F">
        <w:rPr>
          <w:color w:val="000000"/>
          <w:sz w:val="22"/>
          <w:szCs w:val="22"/>
        </w:rPr>
        <w:t xml:space="preserve">such as </w:t>
      </w:r>
      <w:r w:rsidR="00A974AF">
        <w:rPr>
          <w:color w:val="000000"/>
          <w:sz w:val="22"/>
          <w:szCs w:val="22"/>
        </w:rPr>
        <w:t xml:space="preserve">increasing signal coverage </w:t>
      </w:r>
      <w:r w:rsidR="005B7F36">
        <w:rPr>
          <w:color w:val="000000"/>
          <w:sz w:val="22"/>
          <w:szCs w:val="22"/>
        </w:rPr>
        <w:t>in</w:t>
      </w:r>
      <w:r w:rsidR="00A974AF">
        <w:rPr>
          <w:color w:val="000000"/>
          <w:sz w:val="22"/>
          <w:szCs w:val="22"/>
        </w:rPr>
        <w:t xml:space="preserve"> a densely populated area.  In this case, </w:t>
      </w:r>
      <w:r>
        <w:rPr>
          <w:color w:val="000000"/>
          <w:sz w:val="22"/>
          <w:szCs w:val="22"/>
        </w:rPr>
        <w:t xml:space="preserve">the Station modifications moved the station directly from the rural outskirts of Chicago into the </w:t>
      </w:r>
      <w:r w:rsidR="009F4563">
        <w:rPr>
          <w:color w:val="000000"/>
          <w:sz w:val="22"/>
          <w:szCs w:val="22"/>
        </w:rPr>
        <w:t>center</w:t>
      </w:r>
      <w:r>
        <w:rPr>
          <w:color w:val="000000"/>
          <w:sz w:val="22"/>
          <w:szCs w:val="22"/>
        </w:rPr>
        <w:t xml:space="preserve"> of </w:t>
      </w:r>
      <w:r w:rsidR="009F4563">
        <w:rPr>
          <w:color w:val="000000"/>
          <w:sz w:val="22"/>
          <w:szCs w:val="22"/>
        </w:rPr>
        <w:t>the</w:t>
      </w:r>
      <w:r w:rsidR="005E07BB">
        <w:rPr>
          <w:color w:val="000000"/>
          <w:sz w:val="22"/>
          <w:szCs w:val="22"/>
        </w:rPr>
        <w:t xml:space="preserve"> </w:t>
      </w:r>
      <w:r w:rsidR="009F4563">
        <w:rPr>
          <w:color w:val="000000"/>
          <w:sz w:val="22"/>
          <w:szCs w:val="22"/>
        </w:rPr>
        <w:t>(</w:t>
      </w:r>
      <w:r w:rsidR="005E07BB">
        <w:rPr>
          <w:color w:val="000000"/>
          <w:sz w:val="22"/>
          <w:szCs w:val="22"/>
        </w:rPr>
        <w:t>presumably</w:t>
      </w:r>
      <w:r w:rsidR="009F4563">
        <w:rPr>
          <w:color w:val="000000"/>
          <w:sz w:val="22"/>
          <w:szCs w:val="22"/>
        </w:rPr>
        <w:t>)</w:t>
      </w:r>
      <w:r w:rsidR="005E07BB">
        <w:rPr>
          <w:color w:val="000000"/>
          <w:sz w:val="22"/>
          <w:szCs w:val="22"/>
        </w:rPr>
        <w:t xml:space="preserve"> more lucrative</w:t>
      </w:r>
      <w:r>
        <w:rPr>
          <w:color w:val="000000"/>
          <w:sz w:val="22"/>
          <w:szCs w:val="22"/>
        </w:rPr>
        <w:t xml:space="preserve"> urban area.  Therefore, this factor weighs in favor of a finding of abuse of process. </w:t>
      </w:r>
    </w:p>
    <w:p w:rsidR="009C14A8" w:rsidP="009902EB" w14:paraId="0E7E3EAD" w14:textId="77777777">
      <w:pPr>
        <w:ind w:firstLine="720"/>
        <w:rPr>
          <w:color w:val="000000"/>
          <w:sz w:val="22"/>
          <w:szCs w:val="22"/>
        </w:rPr>
      </w:pPr>
    </w:p>
    <w:p w:rsidR="00882779" w:rsidP="009902EB" w14:paraId="1C372CFF" w14:textId="728F454A">
      <w:pPr>
        <w:ind w:firstLine="720"/>
        <w:rPr>
          <w:color w:val="000000"/>
          <w:sz w:val="22"/>
          <w:szCs w:val="22"/>
        </w:rPr>
      </w:pPr>
      <w:r>
        <w:rPr>
          <w:color w:val="000000"/>
          <w:sz w:val="22"/>
          <w:szCs w:val="22"/>
        </w:rPr>
        <w:t>Based on the above, a</w:t>
      </w:r>
      <w:r w:rsidR="00A571B9">
        <w:rPr>
          <w:color w:val="000000"/>
          <w:sz w:val="22"/>
          <w:szCs w:val="22"/>
        </w:rPr>
        <w:t xml:space="preserve">lthough </w:t>
      </w:r>
      <w:r w:rsidR="00C01632">
        <w:rPr>
          <w:color w:val="000000"/>
          <w:sz w:val="22"/>
          <w:szCs w:val="22"/>
        </w:rPr>
        <w:t xml:space="preserve">we </w:t>
      </w:r>
      <w:r w:rsidR="00F916DB">
        <w:rPr>
          <w:color w:val="000000"/>
          <w:sz w:val="22"/>
          <w:szCs w:val="22"/>
        </w:rPr>
        <w:t xml:space="preserve">agree </w:t>
      </w:r>
      <w:r w:rsidR="00C01632">
        <w:rPr>
          <w:color w:val="000000"/>
          <w:sz w:val="22"/>
          <w:szCs w:val="22"/>
        </w:rPr>
        <w:t xml:space="preserve">that </w:t>
      </w:r>
      <w:r w:rsidR="00BB5D18">
        <w:rPr>
          <w:color w:val="000000"/>
          <w:sz w:val="22"/>
          <w:szCs w:val="22"/>
        </w:rPr>
        <w:t>the pattern of translator relocations in this case raises concerns regarding potential abuse of process,</w:t>
      </w:r>
      <w:r w:rsidR="00011465">
        <w:rPr>
          <w:color w:val="000000"/>
          <w:sz w:val="22"/>
          <w:szCs w:val="22"/>
        </w:rPr>
        <w:t xml:space="preserve"> we conclude that the record evidence taken as a whole does not support a finding that Edgewater deliberately </w:t>
      </w:r>
      <w:r w:rsidR="00A571B9">
        <w:rPr>
          <w:color w:val="000000"/>
          <w:sz w:val="22"/>
          <w:szCs w:val="22"/>
        </w:rPr>
        <w:t xml:space="preserve">and abusively </w:t>
      </w:r>
      <w:r w:rsidR="00011465">
        <w:rPr>
          <w:color w:val="000000"/>
          <w:sz w:val="22"/>
          <w:szCs w:val="22"/>
        </w:rPr>
        <w:t xml:space="preserve">attempted to evade the major change rule.  </w:t>
      </w:r>
      <w:r w:rsidR="00287A33">
        <w:rPr>
          <w:color w:val="000000"/>
          <w:sz w:val="22"/>
          <w:szCs w:val="22"/>
        </w:rPr>
        <w:t>Cr</w:t>
      </w:r>
      <w:r w:rsidR="00834B5A">
        <w:rPr>
          <w:color w:val="000000"/>
          <w:sz w:val="22"/>
          <w:szCs w:val="22"/>
        </w:rPr>
        <w:t>itical</w:t>
      </w:r>
      <w:r w:rsidR="00326199">
        <w:rPr>
          <w:color w:val="000000"/>
          <w:sz w:val="22"/>
          <w:szCs w:val="22"/>
        </w:rPr>
        <w:t xml:space="preserve"> to this conclusion </w:t>
      </w:r>
      <w:r w:rsidR="003C6345">
        <w:rPr>
          <w:color w:val="000000"/>
          <w:sz w:val="22"/>
          <w:szCs w:val="22"/>
        </w:rPr>
        <w:t>are the facts</w:t>
      </w:r>
      <w:r w:rsidR="00E04C43">
        <w:rPr>
          <w:color w:val="000000"/>
          <w:sz w:val="22"/>
          <w:szCs w:val="22"/>
        </w:rPr>
        <w:t xml:space="preserve"> that</w:t>
      </w:r>
      <w:r w:rsidR="00287A33">
        <w:rPr>
          <w:color w:val="000000"/>
          <w:sz w:val="22"/>
          <w:szCs w:val="22"/>
        </w:rPr>
        <w:t xml:space="preserve"> (1)</w:t>
      </w:r>
      <w:r w:rsidR="00E04C43">
        <w:rPr>
          <w:color w:val="000000"/>
          <w:sz w:val="22"/>
          <w:szCs w:val="22"/>
        </w:rPr>
        <w:t xml:space="preserve"> </w:t>
      </w:r>
      <w:r w:rsidR="00326199">
        <w:rPr>
          <w:color w:val="000000"/>
          <w:sz w:val="22"/>
          <w:szCs w:val="22"/>
        </w:rPr>
        <w:t>none of the</w:t>
      </w:r>
      <w:r w:rsidR="00E04C43">
        <w:rPr>
          <w:color w:val="000000"/>
          <w:sz w:val="22"/>
          <w:szCs w:val="22"/>
        </w:rPr>
        <w:t xml:space="preserve"> </w:t>
      </w:r>
      <w:r w:rsidR="005755F0">
        <w:rPr>
          <w:color w:val="000000"/>
          <w:sz w:val="22"/>
          <w:szCs w:val="22"/>
        </w:rPr>
        <w:t xml:space="preserve">Station </w:t>
      </w:r>
      <w:r w:rsidR="00E04C43">
        <w:rPr>
          <w:color w:val="000000"/>
          <w:sz w:val="22"/>
          <w:szCs w:val="22"/>
        </w:rPr>
        <w:t>facilities were temporarily constructed</w:t>
      </w:r>
      <w:r w:rsidR="00287A33">
        <w:rPr>
          <w:color w:val="000000"/>
          <w:sz w:val="22"/>
          <w:szCs w:val="22"/>
        </w:rPr>
        <w:t>,</w:t>
      </w:r>
      <w:r w:rsidR="00E04C43">
        <w:rPr>
          <w:color w:val="000000"/>
          <w:sz w:val="22"/>
          <w:szCs w:val="22"/>
        </w:rPr>
        <w:t xml:space="preserve"> and </w:t>
      </w:r>
      <w:r w:rsidR="00287A33">
        <w:rPr>
          <w:color w:val="000000"/>
          <w:sz w:val="22"/>
          <w:szCs w:val="22"/>
        </w:rPr>
        <w:t xml:space="preserve">(2) </w:t>
      </w:r>
      <w:r w:rsidR="00E04C43">
        <w:rPr>
          <w:color w:val="000000"/>
          <w:sz w:val="22"/>
          <w:szCs w:val="22"/>
        </w:rPr>
        <w:t xml:space="preserve">Edgewater operated the </w:t>
      </w:r>
      <w:r w:rsidR="005755F0">
        <w:rPr>
          <w:color w:val="000000"/>
          <w:sz w:val="22"/>
          <w:szCs w:val="22"/>
        </w:rPr>
        <w:t>S</w:t>
      </w:r>
      <w:r w:rsidR="00E04C43">
        <w:rPr>
          <w:color w:val="000000"/>
          <w:sz w:val="22"/>
          <w:szCs w:val="22"/>
        </w:rPr>
        <w:t>tation for more than a year at</w:t>
      </w:r>
      <w:r w:rsidR="00287A33">
        <w:rPr>
          <w:color w:val="000000"/>
          <w:sz w:val="22"/>
          <w:szCs w:val="22"/>
        </w:rPr>
        <w:t xml:space="preserve"> two</w:t>
      </w:r>
      <w:r w:rsidR="00E04C43">
        <w:rPr>
          <w:color w:val="000000"/>
          <w:sz w:val="22"/>
          <w:szCs w:val="22"/>
        </w:rPr>
        <w:t xml:space="preserve"> </w:t>
      </w:r>
      <w:r w:rsidR="005E07BB">
        <w:rPr>
          <w:color w:val="000000"/>
          <w:sz w:val="22"/>
          <w:szCs w:val="22"/>
        </w:rPr>
        <w:t xml:space="preserve">of the </w:t>
      </w:r>
      <w:r w:rsidR="005755F0">
        <w:rPr>
          <w:color w:val="000000"/>
          <w:sz w:val="22"/>
          <w:szCs w:val="22"/>
        </w:rPr>
        <w:t xml:space="preserve">relevant interim </w:t>
      </w:r>
      <w:r w:rsidR="00E04C43">
        <w:rPr>
          <w:color w:val="000000"/>
          <w:sz w:val="22"/>
          <w:szCs w:val="22"/>
        </w:rPr>
        <w:t xml:space="preserve">locations.  </w:t>
      </w:r>
      <w:r w:rsidR="00326199">
        <w:rPr>
          <w:color w:val="000000"/>
          <w:sz w:val="22"/>
          <w:szCs w:val="22"/>
        </w:rPr>
        <w:t xml:space="preserve">We are not persuaded that </w:t>
      </w:r>
      <w:r w:rsidR="00011465">
        <w:rPr>
          <w:color w:val="000000"/>
          <w:sz w:val="22"/>
          <w:szCs w:val="22"/>
        </w:rPr>
        <w:t xml:space="preserve">such </w:t>
      </w:r>
      <w:r w:rsidR="00326199">
        <w:rPr>
          <w:color w:val="000000"/>
          <w:sz w:val="22"/>
          <w:szCs w:val="22"/>
        </w:rPr>
        <w:t xml:space="preserve">gradual changes are the functional equivalent of a </w:t>
      </w:r>
      <w:r w:rsidR="003C6345">
        <w:rPr>
          <w:color w:val="000000"/>
          <w:sz w:val="22"/>
          <w:szCs w:val="22"/>
        </w:rPr>
        <w:t xml:space="preserve">single </w:t>
      </w:r>
      <w:r w:rsidR="00326199">
        <w:rPr>
          <w:color w:val="000000"/>
          <w:sz w:val="22"/>
          <w:szCs w:val="22"/>
        </w:rPr>
        <w:t>major change</w:t>
      </w:r>
      <w:r w:rsidR="00D05BEC">
        <w:rPr>
          <w:color w:val="000000"/>
          <w:sz w:val="22"/>
          <w:szCs w:val="22"/>
        </w:rPr>
        <w:t xml:space="preserve"> and therefore </w:t>
      </w:r>
      <w:r w:rsidR="00BB5D18">
        <w:rPr>
          <w:color w:val="000000"/>
          <w:sz w:val="22"/>
          <w:szCs w:val="22"/>
        </w:rPr>
        <w:t>evidence of</w:t>
      </w:r>
      <w:r w:rsidR="00A571B9">
        <w:rPr>
          <w:color w:val="000000"/>
          <w:sz w:val="22"/>
          <w:szCs w:val="22"/>
        </w:rPr>
        <w:t xml:space="preserve"> </w:t>
      </w:r>
      <w:r w:rsidR="00011465">
        <w:rPr>
          <w:color w:val="000000"/>
          <w:sz w:val="22"/>
          <w:szCs w:val="22"/>
        </w:rPr>
        <w:t>an</w:t>
      </w:r>
      <w:r w:rsidR="00287A33">
        <w:rPr>
          <w:color w:val="000000"/>
          <w:sz w:val="22"/>
          <w:szCs w:val="22"/>
        </w:rPr>
        <w:t xml:space="preserve"> attempt to</w:t>
      </w:r>
      <w:r w:rsidR="00D05BEC">
        <w:rPr>
          <w:color w:val="000000"/>
          <w:sz w:val="22"/>
          <w:szCs w:val="22"/>
        </w:rPr>
        <w:t xml:space="preserve"> evade t</w:t>
      </w:r>
      <w:r w:rsidR="00011465">
        <w:rPr>
          <w:color w:val="000000"/>
          <w:sz w:val="22"/>
          <w:szCs w:val="22"/>
        </w:rPr>
        <w:t>he major change</w:t>
      </w:r>
      <w:r w:rsidR="00D05BEC">
        <w:rPr>
          <w:color w:val="000000"/>
          <w:sz w:val="22"/>
          <w:szCs w:val="22"/>
        </w:rPr>
        <w:t xml:space="preserve"> rule</w:t>
      </w:r>
      <w:r w:rsidR="00326199">
        <w:rPr>
          <w:color w:val="000000"/>
          <w:sz w:val="22"/>
          <w:szCs w:val="22"/>
        </w:rPr>
        <w:t xml:space="preserve">. </w:t>
      </w:r>
      <w:r w:rsidR="00011465">
        <w:rPr>
          <w:color w:val="000000"/>
          <w:sz w:val="22"/>
          <w:szCs w:val="22"/>
        </w:rPr>
        <w:t xml:space="preserve"> </w:t>
      </w:r>
      <w:r w:rsidR="005755F0">
        <w:rPr>
          <w:color w:val="000000"/>
          <w:sz w:val="22"/>
          <w:szCs w:val="22"/>
        </w:rPr>
        <w:t>Taking</w:t>
      </w:r>
      <w:r w:rsidR="005C4F7E">
        <w:rPr>
          <w:color w:val="000000"/>
          <w:sz w:val="22"/>
          <w:szCs w:val="22"/>
        </w:rPr>
        <w:t xml:space="preserve"> the totality of the circumstances</w:t>
      </w:r>
      <w:r w:rsidR="005755F0">
        <w:rPr>
          <w:color w:val="000000"/>
          <w:sz w:val="22"/>
          <w:szCs w:val="22"/>
        </w:rPr>
        <w:t xml:space="preserve"> into account</w:t>
      </w:r>
      <w:r w:rsidR="005C4F7E">
        <w:rPr>
          <w:color w:val="000000"/>
          <w:sz w:val="22"/>
          <w:szCs w:val="22"/>
        </w:rPr>
        <w:t>,</w:t>
      </w:r>
      <w:r w:rsidR="005755F0">
        <w:rPr>
          <w:color w:val="000000"/>
          <w:sz w:val="22"/>
          <w:szCs w:val="22"/>
        </w:rPr>
        <w:t xml:space="preserve"> we conclude that</w:t>
      </w:r>
      <w:r w:rsidR="00011465">
        <w:rPr>
          <w:color w:val="000000"/>
          <w:sz w:val="22"/>
          <w:szCs w:val="22"/>
        </w:rPr>
        <w:t xml:space="preserve"> the serial modifications at issue here to do not </w:t>
      </w:r>
      <w:r w:rsidR="00BB5D18">
        <w:rPr>
          <w:color w:val="000000"/>
          <w:sz w:val="22"/>
          <w:szCs w:val="22"/>
        </w:rPr>
        <w:t xml:space="preserve">warrant </w:t>
      </w:r>
      <w:r w:rsidR="00011465">
        <w:rPr>
          <w:color w:val="000000"/>
          <w:sz w:val="22"/>
          <w:szCs w:val="22"/>
        </w:rPr>
        <w:t xml:space="preserve">an enforcement action based on abuse of process.  </w:t>
      </w:r>
      <w:r w:rsidR="005C769C">
        <w:rPr>
          <w:color w:val="000000"/>
          <w:sz w:val="22"/>
          <w:szCs w:val="22"/>
        </w:rPr>
        <w:t xml:space="preserve">However, we will continue to monitor the actions of Edgewater and other licensees to ensure that they are not abusing our application processes to relocate facilities in a manner that is not permitted and inconsistent with the minor modification rules. </w:t>
      </w:r>
    </w:p>
    <w:p w:rsidR="002100BC" w:rsidP="00531661" w14:paraId="0BC5E451" w14:textId="77777777">
      <w:pPr>
        <w:ind w:firstLine="720"/>
        <w:rPr>
          <w:color w:val="000000"/>
          <w:sz w:val="22"/>
          <w:szCs w:val="22"/>
        </w:rPr>
      </w:pPr>
    </w:p>
    <w:p w:rsidR="002100BC" w:rsidP="00531661" w14:paraId="41D4BB50" w14:textId="59127E51">
      <w:pPr>
        <w:ind w:firstLine="720"/>
        <w:rPr>
          <w:color w:val="000000"/>
          <w:sz w:val="22"/>
          <w:szCs w:val="22"/>
        </w:rPr>
      </w:pPr>
      <w:r>
        <w:rPr>
          <w:i/>
          <w:color w:val="000000"/>
          <w:sz w:val="22"/>
          <w:szCs w:val="22"/>
        </w:rPr>
        <w:t>Ashbacker</w:t>
      </w:r>
      <w:r w:rsidR="00235B9F">
        <w:rPr>
          <w:i/>
          <w:color w:val="000000"/>
          <w:sz w:val="22"/>
          <w:szCs w:val="22"/>
        </w:rPr>
        <w:t xml:space="preserve"> considerations</w:t>
      </w:r>
      <w:r>
        <w:rPr>
          <w:color w:val="000000"/>
          <w:sz w:val="22"/>
          <w:szCs w:val="22"/>
        </w:rPr>
        <w:t xml:space="preserve">.  </w:t>
      </w:r>
      <w:r w:rsidR="00C32B58">
        <w:rPr>
          <w:color w:val="000000"/>
          <w:sz w:val="22"/>
          <w:szCs w:val="22"/>
        </w:rPr>
        <w:t>In addition to abuse of process</w:t>
      </w:r>
      <w:r w:rsidR="005C4F7E">
        <w:rPr>
          <w:color w:val="000000"/>
          <w:sz w:val="22"/>
          <w:szCs w:val="22"/>
        </w:rPr>
        <w:t xml:space="preserve"> </w:t>
      </w:r>
      <w:r w:rsidR="005755F0">
        <w:rPr>
          <w:color w:val="000000"/>
          <w:sz w:val="22"/>
          <w:szCs w:val="22"/>
        </w:rPr>
        <w:t>issues</w:t>
      </w:r>
      <w:r w:rsidR="00C32B58">
        <w:rPr>
          <w:color w:val="000000"/>
          <w:sz w:val="22"/>
          <w:szCs w:val="22"/>
        </w:rPr>
        <w:t xml:space="preserve">, we </w:t>
      </w:r>
      <w:r w:rsidR="005755F0">
        <w:rPr>
          <w:color w:val="000000"/>
          <w:sz w:val="22"/>
          <w:szCs w:val="22"/>
        </w:rPr>
        <w:t>consider</w:t>
      </w:r>
      <w:r w:rsidR="00C32B58">
        <w:rPr>
          <w:color w:val="000000"/>
          <w:sz w:val="22"/>
          <w:szCs w:val="22"/>
        </w:rPr>
        <w:t xml:space="preserve"> whether Edgewater’s serial modifications </w:t>
      </w:r>
      <w:r w:rsidR="00A571B9">
        <w:rPr>
          <w:color w:val="000000"/>
          <w:sz w:val="22"/>
          <w:szCs w:val="22"/>
        </w:rPr>
        <w:t>raise</w:t>
      </w:r>
      <w:r w:rsidR="005C4F7E">
        <w:rPr>
          <w:color w:val="000000"/>
          <w:sz w:val="22"/>
          <w:szCs w:val="22"/>
        </w:rPr>
        <w:t xml:space="preserve"> </w:t>
      </w:r>
      <w:r w:rsidR="005C4F7E">
        <w:rPr>
          <w:i/>
          <w:color w:val="000000"/>
          <w:sz w:val="22"/>
          <w:szCs w:val="22"/>
        </w:rPr>
        <w:t>Ashbacker</w:t>
      </w:r>
      <w:r w:rsidR="00A571B9">
        <w:rPr>
          <w:color w:val="000000"/>
          <w:sz w:val="22"/>
          <w:szCs w:val="22"/>
        </w:rPr>
        <w:t>-related procedural concerns</w:t>
      </w:r>
      <w:r w:rsidR="005C4F7E">
        <w:rPr>
          <w:color w:val="000000"/>
          <w:sz w:val="22"/>
          <w:szCs w:val="22"/>
        </w:rPr>
        <w:t>.</w:t>
      </w:r>
      <w:r>
        <w:rPr>
          <w:rStyle w:val="FootnoteReference"/>
          <w:color w:val="000000"/>
          <w:sz w:val="22"/>
          <w:szCs w:val="22"/>
        </w:rPr>
        <w:footnoteReference w:id="54"/>
      </w:r>
      <w:r w:rsidR="005C4F7E">
        <w:rPr>
          <w:color w:val="000000"/>
          <w:sz w:val="22"/>
          <w:szCs w:val="22"/>
        </w:rPr>
        <w:t xml:space="preserve">  In </w:t>
      </w:r>
      <w:r w:rsidR="005C4F7E">
        <w:rPr>
          <w:i/>
          <w:color w:val="000000"/>
          <w:sz w:val="22"/>
          <w:szCs w:val="22"/>
        </w:rPr>
        <w:t>Ashbacker</w:t>
      </w:r>
      <w:r w:rsidR="005C4F7E">
        <w:rPr>
          <w:color w:val="000000"/>
          <w:sz w:val="22"/>
          <w:szCs w:val="22"/>
        </w:rPr>
        <w:t xml:space="preserve">, the Supreme Court held that </w:t>
      </w:r>
      <w:r w:rsidRPr="00BA109A" w:rsidR="00287A33">
        <w:rPr>
          <w:color w:val="000000"/>
          <w:sz w:val="22"/>
          <w:szCs w:val="22"/>
        </w:rPr>
        <w:t>where two applications are mutually exclusive, the grant of one without considering the other violates the statutory right of the second applicant to comparative consideration</w:t>
      </w:r>
      <w:r w:rsidR="00287A33">
        <w:rPr>
          <w:color w:val="000000"/>
          <w:sz w:val="22"/>
          <w:szCs w:val="22"/>
        </w:rPr>
        <w:t>.</w:t>
      </w:r>
      <w:r>
        <w:rPr>
          <w:rStyle w:val="FootnoteReference"/>
          <w:color w:val="000000"/>
          <w:sz w:val="22"/>
          <w:szCs w:val="22"/>
        </w:rPr>
        <w:footnoteReference w:id="55"/>
      </w:r>
      <w:r w:rsidR="00287A33">
        <w:rPr>
          <w:color w:val="000000"/>
          <w:sz w:val="22"/>
          <w:szCs w:val="22"/>
        </w:rPr>
        <w:t xml:space="preserve"> </w:t>
      </w:r>
      <w:r w:rsidRPr="00BA109A" w:rsidR="00287A33">
        <w:rPr>
          <w:color w:val="000000"/>
          <w:sz w:val="22"/>
          <w:szCs w:val="22"/>
        </w:rPr>
        <w:t xml:space="preserve"> We have held that th</w:t>
      </w:r>
      <w:r w:rsidR="00892603">
        <w:rPr>
          <w:color w:val="000000"/>
          <w:sz w:val="22"/>
          <w:szCs w:val="22"/>
        </w:rPr>
        <w:t xml:space="preserve">is </w:t>
      </w:r>
      <w:r w:rsidRPr="00BA109A" w:rsidR="00287A33">
        <w:rPr>
          <w:color w:val="000000"/>
          <w:sz w:val="22"/>
          <w:szCs w:val="22"/>
        </w:rPr>
        <w:t xml:space="preserve">doctrine </w:t>
      </w:r>
      <w:r w:rsidR="0088241F">
        <w:rPr>
          <w:color w:val="000000"/>
          <w:sz w:val="22"/>
          <w:szCs w:val="22"/>
        </w:rPr>
        <w:t>applies where</w:t>
      </w:r>
      <w:r w:rsidRPr="00BA109A" w:rsidR="00287A33">
        <w:rPr>
          <w:color w:val="000000"/>
          <w:sz w:val="22"/>
          <w:szCs w:val="22"/>
        </w:rPr>
        <w:t xml:space="preserve"> prospective mutually exclusive applications would have been timely but for the window filing restriction on FM translator major changes.</w:t>
      </w:r>
      <w:r>
        <w:rPr>
          <w:rStyle w:val="FootnoteReference"/>
          <w:color w:val="000000"/>
          <w:sz w:val="22"/>
          <w:szCs w:val="22"/>
        </w:rPr>
        <w:footnoteReference w:id="56"/>
      </w:r>
      <w:r w:rsidRPr="00BA109A" w:rsidR="00287A33">
        <w:rPr>
          <w:color w:val="000000"/>
          <w:sz w:val="22"/>
          <w:szCs w:val="22"/>
        </w:rPr>
        <w:t xml:space="preserve"> </w:t>
      </w:r>
      <w:r w:rsidR="0088241F">
        <w:rPr>
          <w:color w:val="000000"/>
          <w:sz w:val="22"/>
          <w:szCs w:val="22"/>
        </w:rPr>
        <w:t xml:space="preserve"> </w:t>
      </w:r>
      <w:r w:rsidRPr="00BA109A" w:rsidR="00287A33">
        <w:rPr>
          <w:color w:val="000000"/>
          <w:sz w:val="22"/>
          <w:szCs w:val="22"/>
        </w:rPr>
        <w:t>It is well established that the Commission may promulgate procedural rules limiting the eligibility of parties to file mutually exclusive applications</w:t>
      </w:r>
      <w:r w:rsidR="008B69CC">
        <w:rPr>
          <w:color w:val="000000"/>
          <w:sz w:val="22"/>
          <w:szCs w:val="22"/>
        </w:rPr>
        <w:t>, including the first-come, first-served procedure governing minor change applications</w:t>
      </w:r>
      <w:r w:rsidRPr="00BA109A" w:rsidR="00287A33">
        <w:rPr>
          <w:color w:val="000000"/>
          <w:sz w:val="22"/>
          <w:szCs w:val="22"/>
        </w:rPr>
        <w:t>.</w:t>
      </w:r>
      <w:r>
        <w:rPr>
          <w:rStyle w:val="FootnoteReference"/>
          <w:color w:val="000000"/>
          <w:sz w:val="22"/>
          <w:szCs w:val="22"/>
        </w:rPr>
        <w:footnoteReference w:id="57"/>
      </w:r>
      <w:r w:rsidRPr="00BA109A" w:rsidR="00287A33">
        <w:rPr>
          <w:color w:val="000000"/>
          <w:sz w:val="22"/>
          <w:szCs w:val="22"/>
        </w:rPr>
        <w:t xml:space="preserve"> </w:t>
      </w:r>
      <w:r w:rsidR="0088241F">
        <w:rPr>
          <w:color w:val="000000"/>
          <w:sz w:val="22"/>
          <w:szCs w:val="22"/>
        </w:rPr>
        <w:t xml:space="preserve"> </w:t>
      </w:r>
      <w:r w:rsidRPr="00BA109A" w:rsidR="00287A33">
        <w:rPr>
          <w:color w:val="000000"/>
          <w:sz w:val="22"/>
          <w:szCs w:val="22"/>
        </w:rPr>
        <w:t xml:space="preserve">However, applicants subject to such procedures must be treated equally and fairly: “The </w:t>
      </w:r>
      <w:r w:rsidRPr="00BA109A" w:rsidR="00287A33">
        <w:rPr>
          <w:i/>
          <w:iCs/>
          <w:color w:val="000000"/>
          <w:sz w:val="22"/>
          <w:szCs w:val="22"/>
        </w:rPr>
        <w:t>Ashbacker</w:t>
      </w:r>
      <w:r w:rsidRPr="00BA109A" w:rsidR="00287A33">
        <w:rPr>
          <w:color w:val="000000"/>
          <w:sz w:val="22"/>
          <w:szCs w:val="22"/>
        </w:rPr>
        <w:t xml:space="preserve"> decision .</w:t>
      </w:r>
      <w:r w:rsidR="00F916DB">
        <w:rPr>
          <w:color w:val="000000"/>
          <w:sz w:val="22"/>
          <w:szCs w:val="22"/>
        </w:rPr>
        <w:t xml:space="preserve"> </w:t>
      </w:r>
      <w:r w:rsidRPr="00BA109A" w:rsidR="00287A33">
        <w:rPr>
          <w:color w:val="000000"/>
          <w:sz w:val="22"/>
          <w:szCs w:val="22"/>
        </w:rPr>
        <w:t>.</w:t>
      </w:r>
      <w:r w:rsidR="00F916DB">
        <w:rPr>
          <w:color w:val="000000"/>
          <w:sz w:val="22"/>
          <w:szCs w:val="22"/>
        </w:rPr>
        <w:t xml:space="preserve"> </w:t>
      </w:r>
      <w:r w:rsidRPr="00BA109A" w:rsidR="00287A33">
        <w:rPr>
          <w:color w:val="000000"/>
          <w:sz w:val="22"/>
          <w:szCs w:val="22"/>
        </w:rPr>
        <w:t>. held that the Commission must use the same set of procedures to process the applications of all similarly situated persons who come before it seeking the same license.”</w:t>
      </w:r>
      <w:r>
        <w:rPr>
          <w:rStyle w:val="FootnoteReference"/>
          <w:color w:val="000000"/>
          <w:sz w:val="22"/>
          <w:szCs w:val="22"/>
        </w:rPr>
        <w:footnoteReference w:id="58"/>
      </w:r>
      <w:r w:rsidR="0088241F">
        <w:rPr>
          <w:color w:val="000000"/>
          <w:sz w:val="22"/>
          <w:szCs w:val="22"/>
        </w:rPr>
        <w:t xml:space="preserve"> </w:t>
      </w:r>
      <w:r w:rsidRPr="00BA109A" w:rsidR="00287A33">
        <w:rPr>
          <w:color w:val="000000"/>
          <w:sz w:val="22"/>
          <w:szCs w:val="22"/>
        </w:rPr>
        <w:t xml:space="preserve"> </w:t>
      </w:r>
      <w:r w:rsidR="00BA203C">
        <w:rPr>
          <w:color w:val="000000"/>
          <w:sz w:val="22"/>
          <w:szCs w:val="22"/>
        </w:rPr>
        <w:t xml:space="preserve">In sum, </w:t>
      </w:r>
      <w:r w:rsidRPr="00BA109A" w:rsidR="00287A33">
        <w:rPr>
          <w:color w:val="000000"/>
          <w:sz w:val="22"/>
          <w:szCs w:val="22"/>
        </w:rPr>
        <w:t>“</w:t>
      </w:r>
      <w:r w:rsidR="00BA203C">
        <w:rPr>
          <w:color w:val="000000"/>
          <w:sz w:val="22"/>
          <w:szCs w:val="22"/>
        </w:rPr>
        <w:t>[t]</w:t>
      </w:r>
      <w:r w:rsidRPr="00BA109A" w:rsidR="00287A33">
        <w:rPr>
          <w:color w:val="000000"/>
          <w:sz w:val="22"/>
          <w:szCs w:val="22"/>
        </w:rPr>
        <w:t xml:space="preserve">he ability to compete on an equal basis ... is the essence of </w:t>
      </w:r>
      <w:r w:rsidRPr="00BA109A" w:rsidR="00287A33">
        <w:rPr>
          <w:i/>
          <w:iCs/>
          <w:color w:val="000000"/>
          <w:sz w:val="22"/>
          <w:szCs w:val="22"/>
        </w:rPr>
        <w:t>Ashbacker</w:t>
      </w:r>
      <w:r w:rsidRPr="00BA109A" w:rsidR="00287A33">
        <w:rPr>
          <w:color w:val="000000"/>
          <w:sz w:val="22"/>
          <w:szCs w:val="22"/>
        </w:rPr>
        <w:t>.</w:t>
      </w:r>
      <w:r w:rsidR="0088241F">
        <w:rPr>
          <w:color w:val="000000"/>
          <w:sz w:val="22"/>
          <w:szCs w:val="22"/>
        </w:rPr>
        <w:t>”</w:t>
      </w:r>
      <w:r>
        <w:rPr>
          <w:rStyle w:val="FootnoteReference"/>
          <w:color w:val="000000"/>
          <w:sz w:val="22"/>
          <w:szCs w:val="22"/>
        </w:rPr>
        <w:footnoteReference w:id="59"/>
      </w:r>
      <w:r w:rsidR="0088241F">
        <w:rPr>
          <w:color w:val="000000"/>
          <w:sz w:val="22"/>
          <w:szCs w:val="22"/>
        </w:rPr>
        <w:t xml:space="preserve"> </w:t>
      </w:r>
    </w:p>
    <w:p w:rsidR="003C15D9" w:rsidP="00287A33" w14:paraId="1922B545" w14:textId="77777777">
      <w:pPr>
        <w:rPr>
          <w:color w:val="000000"/>
          <w:sz w:val="22"/>
          <w:szCs w:val="22"/>
        </w:rPr>
      </w:pPr>
    </w:p>
    <w:p w:rsidR="0066392C" w:rsidRPr="0066392C" w:rsidP="0066392C" w14:paraId="6390DD4C" w14:textId="3584DBC4">
      <w:pPr>
        <w:rPr>
          <w:color w:val="000000"/>
          <w:sz w:val="22"/>
          <w:szCs w:val="22"/>
        </w:rPr>
      </w:pPr>
      <w:r>
        <w:rPr>
          <w:color w:val="000000"/>
          <w:sz w:val="22"/>
          <w:szCs w:val="22"/>
        </w:rPr>
        <w:tab/>
      </w:r>
      <w:r>
        <w:rPr>
          <w:color w:val="000000"/>
          <w:sz w:val="22"/>
          <w:szCs w:val="22"/>
        </w:rPr>
        <w:t xml:space="preserve">We conclude that grant of the Modification Application </w:t>
      </w:r>
      <w:r w:rsidR="008B69CC">
        <w:rPr>
          <w:color w:val="000000"/>
          <w:sz w:val="22"/>
          <w:szCs w:val="22"/>
        </w:rPr>
        <w:t>is consistent with the</w:t>
      </w:r>
      <w:r w:rsidR="005755F0">
        <w:rPr>
          <w:color w:val="000000"/>
          <w:sz w:val="22"/>
          <w:szCs w:val="22"/>
        </w:rPr>
        <w:t xml:space="preserve"> </w:t>
      </w:r>
      <w:r w:rsidR="005755F0">
        <w:rPr>
          <w:i/>
          <w:color w:val="000000"/>
          <w:sz w:val="22"/>
          <w:szCs w:val="22"/>
        </w:rPr>
        <w:t>Ashbacker</w:t>
      </w:r>
      <w:r w:rsidR="008B69CC">
        <w:rPr>
          <w:i/>
          <w:color w:val="000000"/>
          <w:sz w:val="22"/>
          <w:szCs w:val="22"/>
        </w:rPr>
        <w:t xml:space="preserve"> </w:t>
      </w:r>
      <w:r w:rsidR="008B69CC">
        <w:rPr>
          <w:color w:val="000000"/>
          <w:sz w:val="22"/>
          <w:szCs w:val="22"/>
        </w:rPr>
        <w:t>doctrine</w:t>
      </w:r>
      <w:r>
        <w:rPr>
          <w:color w:val="000000"/>
          <w:sz w:val="22"/>
          <w:szCs w:val="22"/>
        </w:rPr>
        <w:t xml:space="preserve">.  </w:t>
      </w:r>
      <w:r w:rsidR="00E27875">
        <w:rPr>
          <w:color w:val="000000"/>
          <w:sz w:val="22"/>
          <w:szCs w:val="22"/>
        </w:rPr>
        <w:t>Absent a waiver request</w:t>
      </w:r>
      <w:r>
        <w:rPr>
          <w:color w:val="000000"/>
          <w:sz w:val="22"/>
          <w:szCs w:val="22"/>
        </w:rPr>
        <w:t>, Edgewater is subject to the same procedural rules</w:t>
      </w:r>
      <w:r w:rsidR="00E27875">
        <w:rPr>
          <w:color w:val="000000"/>
          <w:sz w:val="22"/>
          <w:szCs w:val="22"/>
        </w:rPr>
        <w:t xml:space="preserve"> </w:t>
      </w:r>
      <w:r>
        <w:rPr>
          <w:color w:val="000000"/>
          <w:sz w:val="22"/>
          <w:szCs w:val="22"/>
        </w:rPr>
        <w:t xml:space="preserve">as any other potentially competing applicant, including the </w:t>
      </w:r>
      <w:r w:rsidR="00E27875">
        <w:rPr>
          <w:color w:val="000000"/>
          <w:sz w:val="22"/>
          <w:szCs w:val="22"/>
        </w:rPr>
        <w:t>overlap requirement of</w:t>
      </w:r>
      <w:r>
        <w:rPr>
          <w:color w:val="000000"/>
          <w:sz w:val="22"/>
          <w:szCs w:val="22"/>
        </w:rPr>
        <w:t xml:space="preserve"> </w:t>
      </w:r>
      <w:r w:rsidR="00805765">
        <w:rPr>
          <w:color w:val="000000"/>
          <w:sz w:val="22"/>
          <w:szCs w:val="22"/>
        </w:rPr>
        <w:t>s</w:t>
      </w:r>
      <w:r>
        <w:rPr>
          <w:color w:val="000000"/>
          <w:sz w:val="22"/>
          <w:szCs w:val="22"/>
        </w:rPr>
        <w:t>ection 74.1233(a)(1)</w:t>
      </w:r>
      <w:r w:rsidR="00E27875">
        <w:rPr>
          <w:color w:val="000000"/>
          <w:sz w:val="22"/>
          <w:szCs w:val="22"/>
        </w:rPr>
        <w:t xml:space="preserve">, and is therefore </w:t>
      </w:r>
      <w:r w:rsidR="008B69CC">
        <w:rPr>
          <w:color w:val="000000"/>
          <w:sz w:val="22"/>
          <w:szCs w:val="22"/>
        </w:rPr>
        <w:t>“</w:t>
      </w:r>
      <w:r w:rsidR="00E27875">
        <w:rPr>
          <w:color w:val="000000"/>
          <w:sz w:val="22"/>
          <w:szCs w:val="22"/>
        </w:rPr>
        <w:t>competing on an equal basis</w:t>
      </w:r>
      <w:r w:rsidR="008B69CC">
        <w:rPr>
          <w:color w:val="000000"/>
          <w:sz w:val="22"/>
          <w:szCs w:val="22"/>
        </w:rPr>
        <w:t xml:space="preserve">” as required by </w:t>
      </w:r>
      <w:r w:rsidR="008B69CC">
        <w:rPr>
          <w:i/>
          <w:color w:val="000000"/>
          <w:sz w:val="22"/>
          <w:szCs w:val="22"/>
        </w:rPr>
        <w:t>Ashbacker</w:t>
      </w:r>
      <w:r>
        <w:rPr>
          <w:color w:val="000000"/>
          <w:sz w:val="22"/>
          <w:szCs w:val="22"/>
        </w:rPr>
        <w:t xml:space="preserve">. </w:t>
      </w:r>
      <w:r w:rsidR="00901814">
        <w:rPr>
          <w:color w:val="000000"/>
          <w:sz w:val="22"/>
          <w:szCs w:val="22"/>
        </w:rPr>
        <w:t xml:space="preserve"> </w:t>
      </w:r>
      <w:r w:rsidR="00E27875">
        <w:rPr>
          <w:color w:val="000000"/>
          <w:sz w:val="22"/>
          <w:szCs w:val="22"/>
        </w:rPr>
        <w:t xml:space="preserve">This situation is distinguishable from the </w:t>
      </w:r>
      <w:r w:rsidR="00E27875">
        <w:rPr>
          <w:i/>
          <w:color w:val="000000"/>
          <w:sz w:val="22"/>
          <w:szCs w:val="22"/>
        </w:rPr>
        <w:t xml:space="preserve">Mattoon </w:t>
      </w:r>
      <w:r w:rsidR="00E27875">
        <w:rPr>
          <w:color w:val="000000"/>
          <w:sz w:val="22"/>
          <w:szCs w:val="22"/>
        </w:rPr>
        <w:t xml:space="preserve">waiver situation, in which a proposed </w:t>
      </w:r>
      <w:r w:rsidR="005A3A3D">
        <w:rPr>
          <w:color w:val="000000"/>
          <w:sz w:val="22"/>
          <w:szCs w:val="22"/>
        </w:rPr>
        <w:t>“</w:t>
      </w:r>
      <w:r w:rsidR="00E27875">
        <w:rPr>
          <w:color w:val="000000"/>
          <w:sz w:val="22"/>
          <w:szCs w:val="22"/>
        </w:rPr>
        <w:t xml:space="preserve">long-distance, one-step move” could take “even a vigilant </w:t>
      </w:r>
      <w:r w:rsidR="00E27875">
        <w:rPr>
          <w:color w:val="000000"/>
          <w:sz w:val="22"/>
          <w:szCs w:val="22"/>
        </w:rPr>
        <w:t>competitor” by surprise.</w:t>
      </w:r>
      <w:r>
        <w:rPr>
          <w:rStyle w:val="FootnoteReference"/>
          <w:color w:val="000000"/>
          <w:sz w:val="22"/>
          <w:szCs w:val="22"/>
        </w:rPr>
        <w:footnoteReference w:id="60"/>
      </w:r>
      <w:r w:rsidR="00E27875">
        <w:rPr>
          <w:color w:val="000000"/>
          <w:sz w:val="22"/>
          <w:szCs w:val="22"/>
        </w:rPr>
        <w:t xml:space="preserve"> </w:t>
      </w:r>
      <w:r w:rsidR="00E27875">
        <w:rPr>
          <w:i/>
          <w:color w:val="000000"/>
          <w:sz w:val="22"/>
          <w:szCs w:val="22"/>
        </w:rPr>
        <w:t xml:space="preserve"> </w:t>
      </w:r>
      <w:r w:rsidR="00E27875">
        <w:rPr>
          <w:color w:val="000000"/>
          <w:sz w:val="22"/>
          <w:szCs w:val="22"/>
        </w:rPr>
        <w:t xml:space="preserve">It is likewise distinguishable from the </w:t>
      </w:r>
      <w:r w:rsidR="00E27875">
        <w:rPr>
          <w:i/>
          <w:color w:val="000000"/>
          <w:sz w:val="22"/>
          <w:szCs w:val="22"/>
        </w:rPr>
        <w:t xml:space="preserve">Broadcast Towers </w:t>
      </w:r>
      <w:r w:rsidR="00E27875">
        <w:rPr>
          <w:color w:val="000000"/>
          <w:sz w:val="22"/>
          <w:szCs w:val="22"/>
        </w:rPr>
        <w:t>situation, in which a rapid series of modifications</w:t>
      </w:r>
      <w:r w:rsidR="008B69CC">
        <w:rPr>
          <w:color w:val="000000"/>
          <w:sz w:val="22"/>
          <w:szCs w:val="22"/>
        </w:rPr>
        <w:t xml:space="preserve"> could have</w:t>
      </w:r>
      <w:r w:rsidR="00E27875">
        <w:rPr>
          <w:color w:val="000000"/>
          <w:sz w:val="22"/>
          <w:szCs w:val="22"/>
        </w:rPr>
        <w:t xml:space="preserve"> effectively preclude</w:t>
      </w:r>
      <w:r w:rsidR="00195DB8">
        <w:rPr>
          <w:color w:val="000000"/>
          <w:sz w:val="22"/>
          <w:szCs w:val="22"/>
        </w:rPr>
        <w:t>d</w:t>
      </w:r>
      <w:r w:rsidR="00E27875">
        <w:rPr>
          <w:color w:val="000000"/>
          <w:sz w:val="22"/>
          <w:szCs w:val="22"/>
        </w:rPr>
        <w:t xml:space="preserve"> potential competitors from filing mutually exclusive applications.  B</w:t>
      </w:r>
      <w:r>
        <w:rPr>
          <w:color w:val="000000"/>
          <w:sz w:val="22"/>
          <w:szCs w:val="22"/>
        </w:rPr>
        <w:t xml:space="preserve">ecause </w:t>
      </w:r>
      <w:r w:rsidR="005755F0">
        <w:rPr>
          <w:color w:val="000000"/>
          <w:sz w:val="22"/>
          <w:szCs w:val="22"/>
        </w:rPr>
        <w:t xml:space="preserve">Edgewater operated the Station </w:t>
      </w:r>
      <w:r w:rsidR="008B69CC">
        <w:rPr>
          <w:color w:val="000000"/>
          <w:sz w:val="22"/>
          <w:szCs w:val="22"/>
        </w:rPr>
        <w:t xml:space="preserve">at </w:t>
      </w:r>
      <w:r w:rsidR="005755F0">
        <w:rPr>
          <w:color w:val="000000"/>
          <w:sz w:val="22"/>
          <w:szCs w:val="22"/>
        </w:rPr>
        <w:t xml:space="preserve">the </w:t>
      </w:r>
      <w:r w:rsidR="00C065ED">
        <w:rPr>
          <w:color w:val="000000"/>
          <w:sz w:val="22"/>
          <w:szCs w:val="22"/>
        </w:rPr>
        <w:t>Third</w:t>
      </w:r>
      <w:r w:rsidR="005755F0">
        <w:rPr>
          <w:color w:val="000000"/>
          <w:sz w:val="22"/>
          <w:szCs w:val="22"/>
        </w:rPr>
        <w:t xml:space="preserve"> Application </w:t>
      </w:r>
      <w:r w:rsidR="008B69CC">
        <w:rPr>
          <w:color w:val="000000"/>
          <w:sz w:val="22"/>
          <w:szCs w:val="22"/>
        </w:rPr>
        <w:t>s</w:t>
      </w:r>
      <w:r w:rsidR="005755F0">
        <w:rPr>
          <w:color w:val="000000"/>
          <w:sz w:val="22"/>
          <w:szCs w:val="22"/>
        </w:rPr>
        <w:t xml:space="preserve">ite for </w:t>
      </w:r>
      <w:r w:rsidR="0040212A">
        <w:rPr>
          <w:color w:val="000000"/>
          <w:sz w:val="22"/>
          <w:szCs w:val="22"/>
        </w:rPr>
        <w:t>four months</w:t>
      </w:r>
      <w:r w:rsidR="005755F0">
        <w:rPr>
          <w:color w:val="000000"/>
          <w:sz w:val="22"/>
          <w:szCs w:val="22"/>
        </w:rPr>
        <w:t xml:space="preserve"> before filing the Modification Application, other potentially competing applicants had</w:t>
      </w:r>
      <w:r w:rsidR="00E27875">
        <w:rPr>
          <w:color w:val="000000"/>
          <w:sz w:val="22"/>
          <w:szCs w:val="22"/>
        </w:rPr>
        <w:t xml:space="preserve"> </w:t>
      </w:r>
      <w:r w:rsidR="005755F0">
        <w:rPr>
          <w:color w:val="000000"/>
          <w:sz w:val="22"/>
          <w:szCs w:val="22"/>
        </w:rPr>
        <w:t xml:space="preserve">ample notice that </w:t>
      </w:r>
      <w:r w:rsidR="00F87469">
        <w:rPr>
          <w:color w:val="000000"/>
          <w:sz w:val="22"/>
          <w:szCs w:val="22"/>
        </w:rPr>
        <w:t>a</w:t>
      </w:r>
      <w:r w:rsidR="00E27875">
        <w:rPr>
          <w:color w:val="000000"/>
          <w:sz w:val="22"/>
          <w:szCs w:val="22"/>
        </w:rPr>
        <w:t xml:space="preserve"> </w:t>
      </w:r>
      <w:r w:rsidR="00F87469">
        <w:rPr>
          <w:color w:val="000000"/>
          <w:sz w:val="22"/>
          <w:szCs w:val="22"/>
        </w:rPr>
        <w:t xml:space="preserve">modification application </w:t>
      </w:r>
      <w:r w:rsidR="00672991">
        <w:rPr>
          <w:color w:val="000000"/>
          <w:sz w:val="22"/>
          <w:szCs w:val="22"/>
        </w:rPr>
        <w:t xml:space="preserve">affecting nearby areas </w:t>
      </w:r>
      <w:r w:rsidR="00F87469">
        <w:rPr>
          <w:color w:val="000000"/>
          <w:sz w:val="22"/>
          <w:szCs w:val="22"/>
        </w:rPr>
        <w:t xml:space="preserve">might be filed and </w:t>
      </w:r>
      <w:r w:rsidR="005A3A3D">
        <w:rPr>
          <w:color w:val="000000"/>
          <w:sz w:val="22"/>
          <w:szCs w:val="22"/>
        </w:rPr>
        <w:t xml:space="preserve">sufficient </w:t>
      </w:r>
      <w:r w:rsidR="00F87469">
        <w:rPr>
          <w:color w:val="000000"/>
          <w:sz w:val="22"/>
          <w:szCs w:val="22"/>
        </w:rPr>
        <w:t xml:space="preserve">time to file </w:t>
      </w:r>
      <w:r w:rsidR="00E27875">
        <w:rPr>
          <w:color w:val="000000"/>
          <w:sz w:val="22"/>
          <w:szCs w:val="22"/>
        </w:rPr>
        <w:t>mutually exclusive modification</w:t>
      </w:r>
      <w:r w:rsidR="00F87469">
        <w:rPr>
          <w:color w:val="000000"/>
          <w:sz w:val="22"/>
          <w:szCs w:val="22"/>
        </w:rPr>
        <w:t xml:space="preserve"> application</w:t>
      </w:r>
      <w:r w:rsidR="00672991">
        <w:rPr>
          <w:color w:val="000000"/>
          <w:sz w:val="22"/>
          <w:szCs w:val="22"/>
        </w:rPr>
        <w:t>s</w:t>
      </w:r>
      <w:r w:rsidR="00F87469">
        <w:rPr>
          <w:color w:val="000000"/>
          <w:sz w:val="22"/>
          <w:szCs w:val="22"/>
        </w:rPr>
        <w:t xml:space="preserve"> if desired.</w:t>
      </w:r>
      <w:r>
        <w:rPr>
          <w:color w:val="000000"/>
          <w:sz w:val="22"/>
          <w:szCs w:val="22"/>
        </w:rPr>
        <w:t xml:space="preserve">  </w:t>
      </w:r>
      <w:r w:rsidR="00E27875">
        <w:rPr>
          <w:color w:val="000000"/>
          <w:sz w:val="22"/>
          <w:szCs w:val="22"/>
        </w:rPr>
        <w:t>For these reasons</w:t>
      </w:r>
      <w:r w:rsidR="00F87469">
        <w:rPr>
          <w:color w:val="000000"/>
          <w:sz w:val="22"/>
          <w:szCs w:val="22"/>
        </w:rPr>
        <w:t>,</w:t>
      </w:r>
      <w:r w:rsidR="00E27875">
        <w:rPr>
          <w:color w:val="000000"/>
          <w:sz w:val="22"/>
          <w:szCs w:val="22"/>
        </w:rPr>
        <w:t xml:space="preserve"> we conclude that</w:t>
      </w:r>
      <w:r w:rsidR="00F87469">
        <w:rPr>
          <w:color w:val="000000"/>
          <w:sz w:val="22"/>
          <w:szCs w:val="22"/>
        </w:rPr>
        <w:t xml:space="preserve"> </w:t>
      </w:r>
      <w:r w:rsidR="00E27875">
        <w:rPr>
          <w:color w:val="000000"/>
          <w:sz w:val="22"/>
          <w:szCs w:val="22"/>
        </w:rPr>
        <w:t xml:space="preserve">grant of the </w:t>
      </w:r>
      <w:r>
        <w:rPr>
          <w:color w:val="000000"/>
          <w:sz w:val="22"/>
          <w:szCs w:val="22"/>
        </w:rPr>
        <w:t>Modification Application d</w:t>
      </w:r>
      <w:r w:rsidR="00E27875">
        <w:rPr>
          <w:color w:val="000000"/>
          <w:sz w:val="22"/>
          <w:szCs w:val="22"/>
        </w:rPr>
        <w:t>oes</w:t>
      </w:r>
      <w:r>
        <w:rPr>
          <w:color w:val="000000"/>
          <w:sz w:val="22"/>
          <w:szCs w:val="22"/>
        </w:rPr>
        <w:t xml:space="preserve"> not unfairly preclude potentially competing applications in violation of the </w:t>
      </w:r>
      <w:r>
        <w:rPr>
          <w:i/>
          <w:color w:val="000000"/>
          <w:sz w:val="22"/>
          <w:szCs w:val="22"/>
        </w:rPr>
        <w:t>Ashbacker</w:t>
      </w:r>
      <w:r w:rsidR="00E27875">
        <w:rPr>
          <w:i/>
          <w:color w:val="000000"/>
          <w:sz w:val="22"/>
          <w:szCs w:val="22"/>
        </w:rPr>
        <w:t xml:space="preserve"> </w:t>
      </w:r>
      <w:r w:rsidR="00E27875">
        <w:rPr>
          <w:color w:val="000000"/>
          <w:sz w:val="22"/>
          <w:szCs w:val="22"/>
        </w:rPr>
        <w:t>doctrine</w:t>
      </w:r>
      <w:r>
        <w:rPr>
          <w:color w:val="000000"/>
          <w:sz w:val="22"/>
          <w:szCs w:val="22"/>
        </w:rPr>
        <w:t xml:space="preserve">. </w:t>
      </w:r>
    </w:p>
    <w:p w:rsidR="0066392C" w:rsidP="0066392C" w14:paraId="4786A684" w14:textId="77777777">
      <w:pPr>
        <w:rPr>
          <w:color w:val="000000"/>
          <w:sz w:val="22"/>
          <w:szCs w:val="22"/>
        </w:rPr>
      </w:pPr>
    </w:p>
    <w:p w:rsidR="00C2561A" w:rsidP="00CB304C" w14:paraId="13AF041A" w14:textId="77777777">
      <w:pPr>
        <w:ind w:firstLine="720"/>
        <w:rPr>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837679">
        <w:rPr>
          <w:spacing w:val="-2"/>
          <w:sz w:val="22"/>
          <w:szCs w:val="22"/>
        </w:rPr>
        <w:t xml:space="preserve">IT IS </w:t>
      </w:r>
      <w:r>
        <w:rPr>
          <w:spacing w:val="-2"/>
          <w:sz w:val="22"/>
          <w:szCs w:val="22"/>
        </w:rPr>
        <w:t>O</w:t>
      </w:r>
      <w:r w:rsidRPr="00837679">
        <w:rPr>
          <w:spacing w:val="-2"/>
          <w:sz w:val="22"/>
          <w:szCs w:val="22"/>
        </w:rPr>
        <w:t>RDERED</w:t>
      </w:r>
      <w:r w:rsidR="00697C50">
        <w:rPr>
          <w:spacing w:val="-2"/>
          <w:sz w:val="22"/>
          <w:szCs w:val="22"/>
        </w:rPr>
        <w:t xml:space="preserve"> </w:t>
      </w:r>
      <w:r w:rsidR="00CF39C2">
        <w:rPr>
          <w:spacing w:val="-2"/>
          <w:sz w:val="22"/>
          <w:szCs w:val="22"/>
        </w:rPr>
        <w:t>t</w:t>
      </w:r>
      <w:r>
        <w:rPr>
          <w:sz w:val="22"/>
          <w:szCs w:val="22"/>
        </w:rPr>
        <w:t xml:space="preserve">hat the </w:t>
      </w:r>
      <w:r w:rsidR="003D2AF0">
        <w:rPr>
          <w:sz w:val="22"/>
          <w:szCs w:val="22"/>
        </w:rPr>
        <w:t>I</w:t>
      </w:r>
      <w:r w:rsidR="006D59BE">
        <w:rPr>
          <w:sz w:val="22"/>
          <w:szCs w:val="22"/>
        </w:rPr>
        <w:t xml:space="preserve">nformal </w:t>
      </w:r>
      <w:r w:rsidR="003D2AF0">
        <w:rPr>
          <w:sz w:val="22"/>
          <w:szCs w:val="22"/>
        </w:rPr>
        <w:t>O</w:t>
      </w:r>
      <w:r w:rsidR="006D59BE">
        <w:rPr>
          <w:sz w:val="22"/>
          <w:szCs w:val="22"/>
        </w:rPr>
        <w:t xml:space="preserve">bjection filed by </w:t>
      </w:r>
      <w:r w:rsidR="003D2AF0">
        <w:rPr>
          <w:color w:val="000000"/>
          <w:sz w:val="22"/>
          <w:szCs w:val="22"/>
        </w:rPr>
        <w:t>Sound of Hope Radio NFP (Sound of Hope) on January 19, 2018</w:t>
      </w:r>
      <w:r w:rsidR="006D59BE">
        <w:rPr>
          <w:sz w:val="22"/>
          <w:szCs w:val="22"/>
        </w:rPr>
        <w:t xml:space="preserve">, </w:t>
      </w:r>
      <w:r>
        <w:rPr>
          <w:sz w:val="22"/>
          <w:szCs w:val="22"/>
        </w:rPr>
        <w:t>IS</w:t>
      </w:r>
      <w:r w:rsidR="0088241F">
        <w:rPr>
          <w:sz w:val="22"/>
          <w:szCs w:val="22"/>
        </w:rPr>
        <w:t xml:space="preserve"> DENIED</w:t>
      </w:r>
      <w:r>
        <w:rPr>
          <w:sz w:val="22"/>
          <w:szCs w:val="22"/>
        </w:rPr>
        <w:t xml:space="preserve"> and the </w:t>
      </w:r>
      <w:r w:rsidR="003D2AF0">
        <w:rPr>
          <w:sz w:val="22"/>
          <w:szCs w:val="22"/>
        </w:rPr>
        <w:t>Modification</w:t>
      </w:r>
      <w:r>
        <w:rPr>
          <w:sz w:val="22"/>
          <w:szCs w:val="22"/>
        </w:rPr>
        <w:t xml:space="preserve"> Application</w:t>
      </w:r>
      <w:r w:rsidR="006D59BE">
        <w:rPr>
          <w:sz w:val="22"/>
          <w:szCs w:val="22"/>
        </w:rPr>
        <w:t xml:space="preserve">, </w:t>
      </w:r>
      <w:r w:rsidR="003D2AF0">
        <w:rPr>
          <w:color w:val="000000"/>
          <w:sz w:val="22"/>
          <w:szCs w:val="22"/>
        </w:rPr>
        <w:t>BPFT-20171229ABE</w:t>
      </w:r>
      <w:r w:rsidR="006D59BE">
        <w:rPr>
          <w:sz w:val="22"/>
          <w:szCs w:val="22"/>
        </w:rPr>
        <w:t>,</w:t>
      </w:r>
      <w:r>
        <w:rPr>
          <w:sz w:val="22"/>
          <w:szCs w:val="22"/>
        </w:rPr>
        <w:t xml:space="preserve"> IS </w:t>
      </w:r>
      <w:r w:rsidR="0088241F">
        <w:rPr>
          <w:sz w:val="22"/>
          <w:szCs w:val="22"/>
        </w:rPr>
        <w:t>GRANTED</w:t>
      </w:r>
      <w:r>
        <w:rPr>
          <w:sz w:val="22"/>
          <w:szCs w:val="22"/>
        </w:rPr>
        <w:t>.</w:t>
      </w:r>
    </w:p>
    <w:p w:rsidR="004F4161" w:rsidP="006E4F48" w14:paraId="3C3D0D5F" w14:textId="77777777">
      <w:pPr>
        <w:ind w:firstLine="720"/>
        <w:rPr>
          <w:color w:val="000000"/>
          <w:sz w:val="22"/>
          <w:szCs w:val="22"/>
        </w:rPr>
      </w:pPr>
    </w:p>
    <w:p w:rsidR="00633232" w:rsidRPr="005675BC" w:rsidP="00194180" w14:paraId="0D36CAA2" w14:textId="77777777">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sidR="00F41B2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Sincerely,</w:t>
      </w:r>
    </w:p>
    <w:p w:rsidR="00AF3FFF" w:rsidRPr="005675BC" w14:paraId="0A086985" w14:textId="77777777">
      <w:pPr>
        <w:tabs>
          <w:tab w:val="left" w:pos="0"/>
          <w:tab w:val="left" w:pos="270"/>
        </w:tabs>
        <w:suppressAutoHyphens/>
        <w:rPr>
          <w:color w:val="000000"/>
          <w:sz w:val="22"/>
          <w:szCs w:val="22"/>
        </w:rPr>
      </w:pPr>
    </w:p>
    <w:p w:rsidR="00194180" w14:paraId="7FC4BD6C" w14:textId="77777777">
      <w:pPr>
        <w:tabs>
          <w:tab w:val="left" w:pos="0"/>
          <w:tab w:val="left" w:pos="270"/>
        </w:tabs>
        <w:suppressAutoHyphens/>
        <w:rPr>
          <w:color w:val="000000"/>
          <w:sz w:val="22"/>
          <w:szCs w:val="22"/>
        </w:rPr>
      </w:pPr>
    </w:p>
    <w:p w:rsidR="00E6665D" w:rsidRPr="005675BC" w14:paraId="39A3DB96" w14:textId="77777777">
      <w:pPr>
        <w:tabs>
          <w:tab w:val="left" w:pos="0"/>
          <w:tab w:val="left" w:pos="270"/>
        </w:tabs>
        <w:suppressAutoHyphens/>
        <w:rPr>
          <w:color w:val="000000"/>
          <w:sz w:val="22"/>
          <w:szCs w:val="22"/>
        </w:rPr>
      </w:pPr>
    </w:p>
    <w:p w:rsidR="00194180" w:rsidRPr="005675BC" w14:paraId="5E2BCD00" w14:textId="77777777">
      <w:pPr>
        <w:tabs>
          <w:tab w:val="left" w:pos="0"/>
          <w:tab w:val="left" w:pos="270"/>
        </w:tabs>
        <w:suppressAutoHyphens/>
        <w:rPr>
          <w:color w:val="000000"/>
          <w:sz w:val="22"/>
          <w:szCs w:val="22"/>
        </w:rPr>
      </w:pPr>
    </w:p>
    <w:p w:rsidR="00633232" w14:paraId="51646C17" w14:textId="77777777">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7C2050">
        <w:rPr>
          <w:color w:val="000000"/>
          <w:sz w:val="22"/>
          <w:szCs w:val="22"/>
        </w:rPr>
        <w:t>Albert Shuldiner</w:t>
      </w:r>
    </w:p>
    <w:p w:rsidR="00633232" w:rsidRPr="005675BC" w14:paraId="14938833"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EE2D0A">
        <w:rPr>
          <w:color w:val="000000"/>
          <w:sz w:val="22"/>
          <w:szCs w:val="22"/>
        </w:rPr>
        <w:tab/>
      </w:r>
      <w:r w:rsidR="00EE2D0A">
        <w:rPr>
          <w:color w:val="000000"/>
          <w:sz w:val="22"/>
          <w:szCs w:val="22"/>
        </w:rPr>
        <w:tab/>
      </w:r>
      <w:r w:rsidRPr="005675BC">
        <w:rPr>
          <w:color w:val="000000"/>
          <w:sz w:val="22"/>
          <w:szCs w:val="22"/>
        </w:rPr>
        <w:t>Chief, Audio Division</w:t>
      </w:r>
    </w:p>
    <w:p w:rsidR="00775FED" w:rsidRPr="005675BC" w:rsidP="00837C4A" w14:paraId="7ADCB7D5"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547" w14:paraId="7787E4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2547" w14:paraId="334FC1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547" w14:paraId="7229FD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2547" w14:paraId="4FFF40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547" w14:paraId="51EB1D21" w14:textId="77777777">
      <w:r>
        <w:separator/>
      </w:r>
    </w:p>
  </w:footnote>
  <w:footnote w:type="continuationSeparator" w:id="1">
    <w:p w:rsidR="005D2547" w14:paraId="20549D55" w14:textId="77777777">
      <w:r>
        <w:continuationSeparator/>
      </w:r>
    </w:p>
  </w:footnote>
  <w:footnote w:id="2">
    <w:p w:rsidR="005D2547" w:rsidRPr="00CA1A83" w:rsidP="004901B6" w14:paraId="5E793156" w14:textId="77777777">
      <w:pPr>
        <w:pStyle w:val="FootnoteText"/>
        <w:spacing w:after="120"/>
      </w:pPr>
      <w:r w:rsidRPr="00CA1A83">
        <w:rPr>
          <w:rStyle w:val="FootnoteReference"/>
        </w:rPr>
        <w:footnoteRef/>
      </w:r>
      <w:r w:rsidRPr="00CA1A83">
        <w:t xml:space="preserve"> </w:t>
      </w:r>
      <w:r w:rsidRPr="00CA1A83">
        <w:rPr>
          <w:i/>
        </w:rPr>
        <w:t>See Broadcast Applications</w:t>
      </w:r>
      <w:r w:rsidRPr="00CA1A83">
        <w:t>, Public Notice, Report No. 29145 (Jan. 4, 2018).</w:t>
      </w:r>
    </w:p>
  </w:footnote>
  <w:footnote w:id="3">
    <w:p w:rsidR="005D2547" w:rsidRPr="00CA1A83" w:rsidP="004901B6" w14:paraId="6A6696BE" w14:textId="77777777">
      <w:pPr>
        <w:pStyle w:val="FootnoteText"/>
        <w:spacing w:after="120"/>
      </w:pPr>
      <w:r w:rsidRPr="00CA1A83">
        <w:rPr>
          <w:rStyle w:val="FootnoteReference"/>
        </w:rPr>
        <w:footnoteRef/>
      </w:r>
      <w:r w:rsidRPr="00CA1A83">
        <w:t xml:space="preserve"> An informal objection to the Modification Application was filed by Prometheus </w:t>
      </w:r>
      <w:r w:rsidRPr="00CA1A83">
        <w:rPr>
          <w:i/>
        </w:rPr>
        <w:t xml:space="preserve">et al </w:t>
      </w:r>
      <w:r w:rsidRPr="00CA1A83">
        <w:t xml:space="preserve">on May 16, 2018, which was dismissed and, in the alternative, denied by the Audio Division, Media Bureau (Bureau) on June 8, 2018.  </w:t>
      </w:r>
      <w:r w:rsidRPr="00CA1A83">
        <w:rPr>
          <w:i/>
        </w:rPr>
        <w:t>See Center for International Media Action</w:t>
      </w:r>
      <w:r w:rsidRPr="00CA1A83">
        <w:t>, Letter</w:t>
      </w:r>
      <w:r w:rsidRPr="00CA1A83" w:rsidR="0040212A">
        <w:t xml:space="preserve"> Decision</w:t>
      </w:r>
      <w:r w:rsidRPr="00CA1A83">
        <w:t xml:space="preserve">, 33 FCC </w:t>
      </w:r>
      <w:r w:rsidRPr="00CA1A83">
        <w:t>Rcd</w:t>
      </w:r>
      <w:r w:rsidRPr="00CA1A83">
        <w:t xml:space="preserve"> 5394 (MB 2018).</w:t>
      </w:r>
    </w:p>
  </w:footnote>
  <w:footnote w:id="4">
    <w:p w:rsidR="004901B6" w:rsidRPr="004901B6" w:rsidP="004901B6" w14:paraId="7CB1E371" w14:textId="77777777">
      <w:pPr>
        <w:pStyle w:val="FootnoteText"/>
        <w:spacing w:after="120"/>
      </w:pPr>
      <w:r>
        <w:rPr>
          <w:rStyle w:val="FootnoteReference"/>
        </w:rPr>
        <w:footnoteRef/>
      </w:r>
      <w:r>
        <w:t xml:space="preserve"> </w:t>
      </w:r>
      <w:r>
        <w:rPr>
          <w:i/>
        </w:rPr>
        <w:t xml:space="preserve">See </w:t>
      </w:r>
      <w:r>
        <w:t xml:space="preserve">File No. BNPFT-20130828AFF (granted December 27, 2013.  </w:t>
      </w:r>
      <w:r>
        <w:rPr>
          <w:i/>
        </w:rPr>
        <w:t>Broadcast Actions</w:t>
      </w:r>
      <w:r>
        <w:t>, Public Notice, Report No. 18147 (Jan. 1, 2014)).</w:t>
      </w:r>
    </w:p>
  </w:footnote>
  <w:footnote w:id="5">
    <w:p w:rsidR="005D2547" w:rsidRPr="00AD2CAB" w:rsidP="004901B6" w14:paraId="64ED69F1" w14:textId="7E4FE772">
      <w:pPr>
        <w:pStyle w:val="FootnoteText"/>
        <w:spacing w:after="120"/>
        <w:rPr>
          <w:i/>
        </w:rPr>
      </w:pPr>
      <w:r w:rsidRPr="00CA1A83">
        <w:rPr>
          <w:rStyle w:val="FootnoteReference"/>
        </w:rPr>
        <w:footnoteRef/>
      </w:r>
      <w:r w:rsidRPr="00CA1A83">
        <w:t xml:space="preserve"> File No. BMPFT-20150209AAF. </w:t>
      </w:r>
      <w:r w:rsidR="00BA203C">
        <w:t xml:space="preserve"> Edgewater had earlier filed a</w:t>
      </w:r>
      <w:r w:rsidRPr="00BA203C" w:rsidR="00BA203C">
        <w:t xml:space="preserve"> construction permit modification application on January 29, 2014.</w:t>
      </w:r>
      <w:r w:rsidR="00AD2CAB">
        <w:t xml:space="preserve">  </w:t>
      </w:r>
      <w:r w:rsidRPr="00CA1A83" w:rsidR="00AD2CAB">
        <w:t>File No. BMPFT-20140129ANE.</w:t>
      </w:r>
      <w:r w:rsidR="00AD2CAB">
        <w:t xml:space="preserve">  This application</w:t>
      </w:r>
      <w:r w:rsidRPr="00AD2CAB" w:rsidR="00AD2CAB">
        <w:t xml:space="preserve"> was granted on July 25, 2014, but the specified facilities were not built</w:t>
      </w:r>
      <w:r w:rsidR="00AD2CAB">
        <w:t xml:space="preserve">.  </w:t>
      </w:r>
      <w:r w:rsidR="00AD2CAB">
        <w:rPr>
          <w:i/>
        </w:rPr>
        <w:t xml:space="preserve">See </w:t>
      </w:r>
      <w:r w:rsidRPr="00CA1A83" w:rsidR="00AD2CAB">
        <w:rPr>
          <w:i/>
        </w:rPr>
        <w:t>Broadcast Actions</w:t>
      </w:r>
      <w:r w:rsidRPr="00CA1A83" w:rsidR="00AD2CAB">
        <w:t>, Public Notice, Report No. 48292 (MB July 30, 2014).</w:t>
      </w:r>
    </w:p>
  </w:footnote>
  <w:footnote w:id="6">
    <w:p w:rsidR="005D2547" w:rsidRPr="00CA1A83" w:rsidP="004901B6" w14:paraId="03063592" w14:textId="77777777">
      <w:pPr>
        <w:pStyle w:val="FootnoteText"/>
        <w:spacing w:after="120"/>
      </w:pPr>
      <w:r w:rsidRPr="00CA1A83">
        <w:rPr>
          <w:rStyle w:val="FootnoteReference"/>
        </w:rPr>
        <w:footnoteRef/>
      </w:r>
      <w:r w:rsidRPr="00CA1A83">
        <w:t xml:space="preserve"> </w:t>
      </w:r>
      <w:r w:rsidRPr="00CA1A83">
        <w:rPr>
          <w:i/>
        </w:rPr>
        <w:t>Broadcast Actions</w:t>
      </w:r>
      <w:r w:rsidRPr="00CA1A83">
        <w:t>, Public Notice, Report No. 48449 (MB Mar. 19, 2015).</w:t>
      </w:r>
    </w:p>
  </w:footnote>
  <w:footnote w:id="7">
    <w:p w:rsidR="005D2547" w:rsidRPr="00CA1A83" w:rsidP="004901B6" w14:paraId="2041CE8C" w14:textId="44EFCF16">
      <w:pPr>
        <w:pStyle w:val="FootnoteText"/>
        <w:spacing w:after="120"/>
      </w:pPr>
      <w:r w:rsidRPr="00CA1A83">
        <w:rPr>
          <w:rStyle w:val="FootnoteReference"/>
        </w:rPr>
        <w:footnoteRef/>
      </w:r>
      <w:r w:rsidRPr="00CA1A83">
        <w:t xml:space="preserve"> File No. BLFT-20160127AFF.</w:t>
      </w:r>
      <w:r w:rsidR="00AD2CAB">
        <w:t xml:space="preserve">  On January 28, 2016, Edgewater filed another modification application, which was granted on February 4, 2016, but was never built.  </w:t>
      </w:r>
      <w:r w:rsidR="004B42C0">
        <w:rPr>
          <w:i/>
        </w:rPr>
        <w:t xml:space="preserve">See </w:t>
      </w:r>
      <w:r w:rsidRPr="00CA1A83" w:rsidR="00AD2CAB">
        <w:t>File No. BMPFT-20160128BEG</w:t>
      </w:r>
      <w:r w:rsidR="00AD2CAB">
        <w:t>;</w:t>
      </w:r>
      <w:r w:rsidRPr="00AD2CAB" w:rsidR="00AD2CAB">
        <w:rPr>
          <w:i/>
        </w:rPr>
        <w:t xml:space="preserve"> </w:t>
      </w:r>
      <w:r w:rsidRPr="00CA1A83" w:rsidR="00AD2CAB">
        <w:rPr>
          <w:i/>
        </w:rPr>
        <w:t>Broadcast Actions</w:t>
      </w:r>
      <w:r w:rsidRPr="00CA1A83" w:rsidR="00AD2CAB">
        <w:t>, Public Notice, Report No. 48667 (MB Feb. 9, 2016).</w:t>
      </w:r>
    </w:p>
  </w:footnote>
  <w:footnote w:id="8">
    <w:p w:rsidR="005D2547" w:rsidRPr="00CA1A83" w:rsidP="004901B6" w14:paraId="160F44B0" w14:textId="3FC036EC">
      <w:pPr>
        <w:pStyle w:val="FootnoteText"/>
        <w:spacing w:after="120"/>
      </w:pPr>
      <w:r w:rsidRPr="00CA1A83">
        <w:rPr>
          <w:rStyle w:val="FootnoteReference"/>
        </w:rPr>
        <w:footnoteRef/>
      </w:r>
      <w:r w:rsidRPr="00CA1A83">
        <w:t xml:space="preserve"> </w:t>
      </w:r>
      <w:r w:rsidRPr="00CA1A83">
        <w:rPr>
          <w:i/>
        </w:rPr>
        <w:t>Broadcast Actions</w:t>
      </w:r>
      <w:r w:rsidRPr="00CA1A83">
        <w:t>, Public Notice, Report No. 48669 (MB Feb. 11, 2016).</w:t>
      </w:r>
    </w:p>
  </w:footnote>
  <w:footnote w:id="9">
    <w:p w:rsidR="005D2547" w:rsidRPr="00CA1A83" w:rsidP="004901B6" w14:paraId="1B7E7A95" w14:textId="77777777">
      <w:pPr>
        <w:pStyle w:val="FootnoteText"/>
        <w:spacing w:after="120"/>
      </w:pPr>
      <w:r w:rsidRPr="00CA1A83">
        <w:rPr>
          <w:rStyle w:val="FootnoteReference"/>
        </w:rPr>
        <w:footnoteRef/>
      </w:r>
      <w:r w:rsidRPr="00CA1A83">
        <w:t xml:space="preserve"> File No. BMPFT-20170414AAB.</w:t>
      </w:r>
    </w:p>
  </w:footnote>
  <w:footnote w:id="10">
    <w:p w:rsidR="005D2547" w:rsidRPr="00CA1A83" w:rsidP="004901B6" w14:paraId="5E317028" w14:textId="77777777">
      <w:pPr>
        <w:pStyle w:val="FootnoteText"/>
        <w:spacing w:after="120"/>
      </w:pPr>
      <w:r w:rsidRPr="00CA1A83">
        <w:rPr>
          <w:rStyle w:val="FootnoteReference"/>
        </w:rPr>
        <w:footnoteRef/>
      </w:r>
      <w:r w:rsidRPr="00CA1A83">
        <w:t xml:space="preserve"> </w:t>
      </w:r>
      <w:r w:rsidRPr="00CA1A83">
        <w:rPr>
          <w:i/>
        </w:rPr>
        <w:t>Broadcast Actions</w:t>
      </w:r>
      <w:r w:rsidRPr="00CA1A83">
        <w:t>, Public Notice, Report No. 48985 (MB May 15, 2017).</w:t>
      </w:r>
    </w:p>
  </w:footnote>
  <w:footnote w:id="11">
    <w:p w:rsidR="00052AF5" w:rsidRPr="00CA1A83" w:rsidP="004901B6" w14:paraId="29A89A0E" w14:textId="77777777">
      <w:pPr>
        <w:pStyle w:val="FootnoteText"/>
        <w:spacing w:after="120"/>
      </w:pPr>
      <w:r w:rsidRPr="00CA1A83">
        <w:rPr>
          <w:rStyle w:val="FootnoteReference"/>
        </w:rPr>
        <w:footnoteRef/>
      </w:r>
      <w:r w:rsidRPr="00CA1A83">
        <w:t xml:space="preserve"> </w:t>
      </w:r>
      <w:r w:rsidRPr="00CA1A83" w:rsidR="00CA1A83">
        <w:t>File No. BLFT-20170717ACV.</w:t>
      </w:r>
    </w:p>
  </w:footnote>
  <w:footnote w:id="12">
    <w:p w:rsidR="005D2547" w:rsidRPr="00CA1A83" w:rsidP="004901B6" w14:paraId="442AD7AA" w14:textId="77777777">
      <w:pPr>
        <w:pStyle w:val="FootnoteText"/>
        <w:spacing w:after="120"/>
      </w:pPr>
      <w:r w:rsidRPr="00CA1A83">
        <w:rPr>
          <w:rStyle w:val="FootnoteReference"/>
        </w:rPr>
        <w:footnoteRef/>
      </w:r>
      <w:r w:rsidRPr="00CA1A83">
        <w:t xml:space="preserve"> File No. BPFT-20170718ACW.</w:t>
      </w:r>
    </w:p>
  </w:footnote>
  <w:footnote w:id="13">
    <w:p w:rsidR="005D2547" w:rsidRPr="00CA1A83" w:rsidP="004901B6" w14:paraId="3AA060A9" w14:textId="77777777">
      <w:pPr>
        <w:pStyle w:val="FootnoteText"/>
        <w:spacing w:after="120"/>
      </w:pPr>
      <w:r w:rsidRPr="00CA1A83">
        <w:rPr>
          <w:rStyle w:val="FootnoteReference"/>
        </w:rPr>
        <w:footnoteRef/>
      </w:r>
      <w:r w:rsidRPr="00CA1A83">
        <w:t xml:space="preserve"> </w:t>
      </w:r>
      <w:r w:rsidRPr="00CA1A83">
        <w:rPr>
          <w:i/>
        </w:rPr>
        <w:t>Broadcast Actions</w:t>
      </w:r>
      <w:r w:rsidRPr="00CA1A83">
        <w:t>, Public Notice, Report No. 49040 (MB Aug. 2, 2017).</w:t>
      </w:r>
    </w:p>
  </w:footnote>
  <w:footnote w:id="14">
    <w:p w:rsidR="005D2547" w:rsidRPr="00CA1A83" w:rsidP="004901B6" w14:paraId="35A90D4F" w14:textId="77777777">
      <w:pPr>
        <w:pStyle w:val="FootnoteText"/>
        <w:spacing w:after="120"/>
      </w:pPr>
      <w:r w:rsidRPr="00CA1A83">
        <w:rPr>
          <w:rStyle w:val="FootnoteReference"/>
        </w:rPr>
        <w:footnoteRef/>
      </w:r>
      <w:r w:rsidRPr="00CA1A83">
        <w:t xml:space="preserve"> </w:t>
      </w:r>
      <w:r w:rsidRPr="00CA1A83">
        <w:rPr>
          <w:i/>
        </w:rPr>
        <w:t>Broadcast Actions</w:t>
      </w:r>
      <w:r w:rsidRPr="00CA1A83">
        <w:t>, Public Notice, Report No. 49041 (MB Aug. 3, 2017).</w:t>
      </w:r>
    </w:p>
  </w:footnote>
  <w:footnote w:id="15">
    <w:p w:rsidR="005D2547" w:rsidRPr="00CA1A83" w:rsidP="004901B6" w14:paraId="405FA6E0" w14:textId="3EE85383">
      <w:pPr>
        <w:pStyle w:val="FootnoteText"/>
        <w:spacing w:after="120"/>
      </w:pPr>
      <w:r w:rsidRPr="00CA1A83">
        <w:rPr>
          <w:rStyle w:val="FootnoteReference"/>
        </w:rPr>
        <w:footnoteRef/>
      </w:r>
      <w:r w:rsidRPr="00CA1A83">
        <w:t xml:space="preserve"> </w:t>
      </w:r>
      <w:r w:rsidRPr="00CA1A83" w:rsidR="004B42C0">
        <w:t>File No. BLFT-20170825ABG</w:t>
      </w:r>
      <w:r w:rsidR="004B42C0">
        <w:t xml:space="preserve">; </w:t>
      </w:r>
      <w:r w:rsidRPr="00CA1A83">
        <w:rPr>
          <w:i/>
        </w:rPr>
        <w:t>Broadcast Actions</w:t>
      </w:r>
      <w:r w:rsidRPr="00CA1A83">
        <w:t>, Public Notice, Report No. 49070 (MB Sept. 14, 2017).</w:t>
      </w:r>
    </w:p>
  </w:footnote>
  <w:footnote w:id="16">
    <w:p w:rsidR="005D2547" w:rsidRPr="00CA1A83" w:rsidP="004901B6" w14:paraId="3091ADFA" w14:textId="77777777">
      <w:pPr>
        <w:pStyle w:val="FootnoteText"/>
        <w:spacing w:after="120"/>
      </w:pPr>
      <w:r w:rsidRPr="00CA1A83">
        <w:rPr>
          <w:rStyle w:val="FootnoteReference"/>
        </w:rPr>
        <w:footnoteRef/>
      </w:r>
      <w:r w:rsidRPr="00CA1A83">
        <w:t xml:space="preserve"> 47 CFR § 74.1233(a) (Section 74.1233(a)) (characterizing as a major change “any change in antenna location where the station would not continue to provide 1 mV/m service to some portion of its previously authorized 1 mV/m service area”).</w:t>
      </w:r>
    </w:p>
  </w:footnote>
  <w:footnote w:id="17">
    <w:p w:rsidR="005D2547" w:rsidRPr="00CA1A83" w:rsidP="004901B6" w14:paraId="5FCC180D" w14:textId="77777777">
      <w:pPr>
        <w:pStyle w:val="FootnoteText"/>
        <w:spacing w:after="120"/>
      </w:pPr>
      <w:r w:rsidRPr="00CA1A83">
        <w:rPr>
          <w:rStyle w:val="FootnoteReference"/>
        </w:rPr>
        <w:footnoteRef/>
      </w:r>
      <w:r w:rsidRPr="00CA1A83">
        <w:t xml:space="preserve"> Informal Objection at 1-4.</w:t>
      </w:r>
    </w:p>
  </w:footnote>
  <w:footnote w:id="18">
    <w:p w:rsidR="005D2547" w:rsidRPr="00CA1A83" w:rsidP="004901B6" w14:paraId="33C38876" w14:textId="77777777">
      <w:pPr>
        <w:pStyle w:val="FootnoteText"/>
        <w:spacing w:after="120"/>
      </w:pPr>
      <w:r w:rsidRPr="00CA1A83">
        <w:rPr>
          <w:rStyle w:val="FootnoteReference"/>
        </w:rPr>
        <w:footnoteRef/>
      </w:r>
      <w:r w:rsidRPr="00CA1A83">
        <w:t xml:space="preserve"> </w:t>
      </w:r>
      <w:r w:rsidRPr="00CA1A83">
        <w:rPr>
          <w:i/>
        </w:rPr>
        <w:t>John F. Garziglia</w:t>
      </w:r>
      <w:r w:rsidRPr="00CA1A83">
        <w:t>, Letter</w:t>
      </w:r>
      <w:r w:rsidR="00235B9F">
        <w:t xml:space="preserve"> Decision</w:t>
      </w:r>
      <w:r w:rsidRPr="00CA1A83">
        <w:t xml:space="preserve">. 26 FCC </w:t>
      </w:r>
      <w:r w:rsidRPr="00CA1A83">
        <w:t>Rcd</w:t>
      </w:r>
      <w:r w:rsidRPr="00CA1A83">
        <w:t xml:space="preserve"> 12685, 12687 (MB 2011) (</w:t>
      </w:r>
      <w:r w:rsidRPr="00CA1A83">
        <w:rPr>
          <w:i/>
        </w:rPr>
        <w:t>Mattoon</w:t>
      </w:r>
      <w:r w:rsidRPr="00CA1A83">
        <w:t xml:space="preserve">) (citing </w:t>
      </w:r>
      <w:r w:rsidRPr="00CA1A83">
        <w:rPr>
          <w:i/>
        </w:rPr>
        <w:t>Broadcast Towers, Inc.</w:t>
      </w:r>
      <w:r w:rsidRPr="00CA1A83">
        <w:t xml:space="preserve">, Order, 26 FCC </w:t>
      </w:r>
      <w:r w:rsidRPr="00CA1A83">
        <w:t>Rcd</w:t>
      </w:r>
      <w:r w:rsidRPr="00CA1A83">
        <w:t xml:space="preserve"> 7681, 7684, paras. 3-5 (MB 2011) (</w:t>
      </w:r>
      <w:r w:rsidRPr="00CA1A83">
        <w:rPr>
          <w:i/>
        </w:rPr>
        <w:t>Broadcast Towers</w:t>
      </w:r>
      <w:r w:rsidRPr="00CA1A83">
        <w:t>)) (other internal citations omitted).</w:t>
      </w:r>
    </w:p>
  </w:footnote>
  <w:footnote w:id="19">
    <w:p w:rsidR="00CA1A83" w:rsidRPr="00235B9F" w:rsidP="004901B6" w14:paraId="6F56D342" w14:textId="77777777">
      <w:pPr>
        <w:pStyle w:val="FootnoteText"/>
        <w:spacing w:after="120"/>
      </w:pPr>
      <w:r>
        <w:rPr>
          <w:rStyle w:val="FootnoteReference"/>
        </w:rPr>
        <w:footnoteRef/>
      </w:r>
      <w:r>
        <w:t xml:space="preserve"> </w:t>
      </w:r>
      <w:r w:rsidR="00235B9F">
        <w:rPr>
          <w:i/>
        </w:rPr>
        <w:t>Educational Media Foundation</w:t>
      </w:r>
      <w:r w:rsidR="00235B9F">
        <w:t xml:space="preserve">, Letter Decision, 29 FCC </w:t>
      </w:r>
      <w:r w:rsidR="00235B9F">
        <w:t>Rcd</w:t>
      </w:r>
      <w:r w:rsidR="00235B9F">
        <w:t xml:space="preserve"> 15051 (2014) (</w:t>
      </w:r>
      <w:r w:rsidR="00235B9F">
        <w:rPr>
          <w:i/>
        </w:rPr>
        <w:t>EMF</w:t>
      </w:r>
      <w:r w:rsidR="00235B9F">
        <w:t xml:space="preserve">). </w:t>
      </w:r>
    </w:p>
  </w:footnote>
  <w:footnote w:id="20">
    <w:p w:rsidR="005D2547" w:rsidRPr="00CA1A83" w:rsidP="004901B6" w14:paraId="70F37440" w14:textId="77777777">
      <w:pPr>
        <w:pStyle w:val="FootnoteText"/>
        <w:spacing w:after="120"/>
      </w:pPr>
      <w:r w:rsidRPr="00CA1A83">
        <w:rPr>
          <w:rStyle w:val="FootnoteReference"/>
        </w:rPr>
        <w:footnoteRef/>
      </w:r>
      <w:r w:rsidRPr="00CA1A83">
        <w:t xml:space="preserve"> </w:t>
      </w:r>
      <w:r w:rsidRPr="00CA1A83">
        <w:rPr>
          <w:i/>
        </w:rPr>
        <w:t>Harry C. Martin</w:t>
      </w:r>
      <w:r w:rsidRPr="00CA1A83">
        <w:t xml:space="preserve">, Letter, 29 FCC </w:t>
      </w:r>
      <w:r w:rsidRPr="00CA1A83">
        <w:t>Rcd</w:t>
      </w:r>
      <w:r w:rsidRPr="00CA1A83">
        <w:t xml:space="preserve"> 12718,</w:t>
      </w:r>
      <w:r w:rsidRPr="00CA1A83">
        <w:rPr>
          <w:i/>
        </w:rPr>
        <w:t xml:space="preserve"> </w:t>
      </w:r>
      <w:r w:rsidRPr="00CA1A83">
        <w:t>12719-20 (MB 2014) (</w:t>
      </w:r>
      <w:r w:rsidRPr="00CA1A83">
        <w:rPr>
          <w:i/>
        </w:rPr>
        <w:t>Trenton</w:t>
      </w:r>
      <w:r w:rsidRPr="00CA1A83">
        <w:t>).</w:t>
      </w:r>
    </w:p>
  </w:footnote>
  <w:footnote w:id="21">
    <w:p w:rsidR="005D2547" w:rsidRPr="00CA1A83" w:rsidP="004901B6" w14:paraId="46BF9D08" w14:textId="77777777">
      <w:pPr>
        <w:pStyle w:val="FootnoteText"/>
        <w:spacing w:after="120"/>
      </w:pPr>
      <w:r w:rsidRPr="00CA1A83">
        <w:rPr>
          <w:rStyle w:val="FootnoteReference"/>
        </w:rPr>
        <w:footnoteRef/>
      </w:r>
      <w:r w:rsidRPr="00CA1A83">
        <w:t xml:space="preserve"> Opposition at 1-2.</w:t>
      </w:r>
    </w:p>
  </w:footnote>
  <w:footnote w:id="22">
    <w:p w:rsidR="005D2547" w:rsidRPr="00CA1A83" w:rsidP="004901B6" w14:paraId="3FF81765" w14:textId="77777777">
      <w:pPr>
        <w:pStyle w:val="FootnoteText"/>
        <w:spacing w:after="120"/>
      </w:pPr>
      <w:r w:rsidRPr="00CA1A83">
        <w:rPr>
          <w:rStyle w:val="FootnoteReference"/>
        </w:rPr>
        <w:footnoteRef/>
      </w:r>
      <w:r w:rsidRPr="00CA1A83">
        <w:t xml:space="preserve"> Opposition at 2.</w:t>
      </w:r>
    </w:p>
  </w:footnote>
  <w:footnote w:id="23">
    <w:p w:rsidR="005D2547" w:rsidRPr="00CA1A83" w:rsidP="004901B6" w14:paraId="2BA64F37" w14:textId="77777777">
      <w:pPr>
        <w:pStyle w:val="FootnoteText"/>
        <w:spacing w:after="120"/>
      </w:pPr>
      <w:r w:rsidRPr="00CA1A83">
        <w:rPr>
          <w:rStyle w:val="FootnoteReference"/>
        </w:rPr>
        <w:footnoteRef/>
      </w:r>
      <w:r w:rsidRPr="00CA1A83">
        <w:t xml:space="preserve"> Opposition at 1-2.</w:t>
      </w:r>
    </w:p>
  </w:footnote>
  <w:footnote w:id="24">
    <w:p w:rsidR="005D2547" w:rsidRPr="00CA1A83" w:rsidP="004901B6" w14:paraId="2639BC6F" w14:textId="77777777">
      <w:pPr>
        <w:pStyle w:val="FootnoteText"/>
        <w:spacing w:after="120"/>
      </w:pPr>
      <w:r w:rsidRPr="00CA1A83">
        <w:rPr>
          <w:rStyle w:val="FootnoteReference"/>
        </w:rPr>
        <w:footnoteRef/>
      </w:r>
      <w:r w:rsidRPr="00CA1A83">
        <w:t xml:space="preserve"> 47 CFR § 73.3587.</w:t>
      </w:r>
    </w:p>
  </w:footnote>
  <w:footnote w:id="25">
    <w:p w:rsidR="005D2547" w:rsidRPr="00CA1A83" w:rsidP="004901B6" w14:paraId="0FFEC4CB" w14:textId="77777777">
      <w:pPr>
        <w:pStyle w:val="FootnoteText"/>
        <w:spacing w:after="120"/>
      </w:pPr>
      <w:r w:rsidRPr="00CA1A83">
        <w:rPr>
          <w:rStyle w:val="FootnoteReference"/>
        </w:rPr>
        <w:footnoteRef/>
      </w:r>
      <w:r w:rsidRPr="00CA1A83">
        <w:t xml:space="preserve"> </w:t>
      </w:r>
      <w:r w:rsidRPr="00CA1A83">
        <w:rPr>
          <w:i/>
        </w:rPr>
        <w:t>See, e.g., WWOR-TV, Inc.,</w:t>
      </w:r>
      <w:r w:rsidRPr="00CA1A83">
        <w:t xml:space="preserve"> Memorandum Opinion and Order, 6 FCC </w:t>
      </w:r>
      <w:r w:rsidRPr="00CA1A83">
        <w:t>Rcd</w:t>
      </w:r>
      <w:r w:rsidRPr="00CA1A83">
        <w:t xml:space="preserve"> 193, 197 n.10 (1990); </w:t>
      </w:r>
      <w:r w:rsidRPr="00CA1A83">
        <w:rPr>
          <w:i/>
        </w:rPr>
        <w:t>Area Christian Television, Inc.</w:t>
      </w:r>
      <w:r w:rsidRPr="00CA1A83">
        <w:t>, Memorandum Opinion and Order, 60 RR 2d 862, 864 (1986).</w:t>
      </w:r>
    </w:p>
  </w:footnote>
  <w:footnote w:id="26">
    <w:p w:rsidR="005D2547" w:rsidRPr="00CA1A83" w:rsidP="004901B6" w14:paraId="3BD06AC0" w14:textId="77777777">
      <w:pPr>
        <w:pStyle w:val="FootnoteText"/>
        <w:spacing w:after="120"/>
      </w:pPr>
      <w:r w:rsidRPr="00CA1A83">
        <w:rPr>
          <w:rStyle w:val="FootnoteReference"/>
        </w:rPr>
        <w:footnoteRef/>
      </w:r>
      <w:r w:rsidRPr="00CA1A83">
        <w:t xml:space="preserve"> </w:t>
      </w:r>
      <w:r w:rsidRPr="00CA1A83">
        <w:rPr>
          <w:rStyle w:val="Emphasis"/>
        </w:rPr>
        <w:t>See, e.g., Chapin Enterprises, LLC</w:t>
      </w:r>
      <w:r w:rsidRPr="00CA1A83">
        <w:rPr>
          <w:rStyle w:val="Emphasis"/>
          <w:i w:val="0"/>
        </w:rPr>
        <w:t xml:space="preserve">, </w:t>
      </w:r>
      <w:r w:rsidRPr="00CA1A83">
        <w:t xml:space="preserve">Memorandum Opinion and Order, 29 FCC </w:t>
      </w:r>
      <w:r w:rsidRPr="00CA1A83">
        <w:t>Rcd</w:t>
      </w:r>
      <w:r w:rsidRPr="00CA1A83">
        <w:t xml:space="preserve"> 4250, 4251 (2014).</w:t>
      </w:r>
    </w:p>
  </w:footnote>
  <w:footnote w:id="27">
    <w:p w:rsidR="005D2547" w:rsidRPr="00CA1A83" w:rsidP="004901B6" w14:paraId="459C1AC5" w14:textId="77777777">
      <w:pPr>
        <w:pStyle w:val="FootnoteText"/>
        <w:spacing w:after="120"/>
      </w:pPr>
      <w:r w:rsidRPr="00CA1A83">
        <w:rPr>
          <w:rStyle w:val="FootnoteReference"/>
        </w:rPr>
        <w:footnoteRef/>
      </w:r>
      <w:r w:rsidRPr="00CA1A83">
        <w:t xml:space="preserve"> </w:t>
      </w:r>
      <w:r w:rsidRPr="00CA1A83">
        <w:rPr>
          <w:i/>
        </w:rPr>
        <w:t>See, e.g., Urban Radio I, LLC, et al.</w:t>
      </w:r>
      <w:r w:rsidRPr="00CA1A83">
        <w:t xml:space="preserve">, Memorandum Opinion and Order, 29 FC </w:t>
      </w:r>
      <w:r w:rsidRPr="00CA1A83">
        <w:t>Rcd</w:t>
      </w:r>
      <w:r w:rsidRPr="00CA1A83">
        <w:t xml:space="preserve"> 6389, 6390, para. 2 (2014) (“In the </w:t>
      </w:r>
      <w:r w:rsidRPr="00CA1A83">
        <w:rPr>
          <w:rStyle w:val="cosearchterm"/>
        </w:rPr>
        <w:t>broadcast</w:t>
      </w:r>
      <w:r w:rsidRPr="00CA1A83">
        <w:t xml:space="preserve"> regulatory </w:t>
      </w:r>
      <w:r w:rsidRPr="00CA1A83">
        <w:rPr>
          <w:rStyle w:val="cosearchterm"/>
        </w:rPr>
        <w:t>context</w:t>
      </w:r>
      <w:r w:rsidRPr="00CA1A83">
        <w:t xml:space="preserve">, </w:t>
      </w:r>
      <w:r w:rsidRPr="00CA1A83">
        <w:rPr>
          <w:rStyle w:val="cosearchterm"/>
        </w:rPr>
        <w:t>standing</w:t>
      </w:r>
      <w:r w:rsidRPr="00CA1A83">
        <w:t xml:space="preserve"> is generally obtained in one of three ways: (1) as a competitor in the market suffering signal interference; (2) as a competitor in the market suffering economic harm; or (3) as a resident of the station's service area or regular listener of the station.”).</w:t>
      </w:r>
    </w:p>
  </w:footnote>
  <w:footnote w:id="28">
    <w:p w:rsidR="005D2547" w:rsidRPr="00CA1A83" w:rsidP="004901B6" w14:paraId="10BBDB4D" w14:textId="77777777">
      <w:pPr>
        <w:pStyle w:val="FootnoteText"/>
        <w:spacing w:after="120"/>
      </w:pPr>
      <w:r w:rsidRPr="00CA1A83">
        <w:rPr>
          <w:rStyle w:val="FootnoteReference"/>
        </w:rPr>
        <w:footnoteRef/>
      </w:r>
      <w:r w:rsidRPr="00CA1A83">
        <w:t xml:space="preserve"> </w:t>
      </w:r>
      <w:r w:rsidRPr="00CA1A83">
        <w:rPr>
          <w:i/>
        </w:rPr>
        <w:t>Mattoon</w:t>
      </w:r>
      <w:r w:rsidRPr="00CA1A83">
        <w:t xml:space="preserve">, 26 FCC </w:t>
      </w:r>
      <w:r w:rsidRPr="00CA1A83">
        <w:t>Rcd</w:t>
      </w:r>
      <w:r w:rsidRPr="00CA1A83">
        <w:t xml:space="preserve"> at 12687</w:t>
      </w:r>
      <w:r w:rsidR="00235B9F">
        <w:t xml:space="preserve">; </w:t>
      </w:r>
      <w:r w:rsidRPr="00CA1A83" w:rsidR="00235B9F">
        <w:rPr>
          <w:i/>
        </w:rPr>
        <w:t>Broadcast Towers</w:t>
      </w:r>
      <w:r w:rsidRPr="00CA1A83" w:rsidR="00235B9F">
        <w:t xml:space="preserve">, 26 FCC </w:t>
      </w:r>
      <w:r w:rsidRPr="00CA1A83" w:rsidR="00235B9F">
        <w:t>Rcd</w:t>
      </w:r>
      <w:r w:rsidRPr="00CA1A83" w:rsidR="00235B9F">
        <w:t xml:space="preserve"> </w:t>
      </w:r>
      <w:r w:rsidR="00235B9F">
        <w:t>at</w:t>
      </w:r>
      <w:r w:rsidRPr="00CA1A83" w:rsidR="00235B9F">
        <w:t xml:space="preserve"> 7684, para. </w:t>
      </w:r>
      <w:r w:rsidR="007630A2">
        <w:t>2(m)</w:t>
      </w:r>
      <w:r w:rsidRPr="00CA1A83">
        <w:t>.</w:t>
      </w:r>
    </w:p>
  </w:footnote>
  <w:footnote w:id="29">
    <w:p w:rsidR="005D2547" w:rsidRPr="00CA1A83" w:rsidP="004901B6" w14:paraId="11D8C363" w14:textId="77777777">
      <w:pPr>
        <w:pStyle w:val="FootnoteText"/>
        <w:spacing w:after="120"/>
      </w:pPr>
      <w:r w:rsidRPr="00CA1A83">
        <w:rPr>
          <w:rStyle w:val="FootnoteReference"/>
        </w:rPr>
        <w:footnoteRef/>
      </w:r>
      <w:r w:rsidRPr="00CA1A83">
        <w:t xml:space="preserve"> </w:t>
      </w:r>
      <w:r w:rsidRPr="00CA1A83">
        <w:rPr>
          <w:i/>
        </w:rPr>
        <w:t>Formulation of Policies and Rules Relating to Broadcast Renewal Applicants, Competing Applicants, and other Participants in the Comparative Renewal Process and to the Prevention of Abuses of the Renewal Process</w:t>
      </w:r>
      <w:r w:rsidRPr="00CA1A83">
        <w:t xml:space="preserve">, First Report and Order, 4 FCC </w:t>
      </w:r>
      <w:r w:rsidRPr="00CA1A83">
        <w:t>Rcd</w:t>
      </w:r>
      <w:r w:rsidRPr="00CA1A83">
        <w:t xml:space="preserve"> 4780, 4780, para. 2, n.3 (1989). </w:t>
      </w:r>
    </w:p>
  </w:footnote>
  <w:footnote w:id="30">
    <w:p w:rsidR="005D2547" w:rsidRPr="00CA1A83" w:rsidP="004901B6" w14:paraId="43CC5919" w14:textId="77777777">
      <w:pPr>
        <w:pStyle w:val="FootnoteText"/>
        <w:spacing w:after="120"/>
      </w:pPr>
      <w:r w:rsidRPr="00CA1A83">
        <w:rPr>
          <w:rStyle w:val="FootnoteReference"/>
        </w:rPr>
        <w:footnoteRef/>
      </w:r>
      <w:r w:rsidRPr="00CA1A83">
        <w:t xml:space="preserve"> </w:t>
      </w:r>
      <w:r w:rsidRPr="00CA1A83">
        <w:rPr>
          <w:i/>
        </w:rPr>
        <w:t>TRMR, Inc.</w:t>
      </w:r>
      <w:r w:rsidRPr="00CA1A83">
        <w:t xml:space="preserve">, Memorandum Opinion and Order, 11 FCC </w:t>
      </w:r>
      <w:r w:rsidRPr="00CA1A83">
        <w:t>Rcd</w:t>
      </w:r>
      <w:r w:rsidRPr="00CA1A83">
        <w:t xml:space="preserve"> 17081, 17087, para. 10 (1996).</w:t>
      </w:r>
    </w:p>
  </w:footnote>
  <w:footnote w:id="31">
    <w:p w:rsidR="007D0F5C" w:rsidRPr="00CA1A83" w:rsidP="004901B6" w14:paraId="1182ED66" w14:textId="77777777">
      <w:pPr>
        <w:pStyle w:val="FootnoteText"/>
        <w:spacing w:after="120"/>
      </w:pPr>
      <w:r w:rsidRPr="00CA1A83">
        <w:rPr>
          <w:rStyle w:val="FootnoteReference"/>
        </w:rPr>
        <w:footnoteRef/>
      </w:r>
      <w:r w:rsidRPr="00CA1A83">
        <w:t xml:space="preserve"> </w:t>
      </w:r>
      <w:r w:rsidRPr="00CA1A83">
        <w:rPr>
          <w:i/>
        </w:rPr>
        <w:t xml:space="preserve">See, e.g., Radio Carrollton, et al., </w:t>
      </w:r>
      <w:r w:rsidRPr="00CA1A83">
        <w:t>69 FCC 2d 1139, 1150 (1978).</w:t>
      </w:r>
    </w:p>
  </w:footnote>
  <w:footnote w:id="32">
    <w:p w:rsidR="007D0F5C" w:rsidRPr="00CA1A83" w:rsidP="004901B6" w14:paraId="66DA294F" w14:textId="77777777">
      <w:pPr>
        <w:pStyle w:val="FootnoteText"/>
        <w:spacing w:after="120"/>
      </w:pPr>
      <w:r w:rsidRPr="00CA1A83">
        <w:rPr>
          <w:rStyle w:val="FootnoteReference"/>
        </w:rPr>
        <w:footnoteRef/>
      </w:r>
      <w:r w:rsidRPr="00CA1A83">
        <w:t xml:space="preserve"> </w:t>
      </w:r>
      <w:r w:rsidRPr="00CA1A83">
        <w:rPr>
          <w:i/>
        </w:rPr>
        <w:t>See, e.g., Lincoln, Missouri</w:t>
      </w:r>
      <w:r w:rsidRPr="00CA1A83">
        <w:t xml:space="preserve">, Memorandum Opinion and Order, 17 FCC </w:t>
      </w:r>
      <w:r w:rsidRPr="00CA1A83">
        <w:t>Rcd</w:t>
      </w:r>
      <w:r w:rsidRPr="00CA1A83">
        <w:t xml:space="preserve"> 6119, 6122, para. 11 (2002).</w:t>
      </w:r>
    </w:p>
  </w:footnote>
  <w:footnote w:id="33">
    <w:p w:rsidR="007D0F5C" w:rsidRPr="00CA1A83" w:rsidP="004901B6" w14:paraId="5A6FB1EF" w14:textId="77777777">
      <w:pPr>
        <w:pStyle w:val="FootnoteText"/>
        <w:spacing w:after="120"/>
      </w:pPr>
      <w:r w:rsidRPr="00CA1A83">
        <w:rPr>
          <w:rStyle w:val="FootnoteReference"/>
        </w:rPr>
        <w:footnoteRef/>
      </w:r>
      <w:r w:rsidRPr="00CA1A83">
        <w:t xml:space="preserve"> </w:t>
      </w:r>
      <w:r w:rsidRPr="00CA1A83">
        <w:rPr>
          <w:i/>
        </w:rPr>
        <w:t>Mattoon</w:t>
      </w:r>
      <w:r w:rsidRPr="00CA1A83">
        <w:t xml:space="preserve">, 26 FCC </w:t>
      </w:r>
      <w:r w:rsidRPr="00CA1A83">
        <w:t>Rcd</w:t>
      </w:r>
      <w:r w:rsidRPr="00CA1A83">
        <w:t xml:space="preserve"> at 12687.</w:t>
      </w:r>
    </w:p>
  </w:footnote>
  <w:footnote w:id="34">
    <w:p w:rsidR="00D13D56" w:rsidRPr="00CA1A83" w:rsidP="004901B6" w14:paraId="0A0A0FCB" w14:textId="77777777">
      <w:pPr>
        <w:pStyle w:val="FootnoteText"/>
        <w:spacing w:after="120"/>
        <w:rPr>
          <w:i/>
        </w:rPr>
      </w:pPr>
      <w:r w:rsidRPr="00CA1A83">
        <w:rPr>
          <w:rStyle w:val="FootnoteReference"/>
        </w:rPr>
        <w:footnoteRef/>
      </w:r>
      <w:r w:rsidRPr="00CA1A83">
        <w:t xml:space="preserve"> </w:t>
      </w:r>
      <w:r w:rsidRPr="00CA1A83">
        <w:rPr>
          <w:i/>
        </w:rPr>
        <w:t>See, WAIT Radio v. FCC</w:t>
      </w:r>
      <w:r w:rsidRPr="00CA1A83">
        <w:t xml:space="preserve">, 418 F.2d 1153, 1157 (D.C. Cir. 1969); </w:t>
      </w:r>
      <w:r w:rsidRPr="00CA1A83">
        <w:rPr>
          <w:i/>
        </w:rPr>
        <w:t>Greater Media Radio Co., Inc</w:t>
      </w:r>
      <w:r w:rsidRPr="00CA1A83">
        <w:t xml:space="preserve">., Memorandum Opinion and Order, 15 FCC </w:t>
      </w:r>
      <w:r w:rsidRPr="00CA1A83">
        <w:t>Rcd</w:t>
      </w:r>
      <w:r w:rsidRPr="00CA1A83">
        <w:t xml:space="preserve"> 7090 (1999) (</w:t>
      </w:r>
      <w:r w:rsidRPr="00CA1A83">
        <w:rPr>
          <w:i/>
        </w:rPr>
        <w:t>citing Stoner Broadcasting System, Inc.</w:t>
      </w:r>
      <w:r w:rsidRPr="00CA1A83">
        <w:t xml:space="preserve">, Memorandum Opinion and Order, 49 FCC 2d 1011, 1012 (1974)).  </w:t>
      </w:r>
    </w:p>
  </w:footnote>
  <w:footnote w:id="35">
    <w:p w:rsidR="00A979B1" w:rsidRPr="00CA1A83" w:rsidP="004901B6" w14:paraId="3F0C9CC9" w14:textId="77777777">
      <w:pPr>
        <w:pStyle w:val="FootnoteText"/>
        <w:spacing w:after="120"/>
      </w:pPr>
      <w:r w:rsidRPr="00CA1A83">
        <w:rPr>
          <w:rStyle w:val="FootnoteReference"/>
        </w:rPr>
        <w:footnoteRef/>
      </w:r>
      <w:r w:rsidRPr="00CA1A83">
        <w:t xml:space="preserve"> </w:t>
      </w:r>
      <w:r w:rsidRPr="00CA1A83">
        <w:rPr>
          <w:i/>
        </w:rPr>
        <w:t>NetworkIP</w:t>
      </w:r>
      <w:r w:rsidRPr="00CA1A83">
        <w:rPr>
          <w:i/>
        </w:rPr>
        <w:t>, LLC v. FCC</w:t>
      </w:r>
      <w:r w:rsidRPr="00CA1A83">
        <w:t xml:space="preserve">, 548 F.3d 116, 125-128 (D.C. Cir. 2008) (citing </w:t>
      </w:r>
      <w:r w:rsidRPr="00CA1A83">
        <w:rPr>
          <w:i/>
        </w:rPr>
        <w:t>Northeast Cellular Telephone Co</w:t>
      </w:r>
      <w:r w:rsidRPr="00CA1A83">
        <w:t>., 897 F.2d 1164, 1166 (1990)).</w:t>
      </w:r>
    </w:p>
  </w:footnote>
  <w:footnote w:id="36">
    <w:p w:rsidR="007D0F5C" w:rsidRPr="00CA1A83" w:rsidP="004901B6" w14:paraId="61E7B424" w14:textId="77777777">
      <w:pPr>
        <w:pStyle w:val="FootnoteText"/>
        <w:spacing w:after="120"/>
      </w:pPr>
      <w:r w:rsidRPr="00CA1A83">
        <w:rPr>
          <w:rStyle w:val="FootnoteReference"/>
        </w:rPr>
        <w:footnoteRef/>
      </w:r>
      <w:r w:rsidRPr="00CA1A83">
        <w:t xml:space="preserve"> </w:t>
      </w:r>
      <w:r w:rsidRPr="00CA1A83">
        <w:rPr>
          <w:i/>
        </w:rPr>
        <w:t>Broadcast Towers</w:t>
      </w:r>
      <w:r w:rsidRPr="00CA1A83">
        <w:t xml:space="preserve">, 26 FCC </w:t>
      </w:r>
      <w:r w:rsidRPr="00CA1A83">
        <w:t>Rcd</w:t>
      </w:r>
      <w:r w:rsidRPr="00CA1A83">
        <w:t xml:space="preserve"> at 7684, para. 2(m).</w:t>
      </w:r>
    </w:p>
  </w:footnote>
  <w:footnote w:id="37">
    <w:p w:rsidR="003C15D9" w:rsidRPr="00CA1A83" w:rsidP="004901B6" w14:paraId="10F6C337" w14:textId="77777777">
      <w:pPr>
        <w:pStyle w:val="FootnoteText"/>
        <w:spacing w:after="120"/>
      </w:pPr>
      <w:r w:rsidRPr="00CA1A83">
        <w:rPr>
          <w:rStyle w:val="FootnoteReference"/>
        </w:rPr>
        <w:footnoteRef/>
      </w:r>
      <w:r w:rsidRPr="00CA1A83">
        <w:t xml:space="preserve"> </w:t>
      </w:r>
      <w:r w:rsidRPr="00CA1A83">
        <w:rPr>
          <w:i/>
        </w:rPr>
        <w:t>Gary S. Smithwick, Esq.</w:t>
      </w:r>
      <w:r w:rsidRPr="00CA1A83">
        <w:t xml:space="preserve">, Letter Decision, 28 FCC </w:t>
      </w:r>
      <w:r w:rsidRPr="00CA1A83">
        <w:t>Rcd</w:t>
      </w:r>
      <w:r w:rsidRPr="00CA1A83">
        <w:t xml:space="preserve"> 15494, 15497-98 (MB 2013) (</w:t>
      </w:r>
      <w:r w:rsidRPr="00CA1A83">
        <w:rPr>
          <w:i/>
        </w:rPr>
        <w:t>Branchport</w:t>
      </w:r>
      <w:r w:rsidRPr="00CA1A83">
        <w:t>) (</w:t>
      </w:r>
      <w:r w:rsidR="00BF2517">
        <w:t xml:space="preserve">internal </w:t>
      </w:r>
      <w:r w:rsidRPr="00CA1A83">
        <w:t>citations omitted)</w:t>
      </w:r>
      <w:r w:rsidR="00BB5D18">
        <w:t xml:space="preserve"> (citing </w:t>
      </w:r>
      <w:r w:rsidR="00BB5D18">
        <w:rPr>
          <w:i/>
        </w:rPr>
        <w:t>Ashbacker</w:t>
      </w:r>
      <w:r w:rsidR="00BB5D18">
        <w:rPr>
          <w:i/>
        </w:rPr>
        <w:t xml:space="preserve"> Radio Corp. v. FCC</w:t>
      </w:r>
      <w:r w:rsidR="00BB5D18">
        <w:t>, 326 U.S. 327 (1945) (</w:t>
      </w:r>
      <w:r w:rsidR="00BB5D18">
        <w:rPr>
          <w:i/>
        </w:rPr>
        <w:t>Ashbacker</w:t>
      </w:r>
      <w:r w:rsidR="00BB5D18">
        <w:t>))</w:t>
      </w:r>
      <w:r w:rsidRPr="00CA1A83">
        <w:t>.</w:t>
      </w:r>
    </w:p>
  </w:footnote>
  <w:footnote w:id="38">
    <w:p w:rsidR="00DE0CC6" w:rsidRPr="00CA1A83" w:rsidP="004901B6" w14:paraId="65ABCB4D" w14:textId="77777777">
      <w:pPr>
        <w:pStyle w:val="FootnoteText"/>
        <w:spacing w:after="120"/>
        <w:rPr>
          <w:i/>
        </w:rPr>
      </w:pPr>
      <w:r w:rsidRPr="00CA1A83">
        <w:rPr>
          <w:rStyle w:val="FootnoteReference"/>
        </w:rPr>
        <w:footnoteRef/>
      </w:r>
      <w:r w:rsidRPr="00CA1A83">
        <w:t xml:space="preserve"> </w:t>
      </w:r>
      <w:r w:rsidRPr="00CA1A83">
        <w:rPr>
          <w:i/>
        </w:rPr>
        <w:t>See, e.g., John C. Trent, Esq.</w:t>
      </w:r>
      <w:r w:rsidRPr="00CA1A83">
        <w:t xml:space="preserve">, Letter, Ref. No. 1800B3-MM, File No. BPFT-20110829AAU (MB Oct. 29, 2015) (rejecting an abuse of process argument where the translator </w:t>
      </w:r>
      <w:r w:rsidRPr="00CA1A83" w:rsidR="00C26DA5">
        <w:t>filed a modification application because of inter</w:t>
      </w:r>
      <w:r w:rsidRPr="00CA1A83">
        <w:t>ference to a co-channel station).</w:t>
      </w:r>
    </w:p>
  </w:footnote>
  <w:footnote w:id="39">
    <w:p w:rsidR="00667336" w:rsidRPr="00CA1A83" w:rsidP="004901B6" w14:paraId="0AA33D44" w14:textId="5436026B">
      <w:pPr>
        <w:pStyle w:val="FootnoteText"/>
        <w:spacing w:after="120"/>
      </w:pPr>
      <w:r w:rsidRPr="00CA1A83">
        <w:rPr>
          <w:rStyle w:val="FootnoteReference"/>
        </w:rPr>
        <w:footnoteRef/>
      </w:r>
      <w:r w:rsidRPr="00CA1A83">
        <w:t xml:space="preserve"> </w:t>
      </w:r>
      <w:r w:rsidRPr="00CA1A83">
        <w:rPr>
          <w:i/>
        </w:rPr>
        <w:t>Formulation of Policies and Rules Relating to Broadcast Renewal Applicants, Competing Applicants, and other Participants in the Comparative Renewal Process and to the Prevention of Abuses of the Renewal Process</w:t>
      </w:r>
      <w:r w:rsidRPr="00CA1A83">
        <w:t xml:space="preserve">, Memorandum Opinion and Order, 5 FCC </w:t>
      </w:r>
      <w:r w:rsidRPr="00CA1A83">
        <w:t>Rcd</w:t>
      </w:r>
      <w:r w:rsidRPr="00CA1A83">
        <w:t xml:space="preserve"> 3902, 3902-3, para. </w:t>
      </w:r>
      <w:r w:rsidR="00146AD0">
        <w:t>9</w:t>
      </w:r>
      <w:r w:rsidRPr="00CA1A83">
        <w:t xml:space="preserve"> (1990). </w:t>
      </w:r>
    </w:p>
  </w:footnote>
  <w:footnote w:id="40">
    <w:p w:rsidR="00667336" w:rsidRPr="00CA1A83" w:rsidP="004901B6" w14:paraId="33720995" w14:textId="77777777">
      <w:pPr>
        <w:pStyle w:val="FootnoteText"/>
        <w:spacing w:after="120"/>
      </w:pPr>
      <w:r w:rsidRPr="00CA1A83">
        <w:rPr>
          <w:rStyle w:val="FootnoteReference"/>
        </w:rPr>
        <w:footnoteRef/>
      </w:r>
      <w:r w:rsidRPr="00CA1A83">
        <w:t xml:space="preserve"> </w:t>
      </w:r>
      <w:r w:rsidRPr="00CA1A83">
        <w:rPr>
          <w:i/>
        </w:rPr>
        <w:t>WWOR-TV, Inc.</w:t>
      </w:r>
      <w:r w:rsidRPr="00CA1A83">
        <w:t xml:space="preserve">, Decision, 7 FCC </w:t>
      </w:r>
      <w:r w:rsidRPr="00CA1A83">
        <w:t>Rcd</w:t>
      </w:r>
      <w:r w:rsidRPr="00CA1A83">
        <w:t xml:space="preserve"> 636, 638, para. 25 (1998).</w:t>
      </w:r>
    </w:p>
  </w:footnote>
  <w:footnote w:id="41">
    <w:p w:rsidR="00C26DA5" w:rsidRPr="00CA1A83" w:rsidP="004901B6" w14:paraId="38E67597" w14:textId="77777777">
      <w:pPr>
        <w:pStyle w:val="FootnoteText"/>
        <w:spacing w:after="120"/>
      </w:pPr>
      <w:r w:rsidRPr="00CA1A83">
        <w:rPr>
          <w:rStyle w:val="FootnoteReference"/>
        </w:rPr>
        <w:footnoteRef/>
      </w:r>
      <w:r w:rsidRPr="00CA1A83">
        <w:t xml:space="preserve"> </w:t>
      </w:r>
      <w:r w:rsidRPr="00CA1A83">
        <w:rPr>
          <w:i/>
        </w:rPr>
        <w:t>Broadcast Towers</w:t>
      </w:r>
      <w:r w:rsidRPr="00CA1A83">
        <w:t xml:space="preserve">, 26 FCC </w:t>
      </w:r>
      <w:r w:rsidRPr="00CA1A83">
        <w:t>Rcd</w:t>
      </w:r>
      <w:r w:rsidRPr="00CA1A83">
        <w:t xml:space="preserve"> at 7684, 7686, paras. 4, 15</w:t>
      </w:r>
      <w:r w:rsidRPr="00CA1A83" w:rsidR="00FE331D">
        <w:t xml:space="preserve">; </w:t>
      </w:r>
      <w:r w:rsidRPr="00CA1A83" w:rsidR="00FE331D">
        <w:rPr>
          <w:i/>
        </w:rPr>
        <w:t>Matinee Media Corporation</w:t>
      </w:r>
      <w:r w:rsidRPr="00CA1A83" w:rsidR="00FE331D">
        <w:t xml:space="preserve">, Letter, 33 FCC </w:t>
      </w:r>
      <w:r w:rsidRPr="00CA1A83" w:rsidR="00FE331D">
        <w:t>Rcd</w:t>
      </w:r>
      <w:r w:rsidRPr="00CA1A83" w:rsidR="00FE331D">
        <w:t xml:space="preserve"> 6685, 6690 (MB 2018)</w:t>
      </w:r>
      <w:r w:rsidR="005B7F36">
        <w:t xml:space="preserve"> (</w:t>
      </w:r>
      <w:r w:rsidR="005B7F36">
        <w:rPr>
          <w:i/>
        </w:rPr>
        <w:t>Matinee</w:t>
      </w:r>
      <w:r w:rsidR="005B7F36">
        <w:t>)</w:t>
      </w:r>
      <w:r w:rsidRPr="00CA1A83" w:rsidR="00FE331D">
        <w:t xml:space="preserve"> (“Each case [finding temporary construction] relied on facts indicating that long-term operation using the constructed facility would be impossible or very unlikely, such as physical limitations on the durability of the equipment (e.g., an antenna mounted on a vehicle) and/or legal limitations on operating a broadcast facility at the relevant site (e.g., failure to obtain permission from the landowner). Just as significantly, in each case, the temporary facilities were dismantled soon after construction.”).</w:t>
      </w:r>
    </w:p>
  </w:footnote>
  <w:footnote w:id="42">
    <w:p w:rsidR="00E00D1B" w:rsidRPr="00CA1A83" w:rsidP="004901B6" w14:paraId="7C3A013C" w14:textId="77777777">
      <w:pPr>
        <w:pStyle w:val="FootnoteText"/>
        <w:spacing w:after="120"/>
      </w:pPr>
      <w:r w:rsidRPr="00CA1A83">
        <w:rPr>
          <w:rStyle w:val="FootnoteReference"/>
        </w:rPr>
        <w:footnoteRef/>
      </w:r>
      <w:r w:rsidRPr="00CA1A83">
        <w:t xml:space="preserve"> </w:t>
      </w:r>
      <w:r w:rsidRPr="00CA1A83">
        <w:rPr>
          <w:i/>
        </w:rPr>
        <w:t xml:space="preserve">Broadcast Towers, </w:t>
      </w:r>
      <w:r w:rsidRPr="00CA1A83">
        <w:t xml:space="preserve">Order, 26 FCC </w:t>
      </w:r>
      <w:r w:rsidRPr="00CA1A83">
        <w:t>Rcd</w:t>
      </w:r>
      <w:r w:rsidRPr="00CA1A83">
        <w:t xml:space="preserve"> </w:t>
      </w:r>
      <w:r w:rsidRPr="00CA1A83" w:rsidR="00C26DA5">
        <w:t>at</w:t>
      </w:r>
      <w:r w:rsidRPr="00CA1A83">
        <w:t xml:space="preserve"> </w:t>
      </w:r>
      <w:r w:rsidRPr="00CA1A83" w:rsidR="00C26DA5">
        <w:t>7684, paras 4-5</w:t>
      </w:r>
      <w:r w:rsidRPr="00CA1A83">
        <w:t>.</w:t>
      </w:r>
    </w:p>
  </w:footnote>
  <w:footnote w:id="43">
    <w:p w:rsidR="00057B76" w:rsidRPr="002727F4" w14:paraId="711CD2CD" w14:textId="7196FC49">
      <w:pPr>
        <w:pStyle w:val="FootnoteText"/>
      </w:pPr>
      <w:r>
        <w:rPr>
          <w:rStyle w:val="FootnoteReference"/>
        </w:rPr>
        <w:footnoteRef/>
      </w:r>
      <w:r>
        <w:t xml:space="preserve"> </w:t>
      </w:r>
      <w:r w:rsidR="008C0DF5">
        <w:t>For example, in some instances,</w:t>
      </w:r>
      <w:r w:rsidR="000A2DE5">
        <w:t xml:space="preserve"> a licensing condition creates a presumption of temporary construction if the station goes silent during the first year of licensing.  </w:t>
      </w:r>
      <w:r w:rsidR="000A2DE5">
        <w:rPr>
          <w:i/>
        </w:rPr>
        <w:t xml:space="preserve">See Mr. Cliff </w:t>
      </w:r>
      <w:r w:rsidR="000A2DE5">
        <w:rPr>
          <w:i/>
        </w:rPr>
        <w:t>Topp</w:t>
      </w:r>
      <w:r w:rsidR="000A2DE5">
        <w:t>, Letter, Ref</w:t>
      </w:r>
      <w:r w:rsidR="008C0DF5">
        <w:t>.</w:t>
      </w:r>
      <w:r w:rsidR="000A2DE5">
        <w:t xml:space="preserve"> No. 1800B3-VM, File No. BLSTA-20151119AZY (MB Mar. 15, 2016); </w:t>
      </w:r>
      <w:r w:rsidR="002727F4">
        <w:rPr>
          <w:i/>
        </w:rPr>
        <w:t>Jeffrey L. Timmons, Esq.</w:t>
      </w:r>
      <w:r w:rsidR="002727F4">
        <w:t>, Letter,</w:t>
      </w:r>
      <w:r w:rsidR="008C0DF5">
        <w:t xml:space="preserve"> Ref. No. 1800B3-CEG, File No. BLH-20171226AAM (MB Oct. 17, 2018). </w:t>
      </w:r>
    </w:p>
  </w:footnote>
  <w:footnote w:id="44">
    <w:p w:rsidR="007167F3" w:rsidRPr="00CA1A83" w:rsidP="004901B6" w14:paraId="584E63C4" w14:textId="77777777">
      <w:pPr>
        <w:pStyle w:val="FootnoteText"/>
        <w:spacing w:after="120"/>
        <w:rPr>
          <w:i/>
        </w:rPr>
      </w:pPr>
      <w:r w:rsidRPr="00CA1A83">
        <w:rPr>
          <w:rStyle w:val="FootnoteReference"/>
        </w:rPr>
        <w:footnoteRef/>
      </w:r>
      <w:r w:rsidRPr="00CA1A83">
        <w:t xml:space="preserve"> </w:t>
      </w:r>
      <w:r w:rsidRPr="00CA1A83">
        <w:rPr>
          <w:i/>
        </w:rPr>
        <w:t>See, e.g., Matinee</w:t>
      </w:r>
      <w:r w:rsidRPr="00CA1A83">
        <w:t xml:space="preserve">, 33 FCC </w:t>
      </w:r>
      <w:r w:rsidRPr="00CA1A83">
        <w:t>Rcd</w:t>
      </w:r>
      <w:r w:rsidRPr="00CA1A83">
        <w:t xml:space="preserve"> </w:t>
      </w:r>
      <w:r w:rsidR="005B7F36">
        <w:t>at</w:t>
      </w:r>
      <w:r w:rsidRPr="00CA1A83">
        <w:t xml:space="preserve"> 6690.</w:t>
      </w:r>
    </w:p>
  </w:footnote>
  <w:footnote w:id="45">
    <w:p w:rsidR="00625202" w:rsidRPr="00625202" w:rsidP="004901B6" w14:paraId="5256318A" w14:textId="77777777">
      <w:pPr>
        <w:pStyle w:val="FootnoteText"/>
        <w:spacing w:after="120"/>
      </w:pPr>
      <w:r>
        <w:rPr>
          <w:rStyle w:val="FootnoteReference"/>
        </w:rPr>
        <w:footnoteRef/>
      </w:r>
      <w:r>
        <w:t xml:space="preserve"> </w:t>
      </w:r>
      <w:r>
        <w:rPr>
          <w:i/>
        </w:rPr>
        <w:t xml:space="preserve">See </w:t>
      </w:r>
      <w:r w:rsidRPr="00CA1A83">
        <w:t>47 CFR § 74.1233(a)(1).</w:t>
      </w:r>
    </w:p>
  </w:footnote>
  <w:footnote w:id="46">
    <w:p w:rsidR="007167F3" w:rsidRPr="00CA1A83" w:rsidP="004901B6" w14:paraId="4FB76515" w14:textId="77777777">
      <w:pPr>
        <w:pStyle w:val="FootnoteText"/>
        <w:spacing w:after="120"/>
      </w:pPr>
      <w:r w:rsidRPr="00CA1A83">
        <w:rPr>
          <w:rStyle w:val="FootnoteReference"/>
        </w:rPr>
        <w:footnoteRef/>
      </w:r>
      <w:r w:rsidRPr="00CA1A83">
        <w:t xml:space="preserve"> </w:t>
      </w:r>
      <w:r w:rsidRPr="00CA1A83">
        <w:rPr>
          <w:i/>
        </w:rPr>
        <w:t>Broadcast Towers</w:t>
      </w:r>
      <w:r w:rsidRPr="00CA1A83">
        <w:t xml:space="preserve">, 26 FCC </w:t>
      </w:r>
      <w:r w:rsidRPr="00CA1A83">
        <w:t>Rcd</w:t>
      </w:r>
      <w:r w:rsidRPr="00CA1A83">
        <w:t xml:space="preserve"> at 7686, para. 15; </w:t>
      </w:r>
      <w:r w:rsidRPr="00CA1A83">
        <w:rPr>
          <w:i/>
        </w:rPr>
        <w:t xml:space="preserve">see </w:t>
      </w:r>
      <w:r w:rsidRPr="00CA1A83">
        <w:t>47 CFR §</w:t>
      </w:r>
      <w:r w:rsidRPr="00CA1A83" w:rsidR="00C26DA5">
        <w:t xml:space="preserve"> </w:t>
      </w:r>
      <w:r w:rsidRPr="00CA1A83">
        <w:t>74.1263(a).</w:t>
      </w:r>
    </w:p>
  </w:footnote>
  <w:footnote w:id="47">
    <w:p w:rsidR="007167F3" w:rsidRPr="00CA1A83" w:rsidP="004901B6" w14:paraId="49ADAA53" w14:textId="77777777">
      <w:pPr>
        <w:pStyle w:val="FootnoteText"/>
        <w:spacing w:after="120"/>
      </w:pPr>
      <w:r w:rsidRPr="00CA1A83">
        <w:rPr>
          <w:rStyle w:val="FootnoteReference"/>
        </w:rPr>
        <w:footnoteRef/>
      </w:r>
      <w:r w:rsidRPr="00CA1A83">
        <w:t xml:space="preserve"> </w:t>
      </w:r>
      <w:r w:rsidRPr="00CA1A83" w:rsidR="00B075FE">
        <w:rPr>
          <w:i/>
        </w:rPr>
        <w:t>Broadcast Towers</w:t>
      </w:r>
      <w:r w:rsidRPr="00CA1A83">
        <w:t xml:space="preserve">, 26 FCC </w:t>
      </w:r>
      <w:r w:rsidRPr="00CA1A83">
        <w:t>Rcd</w:t>
      </w:r>
      <w:r w:rsidRPr="00CA1A83">
        <w:t xml:space="preserve"> at 7684, para.</w:t>
      </w:r>
      <w:r w:rsidRPr="00CA1A83" w:rsidR="00B075FE">
        <w:t xml:space="preserve"> </w:t>
      </w:r>
      <w:r w:rsidRPr="00CA1A83">
        <w:t>5.</w:t>
      </w:r>
    </w:p>
  </w:footnote>
  <w:footnote w:id="48">
    <w:p w:rsidR="00B508DC" w:rsidRPr="00CA1A83" w:rsidP="004901B6" w14:paraId="266C07DF" w14:textId="77777777">
      <w:pPr>
        <w:pStyle w:val="FootnoteText"/>
        <w:spacing w:after="120"/>
      </w:pPr>
      <w:r w:rsidRPr="00CA1A83">
        <w:rPr>
          <w:rStyle w:val="FootnoteReference"/>
        </w:rPr>
        <w:footnoteRef/>
      </w:r>
      <w:r w:rsidRPr="00CA1A83">
        <w:t xml:space="preserve"> </w:t>
      </w:r>
      <w:r w:rsidRPr="00CA1A83">
        <w:rPr>
          <w:i/>
        </w:rPr>
        <w:t>Russell M. Perry</w:t>
      </w:r>
      <w:r w:rsidRPr="00CA1A83">
        <w:t xml:space="preserve">, Letter, 27 FCC </w:t>
      </w:r>
      <w:r w:rsidRPr="00CA1A83">
        <w:t>Rcd</w:t>
      </w:r>
      <w:r w:rsidRPr="00CA1A83">
        <w:t xml:space="preserve"> 5955, 5957 (MB 2012).</w:t>
      </w:r>
    </w:p>
  </w:footnote>
  <w:footnote w:id="49">
    <w:p w:rsidR="005D2547" w:rsidRPr="00CA1A83" w:rsidP="004901B6" w14:paraId="1976C810" w14:textId="77777777">
      <w:pPr>
        <w:pStyle w:val="FootnoteText"/>
        <w:spacing w:after="120"/>
      </w:pPr>
      <w:r w:rsidRPr="00CA1A83">
        <w:rPr>
          <w:rStyle w:val="FootnoteReference"/>
        </w:rPr>
        <w:footnoteRef/>
      </w:r>
      <w:r w:rsidRPr="00CA1A83">
        <w:t xml:space="preserve"> </w:t>
      </w:r>
      <w:r w:rsidRPr="00CA1A83" w:rsidR="007335B5">
        <w:rPr>
          <w:i/>
        </w:rPr>
        <w:t xml:space="preserve">See </w:t>
      </w:r>
      <w:r w:rsidRPr="00CA1A83">
        <w:rPr>
          <w:i/>
        </w:rPr>
        <w:t>John C. Trent, Esq.</w:t>
      </w:r>
      <w:r w:rsidRPr="00CA1A83">
        <w:t>, Letter, Ref. No. 1800B3-MM, File No. BPFT-20110829AAU (MB Oct. 29, 2015).</w:t>
      </w:r>
    </w:p>
  </w:footnote>
  <w:footnote w:id="50">
    <w:p w:rsidR="005D2547" w:rsidRPr="00CA1A83" w:rsidP="004901B6" w14:paraId="7CE5BD50" w14:textId="77777777">
      <w:pPr>
        <w:pStyle w:val="FootnoteText"/>
        <w:spacing w:after="120"/>
      </w:pPr>
      <w:r w:rsidRPr="00CA1A83">
        <w:rPr>
          <w:rStyle w:val="FootnoteReference"/>
        </w:rPr>
        <w:footnoteRef/>
      </w:r>
      <w:r w:rsidRPr="00CA1A83">
        <w:t xml:space="preserve"> </w:t>
      </w:r>
      <w:r w:rsidRPr="00CA1A83">
        <w:rPr>
          <w:rStyle w:val="Emphasis"/>
        </w:rPr>
        <w:t>1998 Biennial Regulatory Review</w:t>
      </w:r>
      <w:r w:rsidRPr="00CA1A83">
        <w:t xml:space="preserve">, Notice of Proposed Rulemaking, 13 FCC </w:t>
      </w:r>
      <w:r w:rsidRPr="00CA1A83">
        <w:t>Rcd</w:t>
      </w:r>
      <w:r w:rsidRPr="00CA1A83">
        <w:t xml:space="preserve"> 14859, 14872, para. 50 (1998).</w:t>
      </w:r>
    </w:p>
  </w:footnote>
  <w:footnote w:id="51">
    <w:p w:rsidR="00E72C12" w:rsidRPr="00CA1A83" w:rsidP="004901B6" w14:paraId="149CAC69" w14:textId="77777777">
      <w:pPr>
        <w:pStyle w:val="FootnoteText"/>
        <w:spacing w:after="120"/>
      </w:pPr>
      <w:r w:rsidRPr="00CA1A83">
        <w:rPr>
          <w:rStyle w:val="FootnoteReference"/>
        </w:rPr>
        <w:footnoteRef/>
      </w:r>
      <w:r w:rsidRPr="00CA1A83">
        <w:t xml:space="preserve"> </w:t>
      </w:r>
      <w:r w:rsidRPr="00CA1A83" w:rsidR="00D04C33">
        <w:rPr>
          <w:i/>
        </w:rPr>
        <w:t>Policies to Promote Rural Radio Service and to Streamline Allotment and Assignment Procedures</w:t>
      </w:r>
      <w:r w:rsidRPr="00CA1A83" w:rsidR="00D04C33">
        <w:t xml:space="preserve">, Notice of Proposed Rulemaking, 24 FCC </w:t>
      </w:r>
      <w:r w:rsidRPr="00CA1A83" w:rsidR="00D04C33">
        <w:t>Rcd</w:t>
      </w:r>
      <w:r w:rsidRPr="00CA1A83" w:rsidR="00D04C33">
        <w:t xml:space="preserve"> 5239, 5242-43, para. 5 (2009)</w:t>
      </w:r>
      <w:r w:rsidRPr="00CA1A83" w:rsidR="00D04C33">
        <w:rPr>
          <w:i/>
        </w:rPr>
        <w:t xml:space="preserve"> </w:t>
      </w:r>
      <w:r w:rsidRPr="00CA1A83">
        <w:t xml:space="preserve">(“We are therefore concerned that the current allotment priorities, as applied in the FM allocations process, skew our </w:t>
      </w:r>
      <w:r w:rsidRPr="00CA1A83" w:rsidR="005A3A3D">
        <w:t>[47 U.S.C. § 307(b)]</w:t>
      </w:r>
      <w:r w:rsidRPr="00CA1A83">
        <w:t xml:space="preserve"> determinations toward communities near large cities, at the expense of new and needed service at smaller communities and in rural areas.”).</w:t>
      </w:r>
    </w:p>
  </w:footnote>
  <w:footnote w:id="52">
    <w:p w:rsidR="005D2547" w:rsidRPr="00CA1A83" w:rsidP="004901B6" w14:paraId="598F05D8" w14:textId="77777777">
      <w:pPr>
        <w:pStyle w:val="FootnoteText"/>
        <w:spacing w:after="120"/>
      </w:pPr>
      <w:r w:rsidRPr="00CA1A83">
        <w:rPr>
          <w:rStyle w:val="FootnoteReference"/>
        </w:rPr>
        <w:footnoteRef/>
      </w:r>
      <w:r w:rsidRPr="00CA1A83">
        <w:t xml:space="preserve"> </w:t>
      </w:r>
      <w:r w:rsidR="005B7F36">
        <w:rPr>
          <w:i/>
          <w:iCs/>
        </w:rPr>
        <w:t>Branchport</w:t>
      </w:r>
      <w:r w:rsidRPr="00CA1A83">
        <w:t xml:space="preserve">, 28 FCC </w:t>
      </w:r>
      <w:r w:rsidRPr="00CA1A83">
        <w:t>Rcd</w:t>
      </w:r>
      <w:r w:rsidRPr="00CA1A83">
        <w:t xml:space="preserve"> </w:t>
      </w:r>
      <w:r w:rsidR="005B7F36">
        <w:t>at</w:t>
      </w:r>
      <w:r w:rsidRPr="00CA1A83">
        <w:t xml:space="preserve"> 15498</w:t>
      </w:r>
      <w:r w:rsidR="005B7F36">
        <w:t>.</w:t>
      </w:r>
    </w:p>
  </w:footnote>
  <w:footnote w:id="53">
    <w:p w:rsidR="005D2547" w:rsidRPr="00CA1A83" w:rsidP="004901B6" w14:paraId="5EE0172B" w14:textId="77777777">
      <w:pPr>
        <w:pStyle w:val="FootnoteText"/>
        <w:spacing w:after="120"/>
      </w:pPr>
      <w:r w:rsidRPr="00CA1A83">
        <w:rPr>
          <w:rStyle w:val="FootnoteReference"/>
        </w:rPr>
        <w:footnoteRef/>
      </w:r>
      <w:r w:rsidRPr="00CA1A83">
        <w:t xml:space="preserve"> </w:t>
      </w:r>
      <w:r w:rsidRPr="00CA1A83">
        <w:rPr>
          <w:i/>
        </w:rPr>
        <w:t>Broadcast Tower</w:t>
      </w:r>
      <w:r w:rsidR="005B7F36">
        <w:rPr>
          <w:i/>
        </w:rPr>
        <w:t>s</w:t>
      </w:r>
      <w:r w:rsidRPr="00CA1A83">
        <w:t xml:space="preserve">, 26 FCC </w:t>
      </w:r>
      <w:r w:rsidRPr="00CA1A83">
        <w:t>Rcd</w:t>
      </w:r>
      <w:r w:rsidRPr="00CA1A83">
        <w:t xml:space="preserve"> </w:t>
      </w:r>
      <w:r w:rsidR="005B7F36">
        <w:t>at</w:t>
      </w:r>
      <w:r w:rsidRPr="00CA1A83">
        <w:t xml:space="preserve"> 7684 </w:t>
      </w:r>
      <w:r w:rsidRPr="00CA1A83">
        <w:t>para</w:t>
      </w:r>
      <w:r w:rsidRPr="00CA1A83">
        <w:t>. 2.</w:t>
      </w:r>
    </w:p>
  </w:footnote>
  <w:footnote w:id="54">
    <w:p w:rsidR="005C4F7E" w:rsidRPr="00CA1A83" w:rsidP="004901B6" w14:paraId="55E5B572" w14:textId="77777777">
      <w:pPr>
        <w:pStyle w:val="FootnoteText"/>
        <w:spacing w:after="120"/>
      </w:pPr>
      <w:r w:rsidRPr="00CA1A83">
        <w:rPr>
          <w:rStyle w:val="FootnoteReference"/>
        </w:rPr>
        <w:footnoteRef/>
      </w:r>
      <w:r w:rsidRPr="00CA1A83">
        <w:t xml:space="preserve"> </w:t>
      </w:r>
      <w:r w:rsidRPr="00CA1A83">
        <w:rPr>
          <w:i/>
          <w:iCs/>
        </w:rPr>
        <w:t>Ashbacker</w:t>
      </w:r>
      <w:r w:rsidRPr="00CA1A83">
        <w:t>, 326 U.S. at 332-33.</w:t>
      </w:r>
    </w:p>
  </w:footnote>
  <w:footnote w:id="55">
    <w:p w:rsidR="00287A33" w:rsidRPr="00CA1A83" w:rsidP="004901B6" w14:paraId="686EB4AC" w14:textId="77777777">
      <w:pPr>
        <w:pStyle w:val="FootnoteText"/>
        <w:spacing w:after="120"/>
      </w:pPr>
      <w:r w:rsidRPr="00CA1A83">
        <w:rPr>
          <w:rStyle w:val="FootnoteReference"/>
        </w:rPr>
        <w:footnoteRef/>
      </w:r>
      <w:r w:rsidRPr="00CA1A83">
        <w:t xml:space="preserve"> </w:t>
      </w:r>
      <w:r w:rsidRPr="00CA1A83">
        <w:rPr>
          <w:i/>
          <w:iCs/>
        </w:rPr>
        <w:t>Ashbacker</w:t>
      </w:r>
      <w:r w:rsidRPr="00CA1A83">
        <w:t>, 326 U.S. at 332-33.</w:t>
      </w:r>
    </w:p>
  </w:footnote>
  <w:footnote w:id="56">
    <w:p w:rsidR="0088241F" w:rsidRPr="00CA1A83" w:rsidP="004901B6" w14:paraId="7A1617A7" w14:textId="22CEC799">
      <w:pPr>
        <w:pStyle w:val="FootnoteText"/>
        <w:spacing w:after="120"/>
      </w:pPr>
      <w:r w:rsidRPr="00CA1A83">
        <w:rPr>
          <w:rStyle w:val="FootnoteReference"/>
        </w:rPr>
        <w:footnoteRef/>
      </w:r>
      <w:r w:rsidRPr="00CA1A83">
        <w:t xml:space="preserve"> </w:t>
      </w:r>
      <w:r w:rsidRPr="00CA1A83">
        <w:rPr>
          <w:i/>
        </w:rPr>
        <w:t xml:space="preserve">See </w:t>
      </w:r>
      <w:r w:rsidRPr="00CA1A83" w:rsidR="00892603">
        <w:rPr>
          <w:i/>
        </w:rPr>
        <w:t>See</w:t>
      </w:r>
      <w:r w:rsidRPr="00CA1A83" w:rsidR="00892603">
        <w:rPr>
          <w:i/>
        </w:rPr>
        <w:t xml:space="preserve"> Robert D. </w:t>
      </w:r>
      <w:r w:rsidRPr="00CA1A83" w:rsidR="00892603">
        <w:rPr>
          <w:i/>
        </w:rPr>
        <w:t>Augsberg</w:t>
      </w:r>
      <w:r w:rsidRPr="00CA1A83" w:rsidR="00892603">
        <w:t xml:space="preserve">, Letter Decision, 29 FCC </w:t>
      </w:r>
      <w:r w:rsidRPr="00CA1A83" w:rsidR="00892603">
        <w:t>Rcd</w:t>
      </w:r>
      <w:r w:rsidRPr="00CA1A83" w:rsidR="00892603">
        <w:t xml:space="preserve"> 11287, 11289 (MB 2014) </w:t>
      </w:r>
      <w:r w:rsidRPr="00CA1A83" w:rsidR="008B69CC">
        <w:t>(</w:t>
      </w:r>
      <w:r w:rsidRPr="00CA1A83" w:rsidR="008B69CC">
        <w:rPr>
          <w:i/>
        </w:rPr>
        <w:t>Augsberg</w:t>
      </w:r>
      <w:r w:rsidRPr="00CA1A83" w:rsidR="008B69CC">
        <w:t>)</w:t>
      </w:r>
      <w:r w:rsidRPr="00CA1A83" w:rsidR="008B69CC">
        <w:rPr>
          <w:i/>
        </w:rPr>
        <w:t xml:space="preserve"> </w:t>
      </w:r>
      <w:r w:rsidRPr="00CA1A83" w:rsidR="00892603">
        <w:t xml:space="preserve">(citing </w:t>
      </w:r>
      <w:r w:rsidRPr="00CA1A83">
        <w:rPr>
          <w:i/>
        </w:rPr>
        <w:t>Bachow</w:t>
      </w:r>
      <w:r w:rsidRPr="00CA1A83">
        <w:rPr>
          <w:i/>
        </w:rPr>
        <w:t xml:space="preserve"> v. FCC</w:t>
      </w:r>
      <w:r w:rsidRPr="00CA1A83">
        <w:t xml:space="preserve">, 237 F.3d 683, 689-90 (D.C. Cir. 2001) (holding that </w:t>
      </w:r>
      <w:r w:rsidRPr="00CA1A83">
        <w:rPr>
          <w:rStyle w:val="Emphasis"/>
        </w:rPr>
        <w:t>Ashbacker</w:t>
      </w:r>
      <w:r w:rsidRPr="00CA1A83">
        <w:t xml:space="preserve"> rights </w:t>
      </w:r>
      <w:r w:rsidR="00A91A0D">
        <w:t>inheres</w:t>
      </w:r>
      <w:r w:rsidRPr="00CA1A83">
        <w:t xml:space="preserve"> in potential applicants whose right to file a timely competing application is frustrated by a Commission freeze order)</w:t>
      </w:r>
      <w:r w:rsidRPr="00CA1A83" w:rsidR="008B69CC">
        <w:t>)</w:t>
      </w:r>
      <w:r w:rsidRPr="00CA1A83">
        <w:t>.</w:t>
      </w:r>
    </w:p>
  </w:footnote>
  <w:footnote w:id="57">
    <w:p w:rsidR="0088241F" w:rsidRPr="00CA1A83" w:rsidP="004901B6" w14:paraId="3C965475" w14:textId="77777777">
      <w:pPr>
        <w:pStyle w:val="FootnoteText"/>
        <w:spacing w:after="120"/>
      </w:pPr>
      <w:r w:rsidRPr="00CA1A83">
        <w:rPr>
          <w:rStyle w:val="FootnoteReference"/>
        </w:rPr>
        <w:footnoteRef/>
      </w:r>
      <w:r w:rsidRPr="00CA1A83">
        <w:t xml:space="preserve"> </w:t>
      </w:r>
      <w:r w:rsidRPr="00CA1A83">
        <w:rPr>
          <w:i/>
        </w:rPr>
        <w:t xml:space="preserve">See </w:t>
      </w:r>
      <w:r w:rsidRPr="00CA1A83">
        <w:rPr>
          <w:i/>
        </w:rPr>
        <w:t>Ashbacker</w:t>
      </w:r>
      <w:r w:rsidRPr="00CA1A83">
        <w:t>, 326 U.S. at 333 n.9</w:t>
      </w:r>
      <w:r w:rsidRPr="00CA1A83" w:rsidR="008B69CC">
        <w:t xml:space="preserve">; </w:t>
      </w:r>
      <w:r w:rsidRPr="00CA1A83" w:rsidR="008B69CC">
        <w:rPr>
          <w:i/>
          <w:iCs/>
        </w:rPr>
        <w:t>Revision of Procedures Governing Amendments to FM Table of Allotments and Changes of Community of License in the Radio Broadcast Services</w:t>
      </w:r>
      <w:r w:rsidRPr="00CA1A83" w:rsidR="008B69CC">
        <w:t xml:space="preserve">, 21 FCC </w:t>
      </w:r>
      <w:r w:rsidRPr="00CA1A83" w:rsidR="008B69CC">
        <w:t>Rcd</w:t>
      </w:r>
      <w:r w:rsidRPr="00CA1A83" w:rsidR="008B69CC">
        <w:t xml:space="preserve"> 14212, 14217 (2006) (finding that in the community of license change context “the use of </w:t>
      </w:r>
      <w:r w:rsidRPr="00CA1A83" w:rsidR="008B69CC">
        <w:rPr>
          <w:rStyle w:val="cosearchterm"/>
        </w:rPr>
        <w:t>first</w:t>
      </w:r>
      <w:r w:rsidRPr="00CA1A83" w:rsidR="008B69CC">
        <w:t xml:space="preserve"> </w:t>
      </w:r>
      <w:r w:rsidRPr="00CA1A83" w:rsidR="008B69CC">
        <w:rPr>
          <w:rStyle w:val="cosearchterm"/>
        </w:rPr>
        <w:t>come</w:t>
      </w:r>
      <w:r w:rsidRPr="00CA1A83" w:rsidR="008B69CC">
        <w:t xml:space="preserve">-first served procedures is consistent with the </w:t>
      </w:r>
      <w:r w:rsidRPr="00CA1A83" w:rsidR="008B69CC">
        <w:rPr>
          <w:rStyle w:val="cosearchterm"/>
          <w:i/>
          <w:iCs/>
        </w:rPr>
        <w:t>Ashbacker</w:t>
      </w:r>
      <w:r w:rsidRPr="00CA1A83" w:rsidR="008B69CC">
        <w:t xml:space="preserve"> doctrine”).</w:t>
      </w:r>
    </w:p>
  </w:footnote>
  <w:footnote w:id="58">
    <w:p w:rsidR="0088241F" w:rsidRPr="00CA1A83" w:rsidP="004901B6" w14:paraId="6E32F0D5" w14:textId="77777777">
      <w:pPr>
        <w:pStyle w:val="FootnoteText"/>
        <w:spacing w:after="120"/>
        <w:rPr>
          <w:i/>
        </w:rPr>
      </w:pPr>
      <w:r w:rsidRPr="00CA1A83">
        <w:rPr>
          <w:rStyle w:val="FootnoteReference"/>
        </w:rPr>
        <w:footnoteRef/>
      </w:r>
      <w:r w:rsidRPr="00CA1A83">
        <w:t xml:space="preserve"> </w:t>
      </w:r>
      <w:r w:rsidRPr="00CA1A83">
        <w:rPr>
          <w:i/>
        </w:rPr>
        <w:t>Maxcell</w:t>
      </w:r>
      <w:r w:rsidRPr="00CA1A83">
        <w:rPr>
          <w:i/>
        </w:rPr>
        <w:t xml:space="preserve"> Telecom Plus, Inc. v. FCC</w:t>
      </w:r>
      <w:r w:rsidRPr="00CA1A83">
        <w:t>, 815 F.2d 1551, 1555 (D.C. Cir. 1987).</w:t>
      </w:r>
    </w:p>
  </w:footnote>
  <w:footnote w:id="59">
    <w:p w:rsidR="0088241F" w:rsidRPr="00CA1A83" w:rsidP="004901B6" w14:paraId="334DFD89" w14:textId="77777777">
      <w:pPr>
        <w:pStyle w:val="FootnoteText"/>
        <w:spacing w:after="120"/>
      </w:pPr>
      <w:r w:rsidRPr="00CA1A83">
        <w:rPr>
          <w:rStyle w:val="FootnoteReference"/>
        </w:rPr>
        <w:footnoteRef/>
      </w:r>
      <w:r w:rsidRPr="00CA1A83">
        <w:t xml:space="preserve"> </w:t>
      </w:r>
      <w:r w:rsidRPr="00CA1A83">
        <w:rPr>
          <w:i/>
        </w:rPr>
        <w:t>Committee for Effective Cellular Rules v. FCC</w:t>
      </w:r>
      <w:r w:rsidRPr="00CA1A83">
        <w:t>, 53 F.3d 1309, 1321 (D.C. Cir. 1995).</w:t>
      </w:r>
    </w:p>
  </w:footnote>
  <w:footnote w:id="60">
    <w:p w:rsidR="00E27875" w:rsidRPr="00CA1A83" w:rsidP="004901B6" w14:paraId="520448CF" w14:textId="77777777">
      <w:pPr>
        <w:pStyle w:val="FootnoteText"/>
        <w:spacing w:after="120"/>
      </w:pPr>
      <w:r w:rsidRPr="00CA1A83">
        <w:rPr>
          <w:rStyle w:val="FootnoteReference"/>
        </w:rPr>
        <w:footnoteRef/>
      </w:r>
      <w:r w:rsidRPr="00CA1A83">
        <w:t xml:space="preserve"> </w:t>
      </w:r>
      <w:r w:rsidRPr="00CA1A83" w:rsidR="005A3A3D">
        <w:rPr>
          <w:i/>
        </w:rPr>
        <w:t xml:space="preserve">See </w:t>
      </w:r>
      <w:r w:rsidRPr="00CA1A83" w:rsidR="0025659D">
        <w:rPr>
          <w:i/>
        </w:rPr>
        <w:t>Augsberg</w:t>
      </w:r>
      <w:r w:rsidRPr="00CA1A83" w:rsidR="0025659D">
        <w:t xml:space="preserve">, 29 FCC </w:t>
      </w:r>
      <w:r w:rsidRPr="00CA1A83" w:rsidR="0025659D">
        <w:t>Rcd</w:t>
      </w:r>
      <w:r w:rsidRPr="00CA1A83" w:rsidR="0025659D">
        <w:t xml:space="preserve"> </w:t>
      </w:r>
      <w:r w:rsidRPr="00CA1A83" w:rsidR="008B69CC">
        <w:t>at</w:t>
      </w:r>
      <w:r w:rsidRPr="00CA1A83" w:rsidR="0025659D">
        <w:t xml:space="preserve"> 11290.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547" w14:paraId="67276425" w14:textId="77777777">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93874"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5D2547" w14:paraId="6D39D78D" w14:textId="77777777">
    <w:pPr>
      <w:jc w:val="center"/>
      <w:rPr>
        <w:b/>
        <w:sz w:val="22"/>
      </w:rPr>
    </w:pPr>
    <w:r>
      <w:rPr>
        <w:b/>
        <w:sz w:val="22"/>
      </w:rPr>
      <w:t>Washington, D.C. 20554</w:t>
    </w:r>
  </w:p>
  <w:p w:rsidR="00397F99" w14:paraId="5F0F1C94" w14:textId="77777777">
    <w:pPr>
      <w:jc w:val="center"/>
      <w:rPr>
        <w:b/>
        <w:sz w:val="22"/>
      </w:rPr>
    </w:pPr>
  </w:p>
  <w:p w:rsidR="00397F99" w14:paraId="61C84A62" w14:textId="5B8E3E6F">
    <w:pPr>
      <w:jc w:val="center"/>
      <w:rPr>
        <w:b/>
        <w:sz w:val="22"/>
      </w:rPr>
    </w:pPr>
    <w:r w:rsidRPr="005B4A0F">
      <w:rPr>
        <w:b/>
        <w:sz w:val="22"/>
      </w:rPr>
      <w:t>June 5, 2019</w:t>
    </w:r>
  </w:p>
  <w:p w:rsidR="005D2547" w14:paraId="5BDA6BAA" w14:textId="77777777">
    <w:pP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502B"/>
    <w:multiLevelType w:val="hybridMultilevel"/>
    <w:tmpl w:val="41C0D6BE"/>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651A63E6"/>
    <w:multiLevelType w:val="hybridMultilevel"/>
    <w:tmpl w:val="CCA8F89C"/>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0"/>
    <w:rsid w:val="00001E44"/>
    <w:rsid w:val="00001E51"/>
    <w:rsid w:val="000047FA"/>
    <w:rsid w:val="00004B80"/>
    <w:rsid w:val="00004F89"/>
    <w:rsid w:val="00005D35"/>
    <w:rsid w:val="000060CA"/>
    <w:rsid w:val="0000619D"/>
    <w:rsid w:val="000063A5"/>
    <w:rsid w:val="0000783B"/>
    <w:rsid w:val="00007916"/>
    <w:rsid w:val="00007A8D"/>
    <w:rsid w:val="000102A2"/>
    <w:rsid w:val="000104B2"/>
    <w:rsid w:val="00010EC8"/>
    <w:rsid w:val="00011465"/>
    <w:rsid w:val="00012C5B"/>
    <w:rsid w:val="00012E61"/>
    <w:rsid w:val="00014A5D"/>
    <w:rsid w:val="000165DF"/>
    <w:rsid w:val="0002009F"/>
    <w:rsid w:val="00021B46"/>
    <w:rsid w:val="00022113"/>
    <w:rsid w:val="000228B5"/>
    <w:rsid w:val="00022F75"/>
    <w:rsid w:val="000241A7"/>
    <w:rsid w:val="00027667"/>
    <w:rsid w:val="00027EB4"/>
    <w:rsid w:val="00032872"/>
    <w:rsid w:val="000329B6"/>
    <w:rsid w:val="00034A2A"/>
    <w:rsid w:val="00034D8C"/>
    <w:rsid w:val="000355AC"/>
    <w:rsid w:val="00035B42"/>
    <w:rsid w:val="00036470"/>
    <w:rsid w:val="00036D03"/>
    <w:rsid w:val="00037CCF"/>
    <w:rsid w:val="00041F5D"/>
    <w:rsid w:val="00042568"/>
    <w:rsid w:val="0004256E"/>
    <w:rsid w:val="00042D30"/>
    <w:rsid w:val="00043182"/>
    <w:rsid w:val="00043C86"/>
    <w:rsid w:val="00045C0A"/>
    <w:rsid w:val="0004625F"/>
    <w:rsid w:val="00046465"/>
    <w:rsid w:val="0004649F"/>
    <w:rsid w:val="000472C0"/>
    <w:rsid w:val="000472E5"/>
    <w:rsid w:val="000504B5"/>
    <w:rsid w:val="00050961"/>
    <w:rsid w:val="00051383"/>
    <w:rsid w:val="00052114"/>
    <w:rsid w:val="00052560"/>
    <w:rsid w:val="000526E3"/>
    <w:rsid w:val="00052821"/>
    <w:rsid w:val="00052AF5"/>
    <w:rsid w:val="00053922"/>
    <w:rsid w:val="00054836"/>
    <w:rsid w:val="00055389"/>
    <w:rsid w:val="00055A2E"/>
    <w:rsid w:val="00056350"/>
    <w:rsid w:val="00057B76"/>
    <w:rsid w:val="0006015D"/>
    <w:rsid w:val="00060C16"/>
    <w:rsid w:val="000622BC"/>
    <w:rsid w:val="00063839"/>
    <w:rsid w:val="00063956"/>
    <w:rsid w:val="00066068"/>
    <w:rsid w:val="000661A0"/>
    <w:rsid w:val="00067221"/>
    <w:rsid w:val="000673A6"/>
    <w:rsid w:val="0006756A"/>
    <w:rsid w:val="000702D3"/>
    <w:rsid w:val="00071742"/>
    <w:rsid w:val="00072A66"/>
    <w:rsid w:val="00072DD8"/>
    <w:rsid w:val="00072E33"/>
    <w:rsid w:val="00072FE1"/>
    <w:rsid w:val="0007331A"/>
    <w:rsid w:val="0007355A"/>
    <w:rsid w:val="000740D6"/>
    <w:rsid w:val="00074650"/>
    <w:rsid w:val="00074915"/>
    <w:rsid w:val="00076242"/>
    <w:rsid w:val="00076D7C"/>
    <w:rsid w:val="00076D7D"/>
    <w:rsid w:val="000809FC"/>
    <w:rsid w:val="00082F9B"/>
    <w:rsid w:val="000832B2"/>
    <w:rsid w:val="00084E50"/>
    <w:rsid w:val="000857D3"/>
    <w:rsid w:val="000858EC"/>
    <w:rsid w:val="000873B7"/>
    <w:rsid w:val="00087AB1"/>
    <w:rsid w:val="00090956"/>
    <w:rsid w:val="00091BDC"/>
    <w:rsid w:val="00093FE6"/>
    <w:rsid w:val="0009550F"/>
    <w:rsid w:val="0009556E"/>
    <w:rsid w:val="00096D91"/>
    <w:rsid w:val="00097325"/>
    <w:rsid w:val="00097781"/>
    <w:rsid w:val="000A2AD6"/>
    <w:rsid w:val="000A2DE5"/>
    <w:rsid w:val="000A4901"/>
    <w:rsid w:val="000A525A"/>
    <w:rsid w:val="000A6B1D"/>
    <w:rsid w:val="000B1DB8"/>
    <w:rsid w:val="000B3BFC"/>
    <w:rsid w:val="000B6F1B"/>
    <w:rsid w:val="000B790C"/>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489"/>
    <w:rsid w:val="000E0DA0"/>
    <w:rsid w:val="000E1348"/>
    <w:rsid w:val="000E1D1F"/>
    <w:rsid w:val="000E5612"/>
    <w:rsid w:val="000E61F4"/>
    <w:rsid w:val="000E651A"/>
    <w:rsid w:val="000E6F6F"/>
    <w:rsid w:val="000F0353"/>
    <w:rsid w:val="000F2F58"/>
    <w:rsid w:val="000F3019"/>
    <w:rsid w:val="000F301B"/>
    <w:rsid w:val="000F356A"/>
    <w:rsid w:val="000F4396"/>
    <w:rsid w:val="000F6DD7"/>
    <w:rsid w:val="000F776A"/>
    <w:rsid w:val="00100497"/>
    <w:rsid w:val="00100A51"/>
    <w:rsid w:val="00102035"/>
    <w:rsid w:val="0010213C"/>
    <w:rsid w:val="00103DE5"/>
    <w:rsid w:val="001057A8"/>
    <w:rsid w:val="00106091"/>
    <w:rsid w:val="00106526"/>
    <w:rsid w:val="00107B37"/>
    <w:rsid w:val="0011124A"/>
    <w:rsid w:val="00111C73"/>
    <w:rsid w:val="001125A6"/>
    <w:rsid w:val="00115188"/>
    <w:rsid w:val="001162FC"/>
    <w:rsid w:val="00116D10"/>
    <w:rsid w:val="00117B2D"/>
    <w:rsid w:val="00117B88"/>
    <w:rsid w:val="001204E8"/>
    <w:rsid w:val="001213E8"/>
    <w:rsid w:val="00122D4D"/>
    <w:rsid w:val="001230A5"/>
    <w:rsid w:val="00123AA2"/>
    <w:rsid w:val="00123B3F"/>
    <w:rsid w:val="00126D18"/>
    <w:rsid w:val="001276DF"/>
    <w:rsid w:val="001278F9"/>
    <w:rsid w:val="00127D16"/>
    <w:rsid w:val="0013075A"/>
    <w:rsid w:val="00130A33"/>
    <w:rsid w:val="00131150"/>
    <w:rsid w:val="0013173F"/>
    <w:rsid w:val="00131B32"/>
    <w:rsid w:val="00131C6F"/>
    <w:rsid w:val="00133012"/>
    <w:rsid w:val="0013316C"/>
    <w:rsid w:val="00133477"/>
    <w:rsid w:val="001334BC"/>
    <w:rsid w:val="001402A4"/>
    <w:rsid w:val="001404A3"/>
    <w:rsid w:val="00143351"/>
    <w:rsid w:val="0014451C"/>
    <w:rsid w:val="00145B19"/>
    <w:rsid w:val="00146AD0"/>
    <w:rsid w:val="00147993"/>
    <w:rsid w:val="00151091"/>
    <w:rsid w:val="00151546"/>
    <w:rsid w:val="001519B4"/>
    <w:rsid w:val="00152CD6"/>
    <w:rsid w:val="00154D6B"/>
    <w:rsid w:val="00160575"/>
    <w:rsid w:val="00160F35"/>
    <w:rsid w:val="00163362"/>
    <w:rsid w:val="00163CDB"/>
    <w:rsid w:val="00164249"/>
    <w:rsid w:val="00165D30"/>
    <w:rsid w:val="00165F49"/>
    <w:rsid w:val="0017097C"/>
    <w:rsid w:val="001735B5"/>
    <w:rsid w:val="00173C42"/>
    <w:rsid w:val="00173E8C"/>
    <w:rsid w:val="00176809"/>
    <w:rsid w:val="00177A72"/>
    <w:rsid w:val="00180CC6"/>
    <w:rsid w:val="001813B6"/>
    <w:rsid w:val="001828AD"/>
    <w:rsid w:val="00183EBA"/>
    <w:rsid w:val="001855DF"/>
    <w:rsid w:val="00185764"/>
    <w:rsid w:val="00186398"/>
    <w:rsid w:val="001868B0"/>
    <w:rsid w:val="001900F7"/>
    <w:rsid w:val="0019083F"/>
    <w:rsid w:val="00190E42"/>
    <w:rsid w:val="00191E25"/>
    <w:rsid w:val="00192577"/>
    <w:rsid w:val="00193440"/>
    <w:rsid w:val="00194097"/>
    <w:rsid w:val="00194180"/>
    <w:rsid w:val="0019597E"/>
    <w:rsid w:val="00195DB8"/>
    <w:rsid w:val="00196333"/>
    <w:rsid w:val="00196B33"/>
    <w:rsid w:val="00197BBE"/>
    <w:rsid w:val="001A0F7D"/>
    <w:rsid w:val="001A2DAB"/>
    <w:rsid w:val="001A38FD"/>
    <w:rsid w:val="001A3D3F"/>
    <w:rsid w:val="001A441F"/>
    <w:rsid w:val="001A5181"/>
    <w:rsid w:val="001A5290"/>
    <w:rsid w:val="001A5488"/>
    <w:rsid w:val="001A6BBE"/>
    <w:rsid w:val="001A7129"/>
    <w:rsid w:val="001A7D3E"/>
    <w:rsid w:val="001B26BA"/>
    <w:rsid w:val="001B3063"/>
    <w:rsid w:val="001B441E"/>
    <w:rsid w:val="001B4EFE"/>
    <w:rsid w:val="001B5849"/>
    <w:rsid w:val="001B770D"/>
    <w:rsid w:val="001C0653"/>
    <w:rsid w:val="001C08D1"/>
    <w:rsid w:val="001C09CB"/>
    <w:rsid w:val="001C0AAA"/>
    <w:rsid w:val="001C25C1"/>
    <w:rsid w:val="001C3662"/>
    <w:rsid w:val="001C4031"/>
    <w:rsid w:val="001C4499"/>
    <w:rsid w:val="001C5526"/>
    <w:rsid w:val="001C5FA4"/>
    <w:rsid w:val="001C79E5"/>
    <w:rsid w:val="001D23B9"/>
    <w:rsid w:val="001D2F5B"/>
    <w:rsid w:val="001D3323"/>
    <w:rsid w:val="001D3F83"/>
    <w:rsid w:val="001D4A32"/>
    <w:rsid w:val="001D4BD6"/>
    <w:rsid w:val="001D5271"/>
    <w:rsid w:val="001E325B"/>
    <w:rsid w:val="001E3E63"/>
    <w:rsid w:val="001E444B"/>
    <w:rsid w:val="001E4623"/>
    <w:rsid w:val="001E6099"/>
    <w:rsid w:val="001E72DF"/>
    <w:rsid w:val="001F0CDF"/>
    <w:rsid w:val="001F2C05"/>
    <w:rsid w:val="001F31BC"/>
    <w:rsid w:val="001F3B14"/>
    <w:rsid w:val="001F52D3"/>
    <w:rsid w:val="001F55AC"/>
    <w:rsid w:val="001F5A1E"/>
    <w:rsid w:val="001F682A"/>
    <w:rsid w:val="001F6D46"/>
    <w:rsid w:val="001F76E3"/>
    <w:rsid w:val="001F7E03"/>
    <w:rsid w:val="00200332"/>
    <w:rsid w:val="0020096E"/>
    <w:rsid w:val="00200B4C"/>
    <w:rsid w:val="0020149E"/>
    <w:rsid w:val="002016DE"/>
    <w:rsid w:val="002021BA"/>
    <w:rsid w:val="00202440"/>
    <w:rsid w:val="002024D2"/>
    <w:rsid w:val="002027BF"/>
    <w:rsid w:val="0020297D"/>
    <w:rsid w:val="0020329C"/>
    <w:rsid w:val="002043B6"/>
    <w:rsid w:val="00204E9C"/>
    <w:rsid w:val="0020553A"/>
    <w:rsid w:val="002100BC"/>
    <w:rsid w:val="002118FC"/>
    <w:rsid w:val="00212189"/>
    <w:rsid w:val="00212542"/>
    <w:rsid w:val="002128F2"/>
    <w:rsid w:val="00214156"/>
    <w:rsid w:val="00214857"/>
    <w:rsid w:val="00215AAE"/>
    <w:rsid w:val="00216249"/>
    <w:rsid w:val="002164C0"/>
    <w:rsid w:val="002179D0"/>
    <w:rsid w:val="00220F67"/>
    <w:rsid w:val="0022135F"/>
    <w:rsid w:val="00221542"/>
    <w:rsid w:val="002226F2"/>
    <w:rsid w:val="00223C51"/>
    <w:rsid w:val="002249F0"/>
    <w:rsid w:val="00224ABA"/>
    <w:rsid w:val="00230E69"/>
    <w:rsid w:val="00231854"/>
    <w:rsid w:val="00233A9B"/>
    <w:rsid w:val="002344E3"/>
    <w:rsid w:val="0023463E"/>
    <w:rsid w:val="002347F4"/>
    <w:rsid w:val="00235471"/>
    <w:rsid w:val="002356B0"/>
    <w:rsid w:val="00235B9F"/>
    <w:rsid w:val="00237158"/>
    <w:rsid w:val="00237509"/>
    <w:rsid w:val="002377F5"/>
    <w:rsid w:val="002402D9"/>
    <w:rsid w:val="002419BD"/>
    <w:rsid w:val="00241A67"/>
    <w:rsid w:val="00243FB4"/>
    <w:rsid w:val="00244939"/>
    <w:rsid w:val="00245A49"/>
    <w:rsid w:val="00245D13"/>
    <w:rsid w:val="0024676C"/>
    <w:rsid w:val="00246C30"/>
    <w:rsid w:val="00246F3B"/>
    <w:rsid w:val="002475C2"/>
    <w:rsid w:val="00247C65"/>
    <w:rsid w:val="002521CF"/>
    <w:rsid w:val="002529BC"/>
    <w:rsid w:val="00253565"/>
    <w:rsid w:val="0025593D"/>
    <w:rsid w:val="0025659D"/>
    <w:rsid w:val="00257D84"/>
    <w:rsid w:val="00257E2D"/>
    <w:rsid w:val="0026046E"/>
    <w:rsid w:val="002608EA"/>
    <w:rsid w:val="00262AC9"/>
    <w:rsid w:val="0026436A"/>
    <w:rsid w:val="00264D96"/>
    <w:rsid w:val="00264E12"/>
    <w:rsid w:val="00266244"/>
    <w:rsid w:val="00266B27"/>
    <w:rsid w:val="0027225F"/>
    <w:rsid w:val="002727F4"/>
    <w:rsid w:val="00273459"/>
    <w:rsid w:val="002737B9"/>
    <w:rsid w:val="0027461F"/>
    <w:rsid w:val="0027478E"/>
    <w:rsid w:val="002757A9"/>
    <w:rsid w:val="00276495"/>
    <w:rsid w:val="00276771"/>
    <w:rsid w:val="00277009"/>
    <w:rsid w:val="0028020E"/>
    <w:rsid w:val="00281CC4"/>
    <w:rsid w:val="00284AC4"/>
    <w:rsid w:val="0028551F"/>
    <w:rsid w:val="0028615C"/>
    <w:rsid w:val="00286A21"/>
    <w:rsid w:val="00286C27"/>
    <w:rsid w:val="00287A33"/>
    <w:rsid w:val="00291841"/>
    <w:rsid w:val="00291B5A"/>
    <w:rsid w:val="00292046"/>
    <w:rsid w:val="002926DE"/>
    <w:rsid w:val="00292D02"/>
    <w:rsid w:val="00293B02"/>
    <w:rsid w:val="00294429"/>
    <w:rsid w:val="00295179"/>
    <w:rsid w:val="00295F1A"/>
    <w:rsid w:val="00296450"/>
    <w:rsid w:val="00296D8F"/>
    <w:rsid w:val="002976E8"/>
    <w:rsid w:val="002A0920"/>
    <w:rsid w:val="002A1B58"/>
    <w:rsid w:val="002A1F9B"/>
    <w:rsid w:val="002A2F71"/>
    <w:rsid w:val="002A3A39"/>
    <w:rsid w:val="002A4094"/>
    <w:rsid w:val="002A46C1"/>
    <w:rsid w:val="002A48DD"/>
    <w:rsid w:val="002A65F8"/>
    <w:rsid w:val="002A6C79"/>
    <w:rsid w:val="002A6E5B"/>
    <w:rsid w:val="002B02C0"/>
    <w:rsid w:val="002B158E"/>
    <w:rsid w:val="002B232A"/>
    <w:rsid w:val="002B2612"/>
    <w:rsid w:val="002B4D80"/>
    <w:rsid w:val="002B513F"/>
    <w:rsid w:val="002B5350"/>
    <w:rsid w:val="002B592E"/>
    <w:rsid w:val="002B5AAC"/>
    <w:rsid w:val="002B5FAE"/>
    <w:rsid w:val="002C01E1"/>
    <w:rsid w:val="002C04E5"/>
    <w:rsid w:val="002C13A6"/>
    <w:rsid w:val="002C1B4F"/>
    <w:rsid w:val="002C4A65"/>
    <w:rsid w:val="002C4FBE"/>
    <w:rsid w:val="002D05EE"/>
    <w:rsid w:val="002D1342"/>
    <w:rsid w:val="002D25EB"/>
    <w:rsid w:val="002D29A3"/>
    <w:rsid w:val="002D2BCE"/>
    <w:rsid w:val="002D32A2"/>
    <w:rsid w:val="002D3387"/>
    <w:rsid w:val="002D472F"/>
    <w:rsid w:val="002D681A"/>
    <w:rsid w:val="002D6CEC"/>
    <w:rsid w:val="002E021F"/>
    <w:rsid w:val="002E10CF"/>
    <w:rsid w:val="002E2CB0"/>
    <w:rsid w:val="002E3BBF"/>
    <w:rsid w:val="002E47A7"/>
    <w:rsid w:val="002E6CD5"/>
    <w:rsid w:val="002E7478"/>
    <w:rsid w:val="002F0706"/>
    <w:rsid w:val="002F1E68"/>
    <w:rsid w:val="002F3C3F"/>
    <w:rsid w:val="002F512E"/>
    <w:rsid w:val="00300FFD"/>
    <w:rsid w:val="0030139A"/>
    <w:rsid w:val="00302C0F"/>
    <w:rsid w:val="0030326E"/>
    <w:rsid w:val="00304BE6"/>
    <w:rsid w:val="00305AFE"/>
    <w:rsid w:val="00305F35"/>
    <w:rsid w:val="00310667"/>
    <w:rsid w:val="0031226A"/>
    <w:rsid w:val="003129FA"/>
    <w:rsid w:val="00314B2C"/>
    <w:rsid w:val="00316D6A"/>
    <w:rsid w:val="00316DE6"/>
    <w:rsid w:val="00317FD2"/>
    <w:rsid w:val="00321139"/>
    <w:rsid w:val="0032210C"/>
    <w:rsid w:val="003237A5"/>
    <w:rsid w:val="00326199"/>
    <w:rsid w:val="003261D3"/>
    <w:rsid w:val="003266C4"/>
    <w:rsid w:val="00326B00"/>
    <w:rsid w:val="00326E0D"/>
    <w:rsid w:val="0032787C"/>
    <w:rsid w:val="00327DE9"/>
    <w:rsid w:val="00330362"/>
    <w:rsid w:val="003304C4"/>
    <w:rsid w:val="003312C7"/>
    <w:rsid w:val="003324D0"/>
    <w:rsid w:val="00333972"/>
    <w:rsid w:val="00335159"/>
    <w:rsid w:val="00335879"/>
    <w:rsid w:val="00336ECA"/>
    <w:rsid w:val="00340E35"/>
    <w:rsid w:val="0034102D"/>
    <w:rsid w:val="0034286A"/>
    <w:rsid w:val="00343183"/>
    <w:rsid w:val="00343FDF"/>
    <w:rsid w:val="003446DF"/>
    <w:rsid w:val="00346815"/>
    <w:rsid w:val="00346B7F"/>
    <w:rsid w:val="0034727F"/>
    <w:rsid w:val="0034780C"/>
    <w:rsid w:val="00347DD4"/>
    <w:rsid w:val="0035070C"/>
    <w:rsid w:val="00350BD0"/>
    <w:rsid w:val="00351EE6"/>
    <w:rsid w:val="00352326"/>
    <w:rsid w:val="0035598F"/>
    <w:rsid w:val="0035697F"/>
    <w:rsid w:val="003579B2"/>
    <w:rsid w:val="00357C97"/>
    <w:rsid w:val="00357E97"/>
    <w:rsid w:val="003603A1"/>
    <w:rsid w:val="00362BCB"/>
    <w:rsid w:val="0036376E"/>
    <w:rsid w:val="00364AC7"/>
    <w:rsid w:val="003656BF"/>
    <w:rsid w:val="003678D5"/>
    <w:rsid w:val="00367E98"/>
    <w:rsid w:val="00371569"/>
    <w:rsid w:val="00371C2D"/>
    <w:rsid w:val="0037292E"/>
    <w:rsid w:val="00372F07"/>
    <w:rsid w:val="003733F9"/>
    <w:rsid w:val="003754E8"/>
    <w:rsid w:val="00375750"/>
    <w:rsid w:val="0037799A"/>
    <w:rsid w:val="00380DA9"/>
    <w:rsid w:val="00381F1F"/>
    <w:rsid w:val="003822D6"/>
    <w:rsid w:val="00382B8C"/>
    <w:rsid w:val="003843E0"/>
    <w:rsid w:val="00384572"/>
    <w:rsid w:val="003876DA"/>
    <w:rsid w:val="00387AA0"/>
    <w:rsid w:val="00390685"/>
    <w:rsid w:val="00390A6F"/>
    <w:rsid w:val="003911B0"/>
    <w:rsid w:val="00391515"/>
    <w:rsid w:val="00391EDC"/>
    <w:rsid w:val="00393145"/>
    <w:rsid w:val="003936EE"/>
    <w:rsid w:val="0039397F"/>
    <w:rsid w:val="003962F1"/>
    <w:rsid w:val="003969C3"/>
    <w:rsid w:val="003975E8"/>
    <w:rsid w:val="00397993"/>
    <w:rsid w:val="00397F99"/>
    <w:rsid w:val="003A1218"/>
    <w:rsid w:val="003A157B"/>
    <w:rsid w:val="003A1DE2"/>
    <w:rsid w:val="003A240B"/>
    <w:rsid w:val="003A2DA4"/>
    <w:rsid w:val="003A3959"/>
    <w:rsid w:val="003A3C89"/>
    <w:rsid w:val="003A536E"/>
    <w:rsid w:val="003A6048"/>
    <w:rsid w:val="003A6782"/>
    <w:rsid w:val="003A6C41"/>
    <w:rsid w:val="003A6DA3"/>
    <w:rsid w:val="003A6E48"/>
    <w:rsid w:val="003A74B8"/>
    <w:rsid w:val="003B0360"/>
    <w:rsid w:val="003B0620"/>
    <w:rsid w:val="003B09A8"/>
    <w:rsid w:val="003B0C78"/>
    <w:rsid w:val="003B1148"/>
    <w:rsid w:val="003B16FE"/>
    <w:rsid w:val="003B32AE"/>
    <w:rsid w:val="003B4559"/>
    <w:rsid w:val="003B46AA"/>
    <w:rsid w:val="003B4A5C"/>
    <w:rsid w:val="003B6980"/>
    <w:rsid w:val="003B7183"/>
    <w:rsid w:val="003C15D9"/>
    <w:rsid w:val="003C1904"/>
    <w:rsid w:val="003C1E06"/>
    <w:rsid w:val="003C365F"/>
    <w:rsid w:val="003C4500"/>
    <w:rsid w:val="003C4C6B"/>
    <w:rsid w:val="003C5ADD"/>
    <w:rsid w:val="003C6345"/>
    <w:rsid w:val="003C67E9"/>
    <w:rsid w:val="003C6BF6"/>
    <w:rsid w:val="003C7DC9"/>
    <w:rsid w:val="003D0289"/>
    <w:rsid w:val="003D0613"/>
    <w:rsid w:val="003D0BE1"/>
    <w:rsid w:val="003D22F7"/>
    <w:rsid w:val="003D2A8E"/>
    <w:rsid w:val="003D2AF0"/>
    <w:rsid w:val="003D327B"/>
    <w:rsid w:val="003D3544"/>
    <w:rsid w:val="003D3E73"/>
    <w:rsid w:val="003D42A5"/>
    <w:rsid w:val="003D5044"/>
    <w:rsid w:val="003E0A59"/>
    <w:rsid w:val="003E1048"/>
    <w:rsid w:val="003E374F"/>
    <w:rsid w:val="003E3ED6"/>
    <w:rsid w:val="003E59BC"/>
    <w:rsid w:val="003E634D"/>
    <w:rsid w:val="003E7474"/>
    <w:rsid w:val="003F2704"/>
    <w:rsid w:val="003F447D"/>
    <w:rsid w:val="003F5535"/>
    <w:rsid w:val="003F647B"/>
    <w:rsid w:val="003F657C"/>
    <w:rsid w:val="003F68B4"/>
    <w:rsid w:val="003F7546"/>
    <w:rsid w:val="003F78BA"/>
    <w:rsid w:val="00400C4D"/>
    <w:rsid w:val="00401FB5"/>
    <w:rsid w:val="0040212A"/>
    <w:rsid w:val="00403B59"/>
    <w:rsid w:val="00404F11"/>
    <w:rsid w:val="00404FF0"/>
    <w:rsid w:val="0040501B"/>
    <w:rsid w:val="00405754"/>
    <w:rsid w:val="00405C7C"/>
    <w:rsid w:val="0040600D"/>
    <w:rsid w:val="0040690B"/>
    <w:rsid w:val="00406A20"/>
    <w:rsid w:val="00410AD0"/>
    <w:rsid w:val="00411549"/>
    <w:rsid w:val="004145BB"/>
    <w:rsid w:val="004150CA"/>
    <w:rsid w:val="00415D30"/>
    <w:rsid w:val="004163F4"/>
    <w:rsid w:val="00420B39"/>
    <w:rsid w:val="00420F5C"/>
    <w:rsid w:val="00421092"/>
    <w:rsid w:val="00423489"/>
    <w:rsid w:val="00423788"/>
    <w:rsid w:val="0042386A"/>
    <w:rsid w:val="00424510"/>
    <w:rsid w:val="00424B59"/>
    <w:rsid w:val="00424E0E"/>
    <w:rsid w:val="0042580A"/>
    <w:rsid w:val="00425811"/>
    <w:rsid w:val="00425F37"/>
    <w:rsid w:val="004264AC"/>
    <w:rsid w:val="0042667E"/>
    <w:rsid w:val="0043194D"/>
    <w:rsid w:val="004322A2"/>
    <w:rsid w:val="00433914"/>
    <w:rsid w:val="00436830"/>
    <w:rsid w:val="0044036C"/>
    <w:rsid w:val="00441435"/>
    <w:rsid w:val="00442438"/>
    <w:rsid w:val="00442541"/>
    <w:rsid w:val="00442F8C"/>
    <w:rsid w:val="0044357A"/>
    <w:rsid w:val="004441D1"/>
    <w:rsid w:val="004509B1"/>
    <w:rsid w:val="0045114F"/>
    <w:rsid w:val="00453E74"/>
    <w:rsid w:val="0045415C"/>
    <w:rsid w:val="004543CC"/>
    <w:rsid w:val="00454991"/>
    <w:rsid w:val="004554A6"/>
    <w:rsid w:val="004609AD"/>
    <w:rsid w:val="00465D9C"/>
    <w:rsid w:val="00466CDF"/>
    <w:rsid w:val="00467221"/>
    <w:rsid w:val="0046726F"/>
    <w:rsid w:val="00467A4F"/>
    <w:rsid w:val="00467BAC"/>
    <w:rsid w:val="0047089F"/>
    <w:rsid w:val="0047158E"/>
    <w:rsid w:val="00475FC6"/>
    <w:rsid w:val="00476097"/>
    <w:rsid w:val="00476AAE"/>
    <w:rsid w:val="00476DDB"/>
    <w:rsid w:val="00477DE7"/>
    <w:rsid w:val="004815D3"/>
    <w:rsid w:val="004836A0"/>
    <w:rsid w:val="00483D28"/>
    <w:rsid w:val="00483FBF"/>
    <w:rsid w:val="00486AE6"/>
    <w:rsid w:val="004901B6"/>
    <w:rsid w:val="0049051C"/>
    <w:rsid w:val="004909D1"/>
    <w:rsid w:val="0049112C"/>
    <w:rsid w:val="004915D9"/>
    <w:rsid w:val="004940C9"/>
    <w:rsid w:val="00494ECC"/>
    <w:rsid w:val="004952B6"/>
    <w:rsid w:val="004952E7"/>
    <w:rsid w:val="00495500"/>
    <w:rsid w:val="00495EED"/>
    <w:rsid w:val="004962D3"/>
    <w:rsid w:val="0049791F"/>
    <w:rsid w:val="004A0794"/>
    <w:rsid w:val="004A1434"/>
    <w:rsid w:val="004A32DA"/>
    <w:rsid w:val="004A38F5"/>
    <w:rsid w:val="004A487D"/>
    <w:rsid w:val="004A48C6"/>
    <w:rsid w:val="004A4FD3"/>
    <w:rsid w:val="004A5F7F"/>
    <w:rsid w:val="004A777F"/>
    <w:rsid w:val="004A79C1"/>
    <w:rsid w:val="004B1DF2"/>
    <w:rsid w:val="004B390B"/>
    <w:rsid w:val="004B42C0"/>
    <w:rsid w:val="004B4AC1"/>
    <w:rsid w:val="004B57F8"/>
    <w:rsid w:val="004B6C23"/>
    <w:rsid w:val="004B753F"/>
    <w:rsid w:val="004C095D"/>
    <w:rsid w:val="004C09D4"/>
    <w:rsid w:val="004C1307"/>
    <w:rsid w:val="004C2171"/>
    <w:rsid w:val="004C4514"/>
    <w:rsid w:val="004C4962"/>
    <w:rsid w:val="004C49A5"/>
    <w:rsid w:val="004C49E2"/>
    <w:rsid w:val="004C5112"/>
    <w:rsid w:val="004C52F7"/>
    <w:rsid w:val="004C749D"/>
    <w:rsid w:val="004D1CFA"/>
    <w:rsid w:val="004D1E64"/>
    <w:rsid w:val="004D2914"/>
    <w:rsid w:val="004D2D41"/>
    <w:rsid w:val="004D3081"/>
    <w:rsid w:val="004D38E4"/>
    <w:rsid w:val="004D3AE1"/>
    <w:rsid w:val="004D3E1B"/>
    <w:rsid w:val="004D3FB4"/>
    <w:rsid w:val="004D4283"/>
    <w:rsid w:val="004D5CBD"/>
    <w:rsid w:val="004D729C"/>
    <w:rsid w:val="004D745F"/>
    <w:rsid w:val="004D7F48"/>
    <w:rsid w:val="004E03C1"/>
    <w:rsid w:val="004E37DF"/>
    <w:rsid w:val="004E5A31"/>
    <w:rsid w:val="004E5A69"/>
    <w:rsid w:val="004E5C2F"/>
    <w:rsid w:val="004E61C6"/>
    <w:rsid w:val="004E63B1"/>
    <w:rsid w:val="004E69F7"/>
    <w:rsid w:val="004E722A"/>
    <w:rsid w:val="004E7625"/>
    <w:rsid w:val="004E7A05"/>
    <w:rsid w:val="004E7AA2"/>
    <w:rsid w:val="004E7E1A"/>
    <w:rsid w:val="004F0096"/>
    <w:rsid w:val="004F2146"/>
    <w:rsid w:val="004F2FC7"/>
    <w:rsid w:val="004F4161"/>
    <w:rsid w:val="004F5291"/>
    <w:rsid w:val="004F5C24"/>
    <w:rsid w:val="004F610C"/>
    <w:rsid w:val="004F6471"/>
    <w:rsid w:val="004F68B9"/>
    <w:rsid w:val="004F7138"/>
    <w:rsid w:val="004F73AC"/>
    <w:rsid w:val="00500319"/>
    <w:rsid w:val="00500345"/>
    <w:rsid w:val="00500FAE"/>
    <w:rsid w:val="00502D74"/>
    <w:rsid w:val="00503242"/>
    <w:rsid w:val="005033F7"/>
    <w:rsid w:val="005035DA"/>
    <w:rsid w:val="00503B18"/>
    <w:rsid w:val="005041E0"/>
    <w:rsid w:val="0050466E"/>
    <w:rsid w:val="00504D02"/>
    <w:rsid w:val="00504FE2"/>
    <w:rsid w:val="0050511D"/>
    <w:rsid w:val="00505816"/>
    <w:rsid w:val="00505875"/>
    <w:rsid w:val="00505EF1"/>
    <w:rsid w:val="00510672"/>
    <w:rsid w:val="00513338"/>
    <w:rsid w:val="00514034"/>
    <w:rsid w:val="0051468C"/>
    <w:rsid w:val="00514FAE"/>
    <w:rsid w:val="005157FE"/>
    <w:rsid w:val="00515C1F"/>
    <w:rsid w:val="005161DF"/>
    <w:rsid w:val="00516E9F"/>
    <w:rsid w:val="00516EE8"/>
    <w:rsid w:val="00520D37"/>
    <w:rsid w:val="00521771"/>
    <w:rsid w:val="00522CC3"/>
    <w:rsid w:val="00524430"/>
    <w:rsid w:val="00525929"/>
    <w:rsid w:val="00526B1A"/>
    <w:rsid w:val="0053011A"/>
    <w:rsid w:val="00530241"/>
    <w:rsid w:val="00531661"/>
    <w:rsid w:val="00531915"/>
    <w:rsid w:val="00532C14"/>
    <w:rsid w:val="00533456"/>
    <w:rsid w:val="0053530A"/>
    <w:rsid w:val="0053599B"/>
    <w:rsid w:val="005363B3"/>
    <w:rsid w:val="00536B61"/>
    <w:rsid w:val="00537214"/>
    <w:rsid w:val="00542C4B"/>
    <w:rsid w:val="00543D67"/>
    <w:rsid w:val="00545C71"/>
    <w:rsid w:val="0054724B"/>
    <w:rsid w:val="00547EA5"/>
    <w:rsid w:val="00551C32"/>
    <w:rsid w:val="00551CF5"/>
    <w:rsid w:val="00551EAC"/>
    <w:rsid w:val="005534B7"/>
    <w:rsid w:val="0055499A"/>
    <w:rsid w:val="00554F69"/>
    <w:rsid w:val="00555236"/>
    <w:rsid w:val="0055555F"/>
    <w:rsid w:val="005563DA"/>
    <w:rsid w:val="00556562"/>
    <w:rsid w:val="0055697B"/>
    <w:rsid w:val="005570D2"/>
    <w:rsid w:val="00557350"/>
    <w:rsid w:val="00560633"/>
    <w:rsid w:val="00560829"/>
    <w:rsid w:val="0056092A"/>
    <w:rsid w:val="005609FA"/>
    <w:rsid w:val="00560B59"/>
    <w:rsid w:val="00563184"/>
    <w:rsid w:val="00564B04"/>
    <w:rsid w:val="00564D61"/>
    <w:rsid w:val="005654F9"/>
    <w:rsid w:val="00565F5E"/>
    <w:rsid w:val="00566C1B"/>
    <w:rsid w:val="005675BC"/>
    <w:rsid w:val="0056792E"/>
    <w:rsid w:val="00570141"/>
    <w:rsid w:val="00570202"/>
    <w:rsid w:val="005754BC"/>
    <w:rsid w:val="005755F0"/>
    <w:rsid w:val="0057628A"/>
    <w:rsid w:val="00576456"/>
    <w:rsid w:val="00576C31"/>
    <w:rsid w:val="005773CE"/>
    <w:rsid w:val="0058025E"/>
    <w:rsid w:val="005820BE"/>
    <w:rsid w:val="0058218D"/>
    <w:rsid w:val="00583204"/>
    <w:rsid w:val="0058383D"/>
    <w:rsid w:val="00583B22"/>
    <w:rsid w:val="0058459D"/>
    <w:rsid w:val="005852DD"/>
    <w:rsid w:val="0058551D"/>
    <w:rsid w:val="0058572A"/>
    <w:rsid w:val="00585F9D"/>
    <w:rsid w:val="00587950"/>
    <w:rsid w:val="00590BF4"/>
    <w:rsid w:val="00591557"/>
    <w:rsid w:val="0059375F"/>
    <w:rsid w:val="00593E3F"/>
    <w:rsid w:val="00595074"/>
    <w:rsid w:val="00595C10"/>
    <w:rsid w:val="0059620F"/>
    <w:rsid w:val="0059647C"/>
    <w:rsid w:val="005964B3"/>
    <w:rsid w:val="00596953"/>
    <w:rsid w:val="00596989"/>
    <w:rsid w:val="00596A48"/>
    <w:rsid w:val="00596CFC"/>
    <w:rsid w:val="00596E8B"/>
    <w:rsid w:val="005A171A"/>
    <w:rsid w:val="005A1DF8"/>
    <w:rsid w:val="005A273D"/>
    <w:rsid w:val="005A3A3D"/>
    <w:rsid w:val="005A3BFB"/>
    <w:rsid w:val="005A545B"/>
    <w:rsid w:val="005A5A7B"/>
    <w:rsid w:val="005A6D5B"/>
    <w:rsid w:val="005A7E16"/>
    <w:rsid w:val="005B2004"/>
    <w:rsid w:val="005B209F"/>
    <w:rsid w:val="005B2786"/>
    <w:rsid w:val="005B3367"/>
    <w:rsid w:val="005B4590"/>
    <w:rsid w:val="005B495A"/>
    <w:rsid w:val="005B4A0F"/>
    <w:rsid w:val="005B647C"/>
    <w:rsid w:val="005B6BCE"/>
    <w:rsid w:val="005B6EF6"/>
    <w:rsid w:val="005B7F36"/>
    <w:rsid w:val="005C090A"/>
    <w:rsid w:val="005C394E"/>
    <w:rsid w:val="005C3AF5"/>
    <w:rsid w:val="005C3C59"/>
    <w:rsid w:val="005C4C42"/>
    <w:rsid w:val="005C4F7E"/>
    <w:rsid w:val="005C511F"/>
    <w:rsid w:val="005C5277"/>
    <w:rsid w:val="005C55BC"/>
    <w:rsid w:val="005C769C"/>
    <w:rsid w:val="005D0115"/>
    <w:rsid w:val="005D23C2"/>
    <w:rsid w:val="005D2547"/>
    <w:rsid w:val="005D40B0"/>
    <w:rsid w:val="005D4FDC"/>
    <w:rsid w:val="005D5478"/>
    <w:rsid w:val="005D54D9"/>
    <w:rsid w:val="005D5AD0"/>
    <w:rsid w:val="005D7E5B"/>
    <w:rsid w:val="005E05E5"/>
    <w:rsid w:val="005E07BB"/>
    <w:rsid w:val="005E08D0"/>
    <w:rsid w:val="005E158F"/>
    <w:rsid w:val="005E1D72"/>
    <w:rsid w:val="005E2FDE"/>
    <w:rsid w:val="005E440F"/>
    <w:rsid w:val="005E4580"/>
    <w:rsid w:val="005E4720"/>
    <w:rsid w:val="005E6BA2"/>
    <w:rsid w:val="005E7D5E"/>
    <w:rsid w:val="005F154A"/>
    <w:rsid w:val="005F1755"/>
    <w:rsid w:val="005F1FDA"/>
    <w:rsid w:val="005F21D1"/>
    <w:rsid w:val="005F2B6D"/>
    <w:rsid w:val="005F2D7D"/>
    <w:rsid w:val="005F30E8"/>
    <w:rsid w:val="005F4879"/>
    <w:rsid w:val="005F5EF4"/>
    <w:rsid w:val="005F643E"/>
    <w:rsid w:val="005F694E"/>
    <w:rsid w:val="005F7391"/>
    <w:rsid w:val="0060001C"/>
    <w:rsid w:val="00600276"/>
    <w:rsid w:val="00604784"/>
    <w:rsid w:val="006064BC"/>
    <w:rsid w:val="0061075F"/>
    <w:rsid w:val="00611E65"/>
    <w:rsid w:val="00614610"/>
    <w:rsid w:val="00614CA6"/>
    <w:rsid w:val="00616396"/>
    <w:rsid w:val="006167A0"/>
    <w:rsid w:val="00617430"/>
    <w:rsid w:val="00617952"/>
    <w:rsid w:val="006226D2"/>
    <w:rsid w:val="0062419D"/>
    <w:rsid w:val="0062507D"/>
    <w:rsid w:val="00625202"/>
    <w:rsid w:val="00626296"/>
    <w:rsid w:val="006307AD"/>
    <w:rsid w:val="00631927"/>
    <w:rsid w:val="00633232"/>
    <w:rsid w:val="0063424E"/>
    <w:rsid w:val="00634679"/>
    <w:rsid w:val="00634D26"/>
    <w:rsid w:val="006350DB"/>
    <w:rsid w:val="00637927"/>
    <w:rsid w:val="006401C9"/>
    <w:rsid w:val="00640CCB"/>
    <w:rsid w:val="0064107B"/>
    <w:rsid w:val="006428B8"/>
    <w:rsid w:val="0064357F"/>
    <w:rsid w:val="00644E0B"/>
    <w:rsid w:val="00647BC0"/>
    <w:rsid w:val="006503F4"/>
    <w:rsid w:val="006533BA"/>
    <w:rsid w:val="00654E59"/>
    <w:rsid w:val="00656A21"/>
    <w:rsid w:val="00656EDF"/>
    <w:rsid w:val="00662132"/>
    <w:rsid w:val="0066219E"/>
    <w:rsid w:val="006637DB"/>
    <w:rsid w:val="0066392C"/>
    <w:rsid w:val="00664CA9"/>
    <w:rsid w:val="00665BEA"/>
    <w:rsid w:val="006664C7"/>
    <w:rsid w:val="00666777"/>
    <w:rsid w:val="006671E4"/>
    <w:rsid w:val="00667336"/>
    <w:rsid w:val="0067127B"/>
    <w:rsid w:val="006716D7"/>
    <w:rsid w:val="00671702"/>
    <w:rsid w:val="0067182C"/>
    <w:rsid w:val="00672676"/>
    <w:rsid w:val="006728D5"/>
    <w:rsid w:val="00672991"/>
    <w:rsid w:val="00673508"/>
    <w:rsid w:val="006746D6"/>
    <w:rsid w:val="006749DA"/>
    <w:rsid w:val="0067609A"/>
    <w:rsid w:val="006767A3"/>
    <w:rsid w:val="0067791A"/>
    <w:rsid w:val="006804C8"/>
    <w:rsid w:val="00681620"/>
    <w:rsid w:val="00681C69"/>
    <w:rsid w:val="006858CF"/>
    <w:rsid w:val="00685CF1"/>
    <w:rsid w:val="00685F3D"/>
    <w:rsid w:val="006907D2"/>
    <w:rsid w:val="00691285"/>
    <w:rsid w:val="00691681"/>
    <w:rsid w:val="006916F0"/>
    <w:rsid w:val="00692F51"/>
    <w:rsid w:val="0069373F"/>
    <w:rsid w:val="00693A65"/>
    <w:rsid w:val="0069440E"/>
    <w:rsid w:val="0069447F"/>
    <w:rsid w:val="00694807"/>
    <w:rsid w:val="00694A42"/>
    <w:rsid w:val="00695EBF"/>
    <w:rsid w:val="00697C50"/>
    <w:rsid w:val="006A14DA"/>
    <w:rsid w:val="006A481D"/>
    <w:rsid w:val="006A5EAF"/>
    <w:rsid w:val="006B053C"/>
    <w:rsid w:val="006B2688"/>
    <w:rsid w:val="006B36D0"/>
    <w:rsid w:val="006B3985"/>
    <w:rsid w:val="006B4DCF"/>
    <w:rsid w:val="006B57BC"/>
    <w:rsid w:val="006C0F34"/>
    <w:rsid w:val="006C293A"/>
    <w:rsid w:val="006C3CCD"/>
    <w:rsid w:val="006C3E39"/>
    <w:rsid w:val="006C515A"/>
    <w:rsid w:val="006C55E2"/>
    <w:rsid w:val="006C69D4"/>
    <w:rsid w:val="006D0763"/>
    <w:rsid w:val="006D07D2"/>
    <w:rsid w:val="006D13FD"/>
    <w:rsid w:val="006D3714"/>
    <w:rsid w:val="006D42EB"/>
    <w:rsid w:val="006D42EC"/>
    <w:rsid w:val="006D5972"/>
    <w:rsid w:val="006D59BE"/>
    <w:rsid w:val="006D663D"/>
    <w:rsid w:val="006E074D"/>
    <w:rsid w:val="006E1723"/>
    <w:rsid w:val="006E1ECA"/>
    <w:rsid w:val="006E2C8C"/>
    <w:rsid w:val="006E3A56"/>
    <w:rsid w:val="006E3C9F"/>
    <w:rsid w:val="006E445A"/>
    <w:rsid w:val="006E4708"/>
    <w:rsid w:val="006E4F48"/>
    <w:rsid w:val="006E563A"/>
    <w:rsid w:val="006E58F0"/>
    <w:rsid w:val="006E7679"/>
    <w:rsid w:val="006F0D71"/>
    <w:rsid w:val="006F2F26"/>
    <w:rsid w:val="006F33EE"/>
    <w:rsid w:val="006F511B"/>
    <w:rsid w:val="006F533F"/>
    <w:rsid w:val="006F6CDA"/>
    <w:rsid w:val="006F6EBC"/>
    <w:rsid w:val="006F70F6"/>
    <w:rsid w:val="006F7C14"/>
    <w:rsid w:val="00700124"/>
    <w:rsid w:val="00701184"/>
    <w:rsid w:val="00704350"/>
    <w:rsid w:val="00704ADC"/>
    <w:rsid w:val="00707C39"/>
    <w:rsid w:val="007111D4"/>
    <w:rsid w:val="007119BC"/>
    <w:rsid w:val="00714123"/>
    <w:rsid w:val="00714DBB"/>
    <w:rsid w:val="007164C7"/>
    <w:rsid w:val="00716514"/>
    <w:rsid w:val="007167F3"/>
    <w:rsid w:val="00716BB6"/>
    <w:rsid w:val="007173D5"/>
    <w:rsid w:val="00720C2C"/>
    <w:rsid w:val="00722042"/>
    <w:rsid w:val="00722E3B"/>
    <w:rsid w:val="007232A6"/>
    <w:rsid w:val="00723F64"/>
    <w:rsid w:val="00724908"/>
    <w:rsid w:val="0072513A"/>
    <w:rsid w:val="007257F5"/>
    <w:rsid w:val="00725ED2"/>
    <w:rsid w:val="00730EBB"/>
    <w:rsid w:val="00731F9E"/>
    <w:rsid w:val="00732B4B"/>
    <w:rsid w:val="00732CDF"/>
    <w:rsid w:val="007335B5"/>
    <w:rsid w:val="0073412E"/>
    <w:rsid w:val="0073590A"/>
    <w:rsid w:val="007436E7"/>
    <w:rsid w:val="00743742"/>
    <w:rsid w:val="00745673"/>
    <w:rsid w:val="007462AB"/>
    <w:rsid w:val="0074668C"/>
    <w:rsid w:val="00750B8B"/>
    <w:rsid w:val="007530FD"/>
    <w:rsid w:val="0075310F"/>
    <w:rsid w:val="00753938"/>
    <w:rsid w:val="0075393A"/>
    <w:rsid w:val="00753EC2"/>
    <w:rsid w:val="00756DE8"/>
    <w:rsid w:val="00760CFF"/>
    <w:rsid w:val="007613D7"/>
    <w:rsid w:val="007630A2"/>
    <w:rsid w:val="00763B49"/>
    <w:rsid w:val="007642BA"/>
    <w:rsid w:val="007642F1"/>
    <w:rsid w:val="007646E7"/>
    <w:rsid w:val="0076509C"/>
    <w:rsid w:val="00767A85"/>
    <w:rsid w:val="00771741"/>
    <w:rsid w:val="0077199C"/>
    <w:rsid w:val="00773986"/>
    <w:rsid w:val="00775FED"/>
    <w:rsid w:val="007764FF"/>
    <w:rsid w:val="007769AA"/>
    <w:rsid w:val="00781160"/>
    <w:rsid w:val="007829FC"/>
    <w:rsid w:val="00782A45"/>
    <w:rsid w:val="0078437C"/>
    <w:rsid w:val="00784972"/>
    <w:rsid w:val="00785722"/>
    <w:rsid w:val="00785792"/>
    <w:rsid w:val="00785F7D"/>
    <w:rsid w:val="0078659D"/>
    <w:rsid w:val="00790495"/>
    <w:rsid w:val="007926D5"/>
    <w:rsid w:val="00793AD6"/>
    <w:rsid w:val="00794238"/>
    <w:rsid w:val="00794709"/>
    <w:rsid w:val="007957E4"/>
    <w:rsid w:val="00797085"/>
    <w:rsid w:val="00797E55"/>
    <w:rsid w:val="007A0A37"/>
    <w:rsid w:val="007A0D97"/>
    <w:rsid w:val="007A1348"/>
    <w:rsid w:val="007A29AC"/>
    <w:rsid w:val="007A3893"/>
    <w:rsid w:val="007A3D47"/>
    <w:rsid w:val="007A3E2F"/>
    <w:rsid w:val="007A4F3D"/>
    <w:rsid w:val="007A5D26"/>
    <w:rsid w:val="007A5ED5"/>
    <w:rsid w:val="007A6A1C"/>
    <w:rsid w:val="007A75FB"/>
    <w:rsid w:val="007A7794"/>
    <w:rsid w:val="007A7A88"/>
    <w:rsid w:val="007B0CD6"/>
    <w:rsid w:val="007B0E87"/>
    <w:rsid w:val="007B1E64"/>
    <w:rsid w:val="007B223E"/>
    <w:rsid w:val="007B36FA"/>
    <w:rsid w:val="007B4D1E"/>
    <w:rsid w:val="007B5B4F"/>
    <w:rsid w:val="007B606F"/>
    <w:rsid w:val="007B6423"/>
    <w:rsid w:val="007B6589"/>
    <w:rsid w:val="007B671B"/>
    <w:rsid w:val="007B6A80"/>
    <w:rsid w:val="007B6FE1"/>
    <w:rsid w:val="007B74E8"/>
    <w:rsid w:val="007C0164"/>
    <w:rsid w:val="007C0CAD"/>
    <w:rsid w:val="007C0E1A"/>
    <w:rsid w:val="007C119B"/>
    <w:rsid w:val="007C1C64"/>
    <w:rsid w:val="007C2050"/>
    <w:rsid w:val="007C6ED1"/>
    <w:rsid w:val="007D0F5C"/>
    <w:rsid w:val="007D1AC2"/>
    <w:rsid w:val="007D2E41"/>
    <w:rsid w:val="007D3B45"/>
    <w:rsid w:val="007D3F0F"/>
    <w:rsid w:val="007D456E"/>
    <w:rsid w:val="007D48A3"/>
    <w:rsid w:val="007D5555"/>
    <w:rsid w:val="007D60B1"/>
    <w:rsid w:val="007E1072"/>
    <w:rsid w:val="007E1484"/>
    <w:rsid w:val="007E1C7E"/>
    <w:rsid w:val="007E302D"/>
    <w:rsid w:val="007E383B"/>
    <w:rsid w:val="007E4616"/>
    <w:rsid w:val="007E5584"/>
    <w:rsid w:val="007E5BC4"/>
    <w:rsid w:val="007E6C71"/>
    <w:rsid w:val="007F0005"/>
    <w:rsid w:val="007F141F"/>
    <w:rsid w:val="007F1D3A"/>
    <w:rsid w:val="007F3021"/>
    <w:rsid w:val="007F363C"/>
    <w:rsid w:val="007F4FFC"/>
    <w:rsid w:val="007F566B"/>
    <w:rsid w:val="007F5C8A"/>
    <w:rsid w:val="007F6E1D"/>
    <w:rsid w:val="007F7634"/>
    <w:rsid w:val="008014F4"/>
    <w:rsid w:val="008015EB"/>
    <w:rsid w:val="00801D44"/>
    <w:rsid w:val="0080279A"/>
    <w:rsid w:val="008029BA"/>
    <w:rsid w:val="008033B2"/>
    <w:rsid w:val="00804CFD"/>
    <w:rsid w:val="00805765"/>
    <w:rsid w:val="00805DA1"/>
    <w:rsid w:val="00806CEF"/>
    <w:rsid w:val="00807FD8"/>
    <w:rsid w:val="0081047A"/>
    <w:rsid w:val="00811CFF"/>
    <w:rsid w:val="00811ECC"/>
    <w:rsid w:val="00811F77"/>
    <w:rsid w:val="008127D0"/>
    <w:rsid w:val="0081422B"/>
    <w:rsid w:val="00814C56"/>
    <w:rsid w:val="00815404"/>
    <w:rsid w:val="00815416"/>
    <w:rsid w:val="00816A0E"/>
    <w:rsid w:val="00820E63"/>
    <w:rsid w:val="00821F2F"/>
    <w:rsid w:val="008241AE"/>
    <w:rsid w:val="0082461C"/>
    <w:rsid w:val="00826EEB"/>
    <w:rsid w:val="008307A4"/>
    <w:rsid w:val="00832AC0"/>
    <w:rsid w:val="008337C2"/>
    <w:rsid w:val="00834B5A"/>
    <w:rsid w:val="00837679"/>
    <w:rsid w:val="008377EC"/>
    <w:rsid w:val="00837C4A"/>
    <w:rsid w:val="00840036"/>
    <w:rsid w:val="00840314"/>
    <w:rsid w:val="00840FB5"/>
    <w:rsid w:val="00841926"/>
    <w:rsid w:val="0084295D"/>
    <w:rsid w:val="008430F9"/>
    <w:rsid w:val="008436E1"/>
    <w:rsid w:val="0084386F"/>
    <w:rsid w:val="0084387D"/>
    <w:rsid w:val="008458AF"/>
    <w:rsid w:val="00845D1E"/>
    <w:rsid w:val="00845D45"/>
    <w:rsid w:val="00846E19"/>
    <w:rsid w:val="0084782A"/>
    <w:rsid w:val="0085024E"/>
    <w:rsid w:val="00852FBE"/>
    <w:rsid w:val="00861E4D"/>
    <w:rsid w:val="00864425"/>
    <w:rsid w:val="00864BE6"/>
    <w:rsid w:val="00865491"/>
    <w:rsid w:val="00867314"/>
    <w:rsid w:val="00867D21"/>
    <w:rsid w:val="00870058"/>
    <w:rsid w:val="008735DA"/>
    <w:rsid w:val="00873CA0"/>
    <w:rsid w:val="008745A0"/>
    <w:rsid w:val="00874BB4"/>
    <w:rsid w:val="0087542D"/>
    <w:rsid w:val="008777D6"/>
    <w:rsid w:val="008817B2"/>
    <w:rsid w:val="00881C79"/>
    <w:rsid w:val="0088241F"/>
    <w:rsid w:val="00882779"/>
    <w:rsid w:val="00883264"/>
    <w:rsid w:val="00883DAD"/>
    <w:rsid w:val="008842C3"/>
    <w:rsid w:val="008868D6"/>
    <w:rsid w:val="00886C0D"/>
    <w:rsid w:val="00887061"/>
    <w:rsid w:val="0088741C"/>
    <w:rsid w:val="008874D6"/>
    <w:rsid w:val="008878F5"/>
    <w:rsid w:val="008921C4"/>
    <w:rsid w:val="00892603"/>
    <w:rsid w:val="0089294D"/>
    <w:rsid w:val="00892C70"/>
    <w:rsid w:val="00892C71"/>
    <w:rsid w:val="00895966"/>
    <w:rsid w:val="008A4DFB"/>
    <w:rsid w:val="008A64A6"/>
    <w:rsid w:val="008A6B26"/>
    <w:rsid w:val="008A6C44"/>
    <w:rsid w:val="008A7149"/>
    <w:rsid w:val="008A7A29"/>
    <w:rsid w:val="008B004F"/>
    <w:rsid w:val="008B0616"/>
    <w:rsid w:val="008B08DD"/>
    <w:rsid w:val="008B1821"/>
    <w:rsid w:val="008B4067"/>
    <w:rsid w:val="008B4A1F"/>
    <w:rsid w:val="008B4CB6"/>
    <w:rsid w:val="008B5A5E"/>
    <w:rsid w:val="008B69CC"/>
    <w:rsid w:val="008B6F6D"/>
    <w:rsid w:val="008C007C"/>
    <w:rsid w:val="008C0DF5"/>
    <w:rsid w:val="008C472B"/>
    <w:rsid w:val="008C574A"/>
    <w:rsid w:val="008C5FB9"/>
    <w:rsid w:val="008C70CC"/>
    <w:rsid w:val="008D0CBE"/>
    <w:rsid w:val="008D3756"/>
    <w:rsid w:val="008D43A3"/>
    <w:rsid w:val="008D47EA"/>
    <w:rsid w:val="008D6DDD"/>
    <w:rsid w:val="008D7377"/>
    <w:rsid w:val="008E0500"/>
    <w:rsid w:val="008E1AFF"/>
    <w:rsid w:val="008E23F8"/>
    <w:rsid w:val="008E2829"/>
    <w:rsid w:val="008E2EB1"/>
    <w:rsid w:val="008E3138"/>
    <w:rsid w:val="008E3226"/>
    <w:rsid w:val="008F01B6"/>
    <w:rsid w:val="008F04D6"/>
    <w:rsid w:val="008F11FA"/>
    <w:rsid w:val="008F18A4"/>
    <w:rsid w:val="008F1BA3"/>
    <w:rsid w:val="008F2777"/>
    <w:rsid w:val="008F299E"/>
    <w:rsid w:val="008F4D23"/>
    <w:rsid w:val="008F6D89"/>
    <w:rsid w:val="008F741B"/>
    <w:rsid w:val="008F7464"/>
    <w:rsid w:val="009002DC"/>
    <w:rsid w:val="00901390"/>
    <w:rsid w:val="009015ED"/>
    <w:rsid w:val="00901814"/>
    <w:rsid w:val="00901B56"/>
    <w:rsid w:val="00902783"/>
    <w:rsid w:val="009030A4"/>
    <w:rsid w:val="00904A8C"/>
    <w:rsid w:val="009063D8"/>
    <w:rsid w:val="00907C33"/>
    <w:rsid w:val="00910855"/>
    <w:rsid w:val="009109CA"/>
    <w:rsid w:val="00913259"/>
    <w:rsid w:val="0091618A"/>
    <w:rsid w:val="0091728A"/>
    <w:rsid w:val="0092079F"/>
    <w:rsid w:val="009208DF"/>
    <w:rsid w:val="00920959"/>
    <w:rsid w:val="00922AAF"/>
    <w:rsid w:val="00923F22"/>
    <w:rsid w:val="0092468A"/>
    <w:rsid w:val="009251B9"/>
    <w:rsid w:val="009259E5"/>
    <w:rsid w:val="0092641C"/>
    <w:rsid w:val="00930489"/>
    <w:rsid w:val="00931FD3"/>
    <w:rsid w:val="0093225E"/>
    <w:rsid w:val="009324A0"/>
    <w:rsid w:val="0093304D"/>
    <w:rsid w:val="0093306F"/>
    <w:rsid w:val="00933074"/>
    <w:rsid w:val="00933C15"/>
    <w:rsid w:val="00933D98"/>
    <w:rsid w:val="00934A81"/>
    <w:rsid w:val="0093505F"/>
    <w:rsid w:val="00935EC2"/>
    <w:rsid w:val="0093620C"/>
    <w:rsid w:val="00937EBC"/>
    <w:rsid w:val="00941935"/>
    <w:rsid w:val="00941D52"/>
    <w:rsid w:val="009420A8"/>
    <w:rsid w:val="00942709"/>
    <w:rsid w:val="00942C85"/>
    <w:rsid w:val="00943CF2"/>
    <w:rsid w:val="0094577B"/>
    <w:rsid w:val="0094649B"/>
    <w:rsid w:val="00946886"/>
    <w:rsid w:val="009479C0"/>
    <w:rsid w:val="00950B9B"/>
    <w:rsid w:val="00950E1B"/>
    <w:rsid w:val="009511E9"/>
    <w:rsid w:val="009535D5"/>
    <w:rsid w:val="00954D33"/>
    <w:rsid w:val="0095520C"/>
    <w:rsid w:val="009556B1"/>
    <w:rsid w:val="00960235"/>
    <w:rsid w:val="0096031E"/>
    <w:rsid w:val="00961153"/>
    <w:rsid w:val="00962307"/>
    <w:rsid w:val="00965017"/>
    <w:rsid w:val="009701DD"/>
    <w:rsid w:val="00970516"/>
    <w:rsid w:val="009719A9"/>
    <w:rsid w:val="009733D8"/>
    <w:rsid w:val="009740EF"/>
    <w:rsid w:val="009740FB"/>
    <w:rsid w:val="009744B8"/>
    <w:rsid w:val="00975728"/>
    <w:rsid w:val="00975D08"/>
    <w:rsid w:val="00976164"/>
    <w:rsid w:val="00977CC5"/>
    <w:rsid w:val="00980557"/>
    <w:rsid w:val="00980F7E"/>
    <w:rsid w:val="009828E3"/>
    <w:rsid w:val="00983847"/>
    <w:rsid w:val="009845E9"/>
    <w:rsid w:val="009855F8"/>
    <w:rsid w:val="0098642F"/>
    <w:rsid w:val="009864BB"/>
    <w:rsid w:val="00986855"/>
    <w:rsid w:val="00986E21"/>
    <w:rsid w:val="009902EB"/>
    <w:rsid w:val="00991028"/>
    <w:rsid w:val="009917A9"/>
    <w:rsid w:val="00993E44"/>
    <w:rsid w:val="00993EB2"/>
    <w:rsid w:val="009948B1"/>
    <w:rsid w:val="00996644"/>
    <w:rsid w:val="009969F6"/>
    <w:rsid w:val="00996A11"/>
    <w:rsid w:val="00997FE3"/>
    <w:rsid w:val="009A093D"/>
    <w:rsid w:val="009A0DDB"/>
    <w:rsid w:val="009A0EB7"/>
    <w:rsid w:val="009A1E06"/>
    <w:rsid w:val="009A1E31"/>
    <w:rsid w:val="009A2B4E"/>
    <w:rsid w:val="009A3197"/>
    <w:rsid w:val="009A4EF4"/>
    <w:rsid w:val="009A6356"/>
    <w:rsid w:val="009A7773"/>
    <w:rsid w:val="009A7C4B"/>
    <w:rsid w:val="009B0992"/>
    <w:rsid w:val="009B0DDA"/>
    <w:rsid w:val="009B407A"/>
    <w:rsid w:val="009B51A3"/>
    <w:rsid w:val="009B5BA6"/>
    <w:rsid w:val="009B798B"/>
    <w:rsid w:val="009B7E39"/>
    <w:rsid w:val="009C104B"/>
    <w:rsid w:val="009C14A8"/>
    <w:rsid w:val="009C2C06"/>
    <w:rsid w:val="009C3992"/>
    <w:rsid w:val="009C40E6"/>
    <w:rsid w:val="009C44CA"/>
    <w:rsid w:val="009C5098"/>
    <w:rsid w:val="009C585B"/>
    <w:rsid w:val="009C595E"/>
    <w:rsid w:val="009C5A4E"/>
    <w:rsid w:val="009D0275"/>
    <w:rsid w:val="009D0BF0"/>
    <w:rsid w:val="009D2822"/>
    <w:rsid w:val="009D28F9"/>
    <w:rsid w:val="009D2EC7"/>
    <w:rsid w:val="009D3C91"/>
    <w:rsid w:val="009D5612"/>
    <w:rsid w:val="009D5F8C"/>
    <w:rsid w:val="009D6A25"/>
    <w:rsid w:val="009D6BF3"/>
    <w:rsid w:val="009D7639"/>
    <w:rsid w:val="009E2777"/>
    <w:rsid w:val="009E361D"/>
    <w:rsid w:val="009E36E1"/>
    <w:rsid w:val="009E3C02"/>
    <w:rsid w:val="009E3F18"/>
    <w:rsid w:val="009E5766"/>
    <w:rsid w:val="009E68EA"/>
    <w:rsid w:val="009E6D4A"/>
    <w:rsid w:val="009E7CB6"/>
    <w:rsid w:val="009F1384"/>
    <w:rsid w:val="009F4563"/>
    <w:rsid w:val="009F4A17"/>
    <w:rsid w:val="009F6253"/>
    <w:rsid w:val="009F727C"/>
    <w:rsid w:val="009F7E0C"/>
    <w:rsid w:val="00A000D6"/>
    <w:rsid w:val="00A02B91"/>
    <w:rsid w:val="00A02DF2"/>
    <w:rsid w:val="00A02E7A"/>
    <w:rsid w:val="00A037D1"/>
    <w:rsid w:val="00A059DB"/>
    <w:rsid w:val="00A1033B"/>
    <w:rsid w:val="00A10D9E"/>
    <w:rsid w:val="00A11C02"/>
    <w:rsid w:val="00A12696"/>
    <w:rsid w:val="00A13444"/>
    <w:rsid w:val="00A14E05"/>
    <w:rsid w:val="00A168B6"/>
    <w:rsid w:val="00A209EA"/>
    <w:rsid w:val="00A2218D"/>
    <w:rsid w:val="00A2223D"/>
    <w:rsid w:val="00A23616"/>
    <w:rsid w:val="00A26D41"/>
    <w:rsid w:val="00A26D77"/>
    <w:rsid w:val="00A27D7D"/>
    <w:rsid w:val="00A3047F"/>
    <w:rsid w:val="00A31D2F"/>
    <w:rsid w:val="00A35468"/>
    <w:rsid w:val="00A40184"/>
    <w:rsid w:val="00A4024A"/>
    <w:rsid w:val="00A4089A"/>
    <w:rsid w:val="00A4123A"/>
    <w:rsid w:val="00A44F46"/>
    <w:rsid w:val="00A47E6E"/>
    <w:rsid w:val="00A50246"/>
    <w:rsid w:val="00A51239"/>
    <w:rsid w:val="00A52737"/>
    <w:rsid w:val="00A539A9"/>
    <w:rsid w:val="00A540EE"/>
    <w:rsid w:val="00A5512E"/>
    <w:rsid w:val="00A55188"/>
    <w:rsid w:val="00A55985"/>
    <w:rsid w:val="00A55FB0"/>
    <w:rsid w:val="00A571B9"/>
    <w:rsid w:val="00A575C5"/>
    <w:rsid w:val="00A57A73"/>
    <w:rsid w:val="00A602A9"/>
    <w:rsid w:val="00A6144F"/>
    <w:rsid w:val="00A62240"/>
    <w:rsid w:val="00A628B0"/>
    <w:rsid w:val="00A63E29"/>
    <w:rsid w:val="00A64776"/>
    <w:rsid w:val="00A64CEA"/>
    <w:rsid w:val="00A64F79"/>
    <w:rsid w:val="00A65105"/>
    <w:rsid w:val="00A66098"/>
    <w:rsid w:val="00A66442"/>
    <w:rsid w:val="00A670F5"/>
    <w:rsid w:val="00A6779A"/>
    <w:rsid w:val="00A6795C"/>
    <w:rsid w:val="00A70A00"/>
    <w:rsid w:val="00A7147F"/>
    <w:rsid w:val="00A71D74"/>
    <w:rsid w:val="00A722DA"/>
    <w:rsid w:val="00A72E11"/>
    <w:rsid w:val="00A74621"/>
    <w:rsid w:val="00A7472D"/>
    <w:rsid w:val="00A75324"/>
    <w:rsid w:val="00A75514"/>
    <w:rsid w:val="00A7642A"/>
    <w:rsid w:val="00A76AAF"/>
    <w:rsid w:val="00A77204"/>
    <w:rsid w:val="00A77501"/>
    <w:rsid w:val="00A77DFC"/>
    <w:rsid w:val="00A81F1E"/>
    <w:rsid w:val="00A8361A"/>
    <w:rsid w:val="00A83626"/>
    <w:rsid w:val="00A83A58"/>
    <w:rsid w:val="00A84F33"/>
    <w:rsid w:val="00A85102"/>
    <w:rsid w:val="00A85314"/>
    <w:rsid w:val="00A8586D"/>
    <w:rsid w:val="00A85AFE"/>
    <w:rsid w:val="00A85DF5"/>
    <w:rsid w:val="00A866DE"/>
    <w:rsid w:val="00A86744"/>
    <w:rsid w:val="00A8734A"/>
    <w:rsid w:val="00A91A0D"/>
    <w:rsid w:val="00A91C43"/>
    <w:rsid w:val="00A92988"/>
    <w:rsid w:val="00A92E3A"/>
    <w:rsid w:val="00A93CEF"/>
    <w:rsid w:val="00A94DAC"/>
    <w:rsid w:val="00A94FC7"/>
    <w:rsid w:val="00A95F66"/>
    <w:rsid w:val="00A9671F"/>
    <w:rsid w:val="00A974AF"/>
    <w:rsid w:val="00A979B1"/>
    <w:rsid w:val="00A97D33"/>
    <w:rsid w:val="00AA0C00"/>
    <w:rsid w:val="00AA0E56"/>
    <w:rsid w:val="00AA10F7"/>
    <w:rsid w:val="00AA1BDE"/>
    <w:rsid w:val="00AA275C"/>
    <w:rsid w:val="00AA2B6B"/>
    <w:rsid w:val="00AA2BE1"/>
    <w:rsid w:val="00AA455C"/>
    <w:rsid w:val="00AA4D9B"/>
    <w:rsid w:val="00AA4FF7"/>
    <w:rsid w:val="00AA515C"/>
    <w:rsid w:val="00AA55FF"/>
    <w:rsid w:val="00AA59B8"/>
    <w:rsid w:val="00AA6A37"/>
    <w:rsid w:val="00AA705A"/>
    <w:rsid w:val="00AA74B8"/>
    <w:rsid w:val="00AB00ED"/>
    <w:rsid w:val="00AB013A"/>
    <w:rsid w:val="00AB0503"/>
    <w:rsid w:val="00AB2213"/>
    <w:rsid w:val="00AB75BE"/>
    <w:rsid w:val="00AB7F73"/>
    <w:rsid w:val="00AC11EF"/>
    <w:rsid w:val="00AC13DC"/>
    <w:rsid w:val="00AC16AC"/>
    <w:rsid w:val="00AC22BE"/>
    <w:rsid w:val="00AC3C49"/>
    <w:rsid w:val="00AC4465"/>
    <w:rsid w:val="00AC65B9"/>
    <w:rsid w:val="00AD1CCF"/>
    <w:rsid w:val="00AD28D1"/>
    <w:rsid w:val="00AD2C33"/>
    <w:rsid w:val="00AD2CAB"/>
    <w:rsid w:val="00AD2F5E"/>
    <w:rsid w:val="00AD313F"/>
    <w:rsid w:val="00AD64D3"/>
    <w:rsid w:val="00AD652D"/>
    <w:rsid w:val="00AD6979"/>
    <w:rsid w:val="00AD77A8"/>
    <w:rsid w:val="00AE176B"/>
    <w:rsid w:val="00AE1E6F"/>
    <w:rsid w:val="00AE3CC9"/>
    <w:rsid w:val="00AE49C8"/>
    <w:rsid w:val="00AE5DC5"/>
    <w:rsid w:val="00AF00DF"/>
    <w:rsid w:val="00AF0968"/>
    <w:rsid w:val="00AF13B0"/>
    <w:rsid w:val="00AF1B0C"/>
    <w:rsid w:val="00AF296F"/>
    <w:rsid w:val="00AF2C36"/>
    <w:rsid w:val="00AF3FFF"/>
    <w:rsid w:val="00AF69DB"/>
    <w:rsid w:val="00AF6E6E"/>
    <w:rsid w:val="00AF7889"/>
    <w:rsid w:val="00B0066E"/>
    <w:rsid w:val="00B017D1"/>
    <w:rsid w:val="00B0197E"/>
    <w:rsid w:val="00B032EF"/>
    <w:rsid w:val="00B0392F"/>
    <w:rsid w:val="00B03E2D"/>
    <w:rsid w:val="00B04414"/>
    <w:rsid w:val="00B05D1D"/>
    <w:rsid w:val="00B05EC5"/>
    <w:rsid w:val="00B07595"/>
    <w:rsid w:val="00B075FE"/>
    <w:rsid w:val="00B07D03"/>
    <w:rsid w:val="00B11F8A"/>
    <w:rsid w:val="00B12127"/>
    <w:rsid w:val="00B13164"/>
    <w:rsid w:val="00B151B9"/>
    <w:rsid w:val="00B22C85"/>
    <w:rsid w:val="00B2398B"/>
    <w:rsid w:val="00B2565F"/>
    <w:rsid w:val="00B26CE3"/>
    <w:rsid w:val="00B30044"/>
    <w:rsid w:val="00B32685"/>
    <w:rsid w:val="00B337AA"/>
    <w:rsid w:val="00B34D0D"/>
    <w:rsid w:val="00B36935"/>
    <w:rsid w:val="00B376A5"/>
    <w:rsid w:val="00B37C42"/>
    <w:rsid w:val="00B40AA5"/>
    <w:rsid w:val="00B40ED4"/>
    <w:rsid w:val="00B421C5"/>
    <w:rsid w:val="00B42C67"/>
    <w:rsid w:val="00B43B3E"/>
    <w:rsid w:val="00B43C69"/>
    <w:rsid w:val="00B450E8"/>
    <w:rsid w:val="00B4560A"/>
    <w:rsid w:val="00B45649"/>
    <w:rsid w:val="00B45E3A"/>
    <w:rsid w:val="00B462B4"/>
    <w:rsid w:val="00B47EAB"/>
    <w:rsid w:val="00B508DC"/>
    <w:rsid w:val="00B5185D"/>
    <w:rsid w:val="00B51A6D"/>
    <w:rsid w:val="00B51D69"/>
    <w:rsid w:val="00B529DD"/>
    <w:rsid w:val="00B52B79"/>
    <w:rsid w:val="00B52CA7"/>
    <w:rsid w:val="00B53826"/>
    <w:rsid w:val="00B543F9"/>
    <w:rsid w:val="00B54A5B"/>
    <w:rsid w:val="00B55E24"/>
    <w:rsid w:val="00B56D55"/>
    <w:rsid w:val="00B5791B"/>
    <w:rsid w:val="00B62E8F"/>
    <w:rsid w:val="00B66814"/>
    <w:rsid w:val="00B669DA"/>
    <w:rsid w:val="00B66E2A"/>
    <w:rsid w:val="00B7053F"/>
    <w:rsid w:val="00B732F0"/>
    <w:rsid w:val="00B73D78"/>
    <w:rsid w:val="00B74894"/>
    <w:rsid w:val="00B7592D"/>
    <w:rsid w:val="00B75C35"/>
    <w:rsid w:val="00B76F01"/>
    <w:rsid w:val="00B80059"/>
    <w:rsid w:val="00B80312"/>
    <w:rsid w:val="00B83C20"/>
    <w:rsid w:val="00B90B61"/>
    <w:rsid w:val="00B923BA"/>
    <w:rsid w:val="00B9376F"/>
    <w:rsid w:val="00B951FC"/>
    <w:rsid w:val="00B96F85"/>
    <w:rsid w:val="00BA0D71"/>
    <w:rsid w:val="00BA109A"/>
    <w:rsid w:val="00BA203C"/>
    <w:rsid w:val="00BA3FB4"/>
    <w:rsid w:val="00BA5107"/>
    <w:rsid w:val="00BA5146"/>
    <w:rsid w:val="00BA7E3B"/>
    <w:rsid w:val="00BB1C19"/>
    <w:rsid w:val="00BB5D18"/>
    <w:rsid w:val="00BB5E0B"/>
    <w:rsid w:val="00BB7783"/>
    <w:rsid w:val="00BB7B90"/>
    <w:rsid w:val="00BC0162"/>
    <w:rsid w:val="00BC0A18"/>
    <w:rsid w:val="00BC0DCD"/>
    <w:rsid w:val="00BC12C4"/>
    <w:rsid w:val="00BC1FE6"/>
    <w:rsid w:val="00BC3001"/>
    <w:rsid w:val="00BC3404"/>
    <w:rsid w:val="00BC3A09"/>
    <w:rsid w:val="00BC53B8"/>
    <w:rsid w:val="00BC672B"/>
    <w:rsid w:val="00BD0AC3"/>
    <w:rsid w:val="00BD0DED"/>
    <w:rsid w:val="00BD114B"/>
    <w:rsid w:val="00BD1B6C"/>
    <w:rsid w:val="00BD2769"/>
    <w:rsid w:val="00BD33DF"/>
    <w:rsid w:val="00BD581A"/>
    <w:rsid w:val="00BD5A4C"/>
    <w:rsid w:val="00BD69AA"/>
    <w:rsid w:val="00BD6A00"/>
    <w:rsid w:val="00BD7A08"/>
    <w:rsid w:val="00BD7A1D"/>
    <w:rsid w:val="00BE0441"/>
    <w:rsid w:val="00BE0949"/>
    <w:rsid w:val="00BE0E99"/>
    <w:rsid w:val="00BE1477"/>
    <w:rsid w:val="00BE36C4"/>
    <w:rsid w:val="00BE4308"/>
    <w:rsid w:val="00BE52A8"/>
    <w:rsid w:val="00BE7BF6"/>
    <w:rsid w:val="00BF03D4"/>
    <w:rsid w:val="00BF04BE"/>
    <w:rsid w:val="00BF08DE"/>
    <w:rsid w:val="00BF0EB8"/>
    <w:rsid w:val="00BF2517"/>
    <w:rsid w:val="00BF28F3"/>
    <w:rsid w:val="00BF2C39"/>
    <w:rsid w:val="00BF3193"/>
    <w:rsid w:val="00BF4E45"/>
    <w:rsid w:val="00BF67E8"/>
    <w:rsid w:val="00BF75B0"/>
    <w:rsid w:val="00C00630"/>
    <w:rsid w:val="00C0103D"/>
    <w:rsid w:val="00C01632"/>
    <w:rsid w:val="00C0408B"/>
    <w:rsid w:val="00C0605A"/>
    <w:rsid w:val="00C061CC"/>
    <w:rsid w:val="00C065ED"/>
    <w:rsid w:val="00C06DB3"/>
    <w:rsid w:val="00C07E16"/>
    <w:rsid w:val="00C10DC1"/>
    <w:rsid w:val="00C121C1"/>
    <w:rsid w:val="00C12303"/>
    <w:rsid w:val="00C132CF"/>
    <w:rsid w:val="00C14485"/>
    <w:rsid w:val="00C14E77"/>
    <w:rsid w:val="00C152FF"/>
    <w:rsid w:val="00C1536E"/>
    <w:rsid w:val="00C1553C"/>
    <w:rsid w:val="00C15A41"/>
    <w:rsid w:val="00C164A5"/>
    <w:rsid w:val="00C17A4B"/>
    <w:rsid w:val="00C216DE"/>
    <w:rsid w:val="00C22D97"/>
    <w:rsid w:val="00C24C95"/>
    <w:rsid w:val="00C2561A"/>
    <w:rsid w:val="00C26055"/>
    <w:rsid w:val="00C26DA5"/>
    <w:rsid w:val="00C26F1A"/>
    <w:rsid w:val="00C304CA"/>
    <w:rsid w:val="00C30FA6"/>
    <w:rsid w:val="00C31559"/>
    <w:rsid w:val="00C32748"/>
    <w:rsid w:val="00C32B58"/>
    <w:rsid w:val="00C34369"/>
    <w:rsid w:val="00C37CEA"/>
    <w:rsid w:val="00C40136"/>
    <w:rsid w:val="00C40619"/>
    <w:rsid w:val="00C40EE5"/>
    <w:rsid w:val="00C42393"/>
    <w:rsid w:val="00C44FE9"/>
    <w:rsid w:val="00C450BE"/>
    <w:rsid w:val="00C47A66"/>
    <w:rsid w:val="00C47E78"/>
    <w:rsid w:val="00C51AEF"/>
    <w:rsid w:val="00C51F5F"/>
    <w:rsid w:val="00C524D6"/>
    <w:rsid w:val="00C52BD9"/>
    <w:rsid w:val="00C543F4"/>
    <w:rsid w:val="00C545D2"/>
    <w:rsid w:val="00C54BC8"/>
    <w:rsid w:val="00C5549E"/>
    <w:rsid w:val="00C56834"/>
    <w:rsid w:val="00C57421"/>
    <w:rsid w:val="00C60168"/>
    <w:rsid w:val="00C60611"/>
    <w:rsid w:val="00C63060"/>
    <w:rsid w:val="00C6363A"/>
    <w:rsid w:val="00C640EF"/>
    <w:rsid w:val="00C667E6"/>
    <w:rsid w:val="00C6714F"/>
    <w:rsid w:val="00C7071E"/>
    <w:rsid w:val="00C70B90"/>
    <w:rsid w:val="00C7110E"/>
    <w:rsid w:val="00C7135A"/>
    <w:rsid w:val="00C7471F"/>
    <w:rsid w:val="00C74BDF"/>
    <w:rsid w:val="00C754EE"/>
    <w:rsid w:val="00C76EA9"/>
    <w:rsid w:val="00C8030D"/>
    <w:rsid w:val="00C81619"/>
    <w:rsid w:val="00C81A2B"/>
    <w:rsid w:val="00C82399"/>
    <w:rsid w:val="00C829F5"/>
    <w:rsid w:val="00C82BFF"/>
    <w:rsid w:val="00C83F4D"/>
    <w:rsid w:val="00C84244"/>
    <w:rsid w:val="00C84DB6"/>
    <w:rsid w:val="00C85A88"/>
    <w:rsid w:val="00C86E7B"/>
    <w:rsid w:val="00C870A3"/>
    <w:rsid w:val="00C8769D"/>
    <w:rsid w:val="00C87BF2"/>
    <w:rsid w:val="00C90D48"/>
    <w:rsid w:val="00C91682"/>
    <w:rsid w:val="00C927E5"/>
    <w:rsid w:val="00C93C75"/>
    <w:rsid w:val="00C95FE4"/>
    <w:rsid w:val="00C96A2A"/>
    <w:rsid w:val="00C96C9E"/>
    <w:rsid w:val="00CA0B4B"/>
    <w:rsid w:val="00CA0D7E"/>
    <w:rsid w:val="00CA0F1F"/>
    <w:rsid w:val="00CA14F3"/>
    <w:rsid w:val="00CA1706"/>
    <w:rsid w:val="00CA1A83"/>
    <w:rsid w:val="00CA5521"/>
    <w:rsid w:val="00CA7608"/>
    <w:rsid w:val="00CA7F59"/>
    <w:rsid w:val="00CB22B5"/>
    <w:rsid w:val="00CB304C"/>
    <w:rsid w:val="00CB3A9D"/>
    <w:rsid w:val="00CB49AA"/>
    <w:rsid w:val="00CB4D20"/>
    <w:rsid w:val="00CB4DC6"/>
    <w:rsid w:val="00CB4F62"/>
    <w:rsid w:val="00CB582F"/>
    <w:rsid w:val="00CB6673"/>
    <w:rsid w:val="00CB798D"/>
    <w:rsid w:val="00CB7A36"/>
    <w:rsid w:val="00CB7AC3"/>
    <w:rsid w:val="00CB7DE0"/>
    <w:rsid w:val="00CC2533"/>
    <w:rsid w:val="00CC478F"/>
    <w:rsid w:val="00CC4A98"/>
    <w:rsid w:val="00CC4C6D"/>
    <w:rsid w:val="00CC5E62"/>
    <w:rsid w:val="00CC755F"/>
    <w:rsid w:val="00CC7780"/>
    <w:rsid w:val="00CD0133"/>
    <w:rsid w:val="00CD0DAA"/>
    <w:rsid w:val="00CD0EF6"/>
    <w:rsid w:val="00CD14B0"/>
    <w:rsid w:val="00CD150B"/>
    <w:rsid w:val="00CD33F5"/>
    <w:rsid w:val="00CD414F"/>
    <w:rsid w:val="00CD4C0E"/>
    <w:rsid w:val="00CD57FD"/>
    <w:rsid w:val="00CD6F62"/>
    <w:rsid w:val="00CD76D3"/>
    <w:rsid w:val="00CD773F"/>
    <w:rsid w:val="00CE00FB"/>
    <w:rsid w:val="00CE09C8"/>
    <w:rsid w:val="00CE09E3"/>
    <w:rsid w:val="00CE2DF4"/>
    <w:rsid w:val="00CE34A4"/>
    <w:rsid w:val="00CE360A"/>
    <w:rsid w:val="00CE4F4A"/>
    <w:rsid w:val="00CE67C7"/>
    <w:rsid w:val="00CE7189"/>
    <w:rsid w:val="00CE7C69"/>
    <w:rsid w:val="00CE7C74"/>
    <w:rsid w:val="00CF05F1"/>
    <w:rsid w:val="00CF0DE0"/>
    <w:rsid w:val="00CF110A"/>
    <w:rsid w:val="00CF2660"/>
    <w:rsid w:val="00CF325A"/>
    <w:rsid w:val="00CF3982"/>
    <w:rsid w:val="00CF39C2"/>
    <w:rsid w:val="00CF4786"/>
    <w:rsid w:val="00CF51C1"/>
    <w:rsid w:val="00CF59F6"/>
    <w:rsid w:val="00CF66EC"/>
    <w:rsid w:val="00D02612"/>
    <w:rsid w:val="00D0295A"/>
    <w:rsid w:val="00D04170"/>
    <w:rsid w:val="00D04C33"/>
    <w:rsid w:val="00D05BEC"/>
    <w:rsid w:val="00D066A8"/>
    <w:rsid w:val="00D07A50"/>
    <w:rsid w:val="00D1043A"/>
    <w:rsid w:val="00D1060B"/>
    <w:rsid w:val="00D10628"/>
    <w:rsid w:val="00D10A24"/>
    <w:rsid w:val="00D11FE1"/>
    <w:rsid w:val="00D13269"/>
    <w:rsid w:val="00D13D56"/>
    <w:rsid w:val="00D14672"/>
    <w:rsid w:val="00D14B64"/>
    <w:rsid w:val="00D15998"/>
    <w:rsid w:val="00D17479"/>
    <w:rsid w:val="00D20D2D"/>
    <w:rsid w:val="00D21112"/>
    <w:rsid w:val="00D21F8E"/>
    <w:rsid w:val="00D226E2"/>
    <w:rsid w:val="00D23109"/>
    <w:rsid w:val="00D23E03"/>
    <w:rsid w:val="00D248DC"/>
    <w:rsid w:val="00D2678D"/>
    <w:rsid w:val="00D2697C"/>
    <w:rsid w:val="00D275B7"/>
    <w:rsid w:val="00D2788F"/>
    <w:rsid w:val="00D27CFA"/>
    <w:rsid w:val="00D30BA1"/>
    <w:rsid w:val="00D3169C"/>
    <w:rsid w:val="00D3196E"/>
    <w:rsid w:val="00D321C3"/>
    <w:rsid w:val="00D325DF"/>
    <w:rsid w:val="00D32908"/>
    <w:rsid w:val="00D32EC0"/>
    <w:rsid w:val="00D34690"/>
    <w:rsid w:val="00D3575D"/>
    <w:rsid w:val="00D36573"/>
    <w:rsid w:val="00D3786C"/>
    <w:rsid w:val="00D401C6"/>
    <w:rsid w:val="00D40398"/>
    <w:rsid w:val="00D40BB0"/>
    <w:rsid w:val="00D413DE"/>
    <w:rsid w:val="00D43229"/>
    <w:rsid w:val="00D43511"/>
    <w:rsid w:val="00D4481B"/>
    <w:rsid w:val="00D44834"/>
    <w:rsid w:val="00D44B90"/>
    <w:rsid w:val="00D454AF"/>
    <w:rsid w:val="00D454F6"/>
    <w:rsid w:val="00D45D36"/>
    <w:rsid w:val="00D46EC1"/>
    <w:rsid w:val="00D47165"/>
    <w:rsid w:val="00D515DA"/>
    <w:rsid w:val="00D51BA9"/>
    <w:rsid w:val="00D521ED"/>
    <w:rsid w:val="00D54C63"/>
    <w:rsid w:val="00D54CD2"/>
    <w:rsid w:val="00D55706"/>
    <w:rsid w:val="00D56ACA"/>
    <w:rsid w:val="00D609E9"/>
    <w:rsid w:val="00D61A53"/>
    <w:rsid w:val="00D62A05"/>
    <w:rsid w:val="00D62E11"/>
    <w:rsid w:val="00D63167"/>
    <w:rsid w:val="00D632E0"/>
    <w:rsid w:val="00D64072"/>
    <w:rsid w:val="00D64439"/>
    <w:rsid w:val="00D64B53"/>
    <w:rsid w:val="00D64DA5"/>
    <w:rsid w:val="00D712A6"/>
    <w:rsid w:val="00D71F75"/>
    <w:rsid w:val="00D71F88"/>
    <w:rsid w:val="00D7213E"/>
    <w:rsid w:val="00D726AB"/>
    <w:rsid w:val="00D74DFC"/>
    <w:rsid w:val="00D76217"/>
    <w:rsid w:val="00D76599"/>
    <w:rsid w:val="00D77D61"/>
    <w:rsid w:val="00D80397"/>
    <w:rsid w:val="00D80553"/>
    <w:rsid w:val="00D8403B"/>
    <w:rsid w:val="00D8491D"/>
    <w:rsid w:val="00D859C5"/>
    <w:rsid w:val="00D86CA3"/>
    <w:rsid w:val="00D87531"/>
    <w:rsid w:val="00D87DDE"/>
    <w:rsid w:val="00D87F96"/>
    <w:rsid w:val="00D925D0"/>
    <w:rsid w:val="00D93338"/>
    <w:rsid w:val="00D93C1E"/>
    <w:rsid w:val="00D94A6D"/>
    <w:rsid w:val="00D95062"/>
    <w:rsid w:val="00D953A9"/>
    <w:rsid w:val="00D95BF7"/>
    <w:rsid w:val="00D96803"/>
    <w:rsid w:val="00D97475"/>
    <w:rsid w:val="00DA134F"/>
    <w:rsid w:val="00DA159E"/>
    <w:rsid w:val="00DA30D4"/>
    <w:rsid w:val="00DA38FE"/>
    <w:rsid w:val="00DA3A9A"/>
    <w:rsid w:val="00DA3B44"/>
    <w:rsid w:val="00DA4A62"/>
    <w:rsid w:val="00DA690B"/>
    <w:rsid w:val="00DA7436"/>
    <w:rsid w:val="00DB0320"/>
    <w:rsid w:val="00DB0632"/>
    <w:rsid w:val="00DB0E24"/>
    <w:rsid w:val="00DB42AD"/>
    <w:rsid w:val="00DB467E"/>
    <w:rsid w:val="00DB5650"/>
    <w:rsid w:val="00DB64C3"/>
    <w:rsid w:val="00DB71AE"/>
    <w:rsid w:val="00DB7976"/>
    <w:rsid w:val="00DC0D0F"/>
    <w:rsid w:val="00DC0D12"/>
    <w:rsid w:val="00DC19EF"/>
    <w:rsid w:val="00DC1AC2"/>
    <w:rsid w:val="00DC3DAC"/>
    <w:rsid w:val="00DC48CB"/>
    <w:rsid w:val="00DC4982"/>
    <w:rsid w:val="00DC59C1"/>
    <w:rsid w:val="00DC5B1B"/>
    <w:rsid w:val="00DC63A4"/>
    <w:rsid w:val="00DC7B6C"/>
    <w:rsid w:val="00DD161C"/>
    <w:rsid w:val="00DD2B01"/>
    <w:rsid w:val="00DD37D3"/>
    <w:rsid w:val="00DD5BA5"/>
    <w:rsid w:val="00DD72A9"/>
    <w:rsid w:val="00DD72E9"/>
    <w:rsid w:val="00DE0CC6"/>
    <w:rsid w:val="00DE0E81"/>
    <w:rsid w:val="00DE2F98"/>
    <w:rsid w:val="00DE3A5B"/>
    <w:rsid w:val="00DE4361"/>
    <w:rsid w:val="00DE4900"/>
    <w:rsid w:val="00DE537E"/>
    <w:rsid w:val="00DF039D"/>
    <w:rsid w:val="00DF0ED4"/>
    <w:rsid w:val="00DF2A04"/>
    <w:rsid w:val="00DF362C"/>
    <w:rsid w:val="00DF3A44"/>
    <w:rsid w:val="00DF44DF"/>
    <w:rsid w:val="00DF7C6D"/>
    <w:rsid w:val="00E00D1B"/>
    <w:rsid w:val="00E00FAC"/>
    <w:rsid w:val="00E02303"/>
    <w:rsid w:val="00E03D1F"/>
    <w:rsid w:val="00E047FF"/>
    <w:rsid w:val="00E04C43"/>
    <w:rsid w:val="00E062DD"/>
    <w:rsid w:val="00E065C0"/>
    <w:rsid w:val="00E06B71"/>
    <w:rsid w:val="00E10860"/>
    <w:rsid w:val="00E10E93"/>
    <w:rsid w:val="00E119CB"/>
    <w:rsid w:val="00E12AA7"/>
    <w:rsid w:val="00E12ED9"/>
    <w:rsid w:val="00E13512"/>
    <w:rsid w:val="00E1649C"/>
    <w:rsid w:val="00E16D0B"/>
    <w:rsid w:val="00E17BA9"/>
    <w:rsid w:val="00E17E3B"/>
    <w:rsid w:val="00E20A1B"/>
    <w:rsid w:val="00E20AE5"/>
    <w:rsid w:val="00E235C9"/>
    <w:rsid w:val="00E24F57"/>
    <w:rsid w:val="00E260B6"/>
    <w:rsid w:val="00E27875"/>
    <w:rsid w:val="00E278F0"/>
    <w:rsid w:val="00E2793C"/>
    <w:rsid w:val="00E3007A"/>
    <w:rsid w:val="00E313B0"/>
    <w:rsid w:val="00E364CB"/>
    <w:rsid w:val="00E36A12"/>
    <w:rsid w:val="00E36BA8"/>
    <w:rsid w:val="00E36BB3"/>
    <w:rsid w:val="00E3786B"/>
    <w:rsid w:val="00E37CC8"/>
    <w:rsid w:val="00E40AD9"/>
    <w:rsid w:val="00E40DBC"/>
    <w:rsid w:val="00E42598"/>
    <w:rsid w:val="00E4435A"/>
    <w:rsid w:val="00E44713"/>
    <w:rsid w:val="00E46EA2"/>
    <w:rsid w:val="00E51804"/>
    <w:rsid w:val="00E51ADE"/>
    <w:rsid w:val="00E51C48"/>
    <w:rsid w:val="00E538F3"/>
    <w:rsid w:val="00E5452A"/>
    <w:rsid w:val="00E54EE6"/>
    <w:rsid w:val="00E55313"/>
    <w:rsid w:val="00E55F19"/>
    <w:rsid w:val="00E56482"/>
    <w:rsid w:val="00E566EF"/>
    <w:rsid w:val="00E5766B"/>
    <w:rsid w:val="00E6280A"/>
    <w:rsid w:val="00E62C2B"/>
    <w:rsid w:val="00E62E19"/>
    <w:rsid w:val="00E635BD"/>
    <w:rsid w:val="00E64A01"/>
    <w:rsid w:val="00E64B76"/>
    <w:rsid w:val="00E66189"/>
    <w:rsid w:val="00E6665D"/>
    <w:rsid w:val="00E66A73"/>
    <w:rsid w:val="00E66C9E"/>
    <w:rsid w:val="00E66CC6"/>
    <w:rsid w:val="00E66F9F"/>
    <w:rsid w:val="00E67448"/>
    <w:rsid w:val="00E7180C"/>
    <w:rsid w:val="00E72C12"/>
    <w:rsid w:val="00E75A76"/>
    <w:rsid w:val="00E7655C"/>
    <w:rsid w:val="00E7672F"/>
    <w:rsid w:val="00E77381"/>
    <w:rsid w:val="00E775EE"/>
    <w:rsid w:val="00E800AF"/>
    <w:rsid w:val="00E8021F"/>
    <w:rsid w:val="00E80C7A"/>
    <w:rsid w:val="00E810FD"/>
    <w:rsid w:val="00E82817"/>
    <w:rsid w:val="00E82E91"/>
    <w:rsid w:val="00E83654"/>
    <w:rsid w:val="00E842D0"/>
    <w:rsid w:val="00E84919"/>
    <w:rsid w:val="00E8516C"/>
    <w:rsid w:val="00E852A6"/>
    <w:rsid w:val="00E90829"/>
    <w:rsid w:val="00E90845"/>
    <w:rsid w:val="00E91026"/>
    <w:rsid w:val="00E92234"/>
    <w:rsid w:val="00E940C1"/>
    <w:rsid w:val="00E946F1"/>
    <w:rsid w:val="00E973C6"/>
    <w:rsid w:val="00EA185A"/>
    <w:rsid w:val="00EA2A0A"/>
    <w:rsid w:val="00EA505C"/>
    <w:rsid w:val="00EA5502"/>
    <w:rsid w:val="00EA67B3"/>
    <w:rsid w:val="00EA788A"/>
    <w:rsid w:val="00EB0179"/>
    <w:rsid w:val="00EB06C2"/>
    <w:rsid w:val="00EB0C70"/>
    <w:rsid w:val="00EB0CE7"/>
    <w:rsid w:val="00EB156B"/>
    <w:rsid w:val="00EB19D7"/>
    <w:rsid w:val="00EB32D4"/>
    <w:rsid w:val="00EB440C"/>
    <w:rsid w:val="00EB4B0E"/>
    <w:rsid w:val="00EB4EF2"/>
    <w:rsid w:val="00EB5316"/>
    <w:rsid w:val="00EB58E1"/>
    <w:rsid w:val="00EB6456"/>
    <w:rsid w:val="00EB68FD"/>
    <w:rsid w:val="00EC0DFE"/>
    <w:rsid w:val="00EC0FB8"/>
    <w:rsid w:val="00EC22A4"/>
    <w:rsid w:val="00EC31AD"/>
    <w:rsid w:val="00EC39F9"/>
    <w:rsid w:val="00EC3BD5"/>
    <w:rsid w:val="00EC4973"/>
    <w:rsid w:val="00EC6CE8"/>
    <w:rsid w:val="00EC7486"/>
    <w:rsid w:val="00EC7958"/>
    <w:rsid w:val="00EC7D69"/>
    <w:rsid w:val="00ED0E96"/>
    <w:rsid w:val="00ED2E89"/>
    <w:rsid w:val="00ED32BC"/>
    <w:rsid w:val="00ED4735"/>
    <w:rsid w:val="00ED5356"/>
    <w:rsid w:val="00ED5C8C"/>
    <w:rsid w:val="00ED5F65"/>
    <w:rsid w:val="00ED6D5F"/>
    <w:rsid w:val="00ED71C3"/>
    <w:rsid w:val="00EE2A23"/>
    <w:rsid w:val="00EE2D0A"/>
    <w:rsid w:val="00EE4D1D"/>
    <w:rsid w:val="00EE59F5"/>
    <w:rsid w:val="00EE656B"/>
    <w:rsid w:val="00EE6E4F"/>
    <w:rsid w:val="00EE70E9"/>
    <w:rsid w:val="00EE7C4A"/>
    <w:rsid w:val="00EF0A61"/>
    <w:rsid w:val="00EF0C09"/>
    <w:rsid w:val="00EF1ECB"/>
    <w:rsid w:val="00EF326C"/>
    <w:rsid w:val="00EF373E"/>
    <w:rsid w:val="00EF4131"/>
    <w:rsid w:val="00EF4CA4"/>
    <w:rsid w:val="00EF5299"/>
    <w:rsid w:val="00EF54CC"/>
    <w:rsid w:val="00EF69F7"/>
    <w:rsid w:val="00EF733E"/>
    <w:rsid w:val="00F006CD"/>
    <w:rsid w:val="00F02693"/>
    <w:rsid w:val="00F0292F"/>
    <w:rsid w:val="00F05BAE"/>
    <w:rsid w:val="00F12050"/>
    <w:rsid w:val="00F121E6"/>
    <w:rsid w:val="00F12D02"/>
    <w:rsid w:val="00F14DC0"/>
    <w:rsid w:val="00F16303"/>
    <w:rsid w:val="00F1631C"/>
    <w:rsid w:val="00F16FEB"/>
    <w:rsid w:val="00F1715C"/>
    <w:rsid w:val="00F17575"/>
    <w:rsid w:val="00F202C0"/>
    <w:rsid w:val="00F20975"/>
    <w:rsid w:val="00F21155"/>
    <w:rsid w:val="00F21E43"/>
    <w:rsid w:val="00F23FF7"/>
    <w:rsid w:val="00F243A7"/>
    <w:rsid w:val="00F249E6"/>
    <w:rsid w:val="00F25568"/>
    <w:rsid w:val="00F261ED"/>
    <w:rsid w:val="00F27572"/>
    <w:rsid w:val="00F304CC"/>
    <w:rsid w:val="00F30CD4"/>
    <w:rsid w:val="00F30CF2"/>
    <w:rsid w:val="00F31817"/>
    <w:rsid w:val="00F32117"/>
    <w:rsid w:val="00F32352"/>
    <w:rsid w:val="00F32811"/>
    <w:rsid w:val="00F32FE5"/>
    <w:rsid w:val="00F33C10"/>
    <w:rsid w:val="00F35F6D"/>
    <w:rsid w:val="00F36637"/>
    <w:rsid w:val="00F3668E"/>
    <w:rsid w:val="00F40E50"/>
    <w:rsid w:val="00F41B2C"/>
    <w:rsid w:val="00F41B2D"/>
    <w:rsid w:val="00F422BB"/>
    <w:rsid w:val="00F43560"/>
    <w:rsid w:val="00F435E1"/>
    <w:rsid w:val="00F43D2B"/>
    <w:rsid w:val="00F445F9"/>
    <w:rsid w:val="00F448C4"/>
    <w:rsid w:val="00F50E07"/>
    <w:rsid w:val="00F51B36"/>
    <w:rsid w:val="00F52057"/>
    <w:rsid w:val="00F536AB"/>
    <w:rsid w:val="00F53915"/>
    <w:rsid w:val="00F53F74"/>
    <w:rsid w:val="00F570ED"/>
    <w:rsid w:val="00F60D16"/>
    <w:rsid w:val="00F61192"/>
    <w:rsid w:val="00F612E1"/>
    <w:rsid w:val="00F63368"/>
    <w:rsid w:val="00F660BC"/>
    <w:rsid w:val="00F70902"/>
    <w:rsid w:val="00F73E66"/>
    <w:rsid w:val="00F74F3E"/>
    <w:rsid w:val="00F7527C"/>
    <w:rsid w:val="00F7584A"/>
    <w:rsid w:val="00F76060"/>
    <w:rsid w:val="00F760F7"/>
    <w:rsid w:val="00F812B5"/>
    <w:rsid w:val="00F814D4"/>
    <w:rsid w:val="00F825FB"/>
    <w:rsid w:val="00F833B7"/>
    <w:rsid w:val="00F842D6"/>
    <w:rsid w:val="00F865A7"/>
    <w:rsid w:val="00F86CE0"/>
    <w:rsid w:val="00F87469"/>
    <w:rsid w:val="00F87B42"/>
    <w:rsid w:val="00F900CD"/>
    <w:rsid w:val="00F90D6A"/>
    <w:rsid w:val="00F916DB"/>
    <w:rsid w:val="00F91B69"/>
    <w:rsid w:val="00F91E54"/>
    <w:rsid w:val="00F922D1"/>
    <w:rsid w:val="00F92EE7"/>
    <w:rsid w:val="00F932D4"/>
    <w:rsid w:val="00F942F9"/>
    <w:rsid w:val="00F94E3C"/>
    <w:rsid w:val="00F9536A"/>
    <w:rsid w:val="00F95AD8"/>
    <w:rsid w:val="00F974F1"/>
    <w:rsid w:val="00FA0AD5"/>
    <w:rsid w:val="00FA1BA0"/>
    <w:rsid w:val="00FA598E"/>
    <w:rsid w:val="00FA5C5B"/>
    <w:rsid w:val="00FA6025"/>
    <w:rsid w:val="00FA6C68"/>
    <w:rsid w:val="00FA6E1F"/>
    <w:rsid w:val="00FB032D"/>
    <w:rsid w:val="00FB2339"/>
    <w:rsid w:val="00FB2515"/>
    <w:rsid w:val="00FB2755"/>
    <w:rsid w:val="00FB2964"/>
    <w:rsid w:val="00FB313E"/>
    <w:rsid w:val="00FB38BE"/>
    <w:rsid w:val="00FB5BAB"/>
    <w:rsid w:val="00FB6061"/>
    <w:rsid w:val="00FB6BDA"/>
    <w:rsid w:val="00FB6CFF"/>
    <w:rsid w:val="00FC02D2"/>
    <w:rsid w:val="00FC1EDF"/>
    <w:rsid w:val="00FC29E9"/>
    <w:rsid w:val="00FC2ADB"/>
    <w:rsid w:val="00FC3BB1"/>
    <w:rsid w:val="00FC556B"/>
    <w:rsid w:val="00FC662F"/>
    <w:rsid w:val="00FC698F"/>
    <w:rsid w:val="00FC777C"/>
    <w:rsid w:val="00FD01B2"/>
    <w:rsid w:val="00FD0200"/>
    <w:rsid w:val="00FD0600"/>
    <w:rsid w:val="00FD0ED7"/>
    <w:rsid w:val="00FD1E0F"/>
    <w:rsid w:val="00FD42F1"/>
    <w:rsid w:val="00FD717E"/>
    <w:rsid w:val="00FE0006"/>
    <w:rsid w:val="00FE0B7C"/>
    <w:rsid w:val="00FE331D"/>
    <w:rsid w:val="00FE4501"/>
    <w:rsid w:val="00FE5113"/>
    <w:rsid w:val="00FE511C"/>
    <w:rsid w:val="00FE5275"/>
    <w:rsid w:val="00FE5524"/>
    <w:rsid w:val="00FE5987"/>
    <w:rsid w:val="00FE5C25"/>
    <w:rsid w:val="00FE6787"/>
    <w:rsid w:val="00FE6B3D"/>
    <w:rsid w:val="00FE75FA"/>
    <w:rsid w:val="00FE7DAD"/>
    <w:rsid w:val="00FF12C5"/>
    <w:rsid w:val="00FF3248"/>
    <w:rsid w:val="00FF34FB"/>
    <w:rsid w:val="00FF3EC7"/>
    <w:rsid w:val="00FF5858"/>
    <w:rsid w:val="00FF5B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basedOn w:val="Normal"/>
    <w:link w:val="FootnoteTextChar2"/>
  </w:style>
  <w:style w:type="character" w:styleId="FootnoteReference">
    <w:name w:val="footnote reference"/>
    <w:aliases w:val="(NECG) Footnote Reference,Appel note de bas de p,FR,Footnote Reference/,Style 12,Style 124,Style 13,Style 17,Style 3,Style 4,Style 6,fr,o"/>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 Cha,Footnote Text Char Char Char Char,Footnote Text Char Char Char Char Char Char Char Char,Footnote Text Char1 Char Char,Footnote Text Char1 Char1 Char Char1 Char Char,Footnote Text Char2 Char Char1 Char Char"/>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 w:type="character" w:customStyle="1" w:styleId="UnresolvedMention1">
    <w:name w:val="Unresolved Mention1"/>
    <w:basedOn w:val="DefaultParagraphFont"/>
    <w:uiPriority w:val="99"/>
    <w:semiHidden/>
    <w:unhideWhenUsed/>
    <w:rsid w:val="00D87531"/>
    <w:rPr>
      <w:color w:val="808080"/>
      <w:shd w:val="clear" w:color="auto" w:fill="E6E6E6"/>
    </w:rPr>
  </w:style>
  <w:style w:type="character" w:customStyle="1" w:styleId="UnresolvedMention">
    <w:name w:val="Unresolved Mention"/>
    <w:basedOn w:val="DefaultParagraphFont"/>
    <w:uiPriority w:val="99"/>
    <w:semiHidden/>
    <w:unhideWhenUsed/>
    <w:rsid w:val="009C5098"/>
    <w:rPr>
      <w:color w:val="605E5C"/>
      <w:shd w:val="clear" w:color="auto" w:fill="E1DFDD"/>
    </w:rPr>
  </w:style>
  <w:style w:type="character" w:customStyle="1" w:styleId="costarpage">
    <w:name w:val="co_starpage"/>
    <w:basedOn w:val="DefaultParagraphFont"/>
    <w:rsid w:val="00E72C12"/>
  </w:style>
  <w:style w:type="paragraph" w:styleId="EndnoteText">
    <w:name w:val="endnote text"/>
    <w:basedOn w:val="Normal"/>
    <w:link w:val="EndnoteTextChar"/>
    <w:rsid w:val="00A979B1"/>
  </w:style>
  <w:style w:type="character" w:customStyle="1" w:styleId="EndnoteTextChar">
    <w:name w:val="Endnote Text Char"/>
    <w:basedOn w:val="DefaultParagraphFont"/>
    <w:link w:val="EndnoteText"/>
    <w:rsid w:val="00A979B1"/>
  </w:style>
  <w:style w:type="character" w:styleId="EndnoteReference">
    <w:name w:val="endnote reference"/>
    <w:basedOn w:val="DefaultParagraphFont"/>
    <w:rsid w:val="00A97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