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371F5">
      <w:pPr>
        <w:rPr>
          <w:sz w:val="22"/>
          <w:szCs w:val="22"/>
        </w:rPr>
      </w:pPr>
      <w:bookmarkStart w:id="0" w:name="_GoBack"/>
      <w:bookmarkEnd w:id="0"/>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p>
    <w:p w:rsidR="00BC65AA" w:rsidRPr="00C93B28" w:rsidP="00A371F5">
      <w:pPr>
        <w:ind w:left="5760" w:firstLine="720"/>
        <w:rPr>
          <w:i/>
        </w:rPr>
      </w:pPr>
      <w:r w:rsidRPr="00C93B28">
        <w:t>DA 1</w:t>
      </w:r>
      <w:r w:rsidR="003F3385">
        <w:t>9</w:t>
      </w:r>
      <w:r w:rsidRPr="00C93B28">
        <w:t>-</w:t>
      </w:r>
      <w:r w:rsidR="00FC4DA4">
        <w:t>525</w:t>
      </w:r>
      <w:r w:rsidRPr="00C93B28">
        <w:tab/>
      </w:r>
      <w:r w:rsidRPr="00C93B28">
        <w:tab/>
      </w:r>
      <w:r w:rsidRPr="00C93B28">
        <w:tab/>
      </w:r>
      <w:r w:rsidRPr="00C93B28">
        <w:rPr>
          <w:i/>
        </w:rPr>
        <w:t>In Reply Refer to:</w:t>
      </w:r>
    </w:p>
    <w:p w:rsidR="00BC65AA" w:rsidRPr="00C93B28">
      <w:r w:rsidRPr="00C93B28">
        <w:tab/>
      </w:r>
      <w:r w:rsidRPr="00C93B28">
        <w:tab/>
      </w:r>
      <w:r w:rsidRPr="00C93B28">
        <w:tab/>
      </w:r>
      <w:r w:rsidRPr="00C93B28">
        <w:tab/>
      </w:r>
      <w:r w:rsidRPr="00C93B28">
        <w:tab/>
      </w:r>
      <w:r w:rsidRPr="00C93B28">
        <w:tab/>
      </w:r>
      <w:r w:rsidRPr="00C93B28">
        <w:tab/>
      </w:r>
      <w:r w:rsidRPr="00C93B28">
        <w:tab/>
      </w:r>
      <w:r w:rsidRPr="00C93B28">
        <w:tab/>
        <w:t>1800B3-</w:t>
      </w:r>
      <w:r w:rsidRPr="00C93B28" w:rsidR="001A126E">
        <w:t>SS</w:t>
      </w: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p>
    <w:p w:rsidR="003767FD" w:rsidRPr="00DC11E5">
      <w:pPr>
        <w:rPr>
          <w:sz w:val="22"/>
          <w:szCs w:val="22"/>
        </w:rPr>
      </w:pPr>
      <w:r>
        <w:rPr>
          <w:sz w:val="22"/>
          <w:szCs w:val="22"/>
        </w:rPr>
        <w:t xml:space="preserve">Mr. </w:t>
      </w:r>
      <w:r w:rsidR="009E4ECF">
        <w:rPr>
          <w:sz w:val="22"/>
          <w:szCs w:val="22"/>
        </w:rPr>
        <w:t>H. Jack Mizell</w:t>
      </w:r>
    </w:p>
    <w:p w:rsidR="00605639">
      <w:pPr>
        <w:rPr>
          <w:sz w:val="22"/>
          <w:szCs w:val="22"/>
        </w:rPr>
      </w:pPr>
      <w:r>
        <w:rPr>
          <w:sz w:val="22"/>
          <w:szCs w:val="22"/>
        </w:rPr>
        <w:t>Shelley Broadcasting Co., Inc.</w:t>
      </w:r>
    </w:p>
    <w:p w:rsidR="00CA1A24" w:rsidP="00CA1A24">
      <w:pPr>
        <w:rPr>
          <w:sz w:val="22"/>
          <w:szCs w:val="22"/>
        </w:rPr>
      </w:pPr>
      <w:r>
        <w:rPr>
          <w:sz w:val="22"/>
          <w:szCs w:val="22"/>
        </w:rPr>
        <w:t>4518 Woodledge Drive</w:t>
      </w:r>
    </w:p>
    <w:p w:rsidR="00CA1A24" w:rsidP="00CA1A24">
      <w:pPr>
        <w:rPr>
          <w:sz w:val="22"/>
          <w:szCs w:val="22"/>
        </w:rPr>
      </w:pPr>
      <w:r>
        <w:rPr>
          <w:sz w:val="22"/>
          <w:szCs w:val="22"/>
        </w:rPr>
        <w:t>Montgomery, AL  36109</w:t>
      </w:r>
    </w:p>
    <w:p w:rsidR="00CA1A24" w:rsidP="00CA1A24">
      <w:pPr>
        <w:pStyle w:val="CommentText"/>
        <w:rPr>
          <w:sz w:val="22"/>
          <w:szCs w:val="22"/>
        </w:rPr>
      </w:pPr>
    </w:p>
    <w:p w:rsidR="00AC6980" w:rsidRPr="00AC6980" w:rsidP="00605639">
      <w:pPr>
        <w:ind w:left="5760" w:hanging="720"/>
        <w:rPr>
          <w:b/>
          <w:sz w:val="22"/>
          <w:szCs w:val="22"/>
        </w:rPr>
      </w:pPr>
      <w:r w:rsidRPr="00DC11E5">
        <w:rPr>
          <w:sz w:val="22"/>
          <w:szCs w:val="22"/>
        </w:rPr>
        <w:t>In re:</w:t>
      </w:r>
      <w:r w:rsidRPr="00DC11E5">
        <w:rPr>
          <w:sz w:val="22"/>
          <w:szCs w:val="22"/>
        </w:rPr>
        <w:tab/>
      </w:r>
      <w:r w:rsidR="00605639">
        <w:rPr>
          <w:b/>
          <w:sz w:val="22"/>
          <w:szCs w:val="22"/>
        </w:rPr>
        <w:t>Shelley Broadcasting Co., Inc.</w:t>
      </w:r>
    </w:p>
    <w:p w:rsidR="00A9156A" w:rsidRPr="00AC6980" w:rsidP="00753F72">
      <w:pPr>
        <w:ind w:firstLine="5760"/>
        <w:rPr>
          <w:b/>
          <w:sz w:val="22"/>
          <w:szCs w:val="22"/>
        </w:rPr>
      </w:pPr>
      <w:r w:rsidRPr="00AC6980">
        <w:rPr>
          <w:b/>
          <w:sz w:val="22"/>
          <w:szCs w:val="22"/>
        </w:rPr>
        <w:t>D</w:t>
      </w:r>
      <w:r w:rsidRPr="00AC6980" w:rsidR="008E2AE7">
        <w:rPr>
          <w:b/>
          <w:sz w:val="22"/>
          <w:szCs w:val="22"/>
        </w:rPr>
        <w:t>W</w:t>
      </w:r>
      <w:r w:rsidR="00605639">
        <w:rPr>
          <w:b/>
          <w:sz w:val="22"/>
          <w:szCs w:val="22"/>
        </w:rPr>
        <w:t>GEA</w:t>
      </w:r>
      <w:r w:rsidRPr="00AC6980" w:rsidR="008E2AE7">
        <w:rPr>
          <w:b/>
          <w:sz w:val="22"/>
          <w:szCs w:val="22"/>
        </w:rPr>
        <w:t>(AM)</w:t>
      </w:r>
      <w:r w:rsidRPr="00AC6980">
        <w:rPr>
          <w:b/>
          <w:sz w:val="22"/>
          <w:szCs w:val="22"/>
        </w:rPr>
        <w:t xml:space="preserve">, </w:t>
      </w:r>
      <w:r w:rsidR="00335DCF">
        <w:rPr>
          <w:b/>
          <w:sz w:val="22"/>
          <w:szCs w:val="22"/>
        </w:rPr>
        <w:t>Geneva</w:t>
      </w:r>
      <w:r w:rsidR="00605639">
        <w:rPr>
          <w:b/>
          <w:sz w:val="22"/>
          <w:szCs w:val="22"/>
        </w:rPr>
        <w:t>, AL</w:t>
      </w: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 xml:space="preserve">Facility ID No. </w:t>
      </w:r>
      <w:r w:rsidR="00605639">
        <w:rPr>
          <w:sz w:val="22"/>
          <w:szCs w:val="22"/>
        </w:rPr>
        <w:t>60100</w:t>
      </w: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 xml:space="preserve">File No. </w:t>
      </w:r>
      <w:r w:rsidRPr="00DC11E5" w:rsidR="00431292">
        <w:rPr>
          <w:sz w:val="22"/>
          <w:szCs w:val="22"/>
        </w:rPr>
        <w:t>BR-201</w:t>
      </w:r>
      <w:r w:rsidR="00605639">
        <w:rPr>
          <w:sz w:val="22"/>
          <w:szCs w:val="22"/>
        </w:rPr>
        <w:t>11212AHG</w:t>
      </w:r>
    </w:p>
    <w:p w:rsidR="00431292" w:rsidRPr="00DC11E5">
      <w:pPr>
        <w:rPr>
          <w:b/>
          <w:sz w:val="22"/>
          <w:szCs w:val="22"/>
        </w:rPr>
      </w:pPr>
      <w:r w:rsidRPr="00DC11E5">
        <w:rPr>
          <w:b/>
          <w:sz w:val="22"/>
          <w:szCs w:val="22"/>
        </w:rPr>
        <w:tab/>
      </w:r>
      <w:r w:rsidRPr="00DC11E5">
        <w:rPr>
          <w:b/>
          <w:sz w:val="22"/>
          <w:szCs w:val="22"/>
        </w:rPr>
        <w:tab/>
      </w:r>
      <w:r w:rsidRPr="00DC11E5">
        <w:rPr>
          <w:b/>
          <w:sz w:val="22"/>
          <w:szCs w:val="22"/>
        </w:rPr>
        <w:tab/>
      </w:r>
      <w:r w:rsidRPr="00DC11E5">
        <w:rPr>
          <w:b/>
          <w:sz w:val="22"/>
          <w:szCs w:val="22"/>
        </w:rPr>
        <w:tab/>
      </w:r>
      <w:r w:rsidRPr="00DC11E5">
        <w:rPr>
          <w:b/>
          <w:sz w:val="22"/>
          <w:szCs w:val="22"/>
        </w:rPr>
        <w:tab/>
      </w:r>
      <w:r w:rsidRPr="00DC11E5">
        <w:rPr>
          <w:b/>
          <w:sz w:val="22"/>
          <w:szCs w:val="22"/>
        </w:rPr>
        <w:tab/>
      </w:r>
      <w:r w:rsidRPr="00DC11E5">
        <w:rPr>
          <w:b/>
          <w:sz w:val="22"/>
          <w:szCs w:val="22"/>
        </w:rPr>
        <w:tab/>
      </w:r>
      <w:r w:rsidRPr="00DC11E5">
        <w:rPr>
          <w:b/>
          <w:sz w:val="22"/>
          <w:szCs w:val="22"/>
        </w:rPr>
        <w:tab/>
      </w:r>
    </w:p>
    <w:p w:rsidR="00BC65AA" w:rsidRPr="00DC11E5" w:rsidP="00717781">
      <w:pPr>
        <w:tabs>
          <w:tab w:val="left" w:pos="5760"/>
        </w:tabs>
        <w:rPr>
          <w:sz w:val="22"/>
          <w:szCs w:val="22"/>
        </w:rPr>
      </w:pPr>
      <w:r w:rsidRPr="00DC11E5">
        <w:rPr>
          <w:b/>
          <w:sz w:val="22"/>
          <w:szCs w:val="22"/>
        </w:rPr>
        <w:tab/>
      </w:r>
      <w:r w:rsidRPr="00DC11E5" w:rsidR="003767FD">
        <w:rPr>
          <w:b/>
          <w:sz w:val="22"/>
          <w:szCs w:val="22"/>
        </w:rPr>
        <w:t xml:space="preserve">Petition </w:t>
      </w:r>
      <w:r w:rsidRPr="00DC11E5">
        <w:rPr>
          <w:b/>
          <w:sz w:val="22"/>
          <w:szCs w:val="22"/>
        </w:rPr>
        <w:t>for Reconsideration</w:t>
      </w:r>
      <w:r w:rsidRPr="00DC11E5">
        <w:rPr>
          <w:sz w:val="22"/>
          <w:szCs w:val="22"/>
        </w:rPr>
        <w:tab/>
      </w:r>
      <w:r w:rsidRPr="00DC11E5">
        <w:rPr>
          <w:sz w:val="22"/>
          <w:szCs w:val="22"/>
        </w:rPr>
        <w:tab/>
      </w:r>
      <w:r w:rsidRPr="00DC11E5">
        <w:rPr>
          <w:sz w:val="22"/>
          <w:szCs w:val="22"/>
        </w:rPr>
        <w:tab/>
      </w:r>
      <w:r w:rsidRPr="00DC11E5">
        <w:rPr>
          <w:sz w:val="22"/>
          <w:szCs w:val="22"/>
        </w:rPr>
        <w:tab/>
      </w:r>
    </w:p>
    <w:p w:rsidR="00BC65AA" w:rsidRPr="00DC11E5">
      <w:pPr>
        <w:rPr>
          <w:sz w:val="22"/>
          <w:szCs w:val="22"/>
        </w:rPr>
      </w:pPr>
      <w:r w:rsidRPr="00DC11E5">
        <w:rPr>
          <w:sz w:val="22"/>
          <w:szCs w:val="22"/>
        </w:rPr>
        <w:t xml:space="preserve">Dear </w:t>
      </w:r>
      <w:r w:rsidR="00605639">
        <w:rPr>
          <w:sz w:val="22"/>
          <w:szCs w:val="22"/>
        </w:rPr>
        <w:t>Mr. Mizell</w:t>
      </w:r>
      <w:r w:rsidRPr="00DC11E5">
        <w:rPr>
          <w:sz w:val="22"/>
          <w:szCs w:val="22"/>
        </w:rPr>
        <w:t>:</w:t>
      </w:r>
    </w:p>
    <w:p w:rsidR="00BC65AA" w:rsidRPr="00DC11E5">
      <w:pPr>
        <w:rPr>
          <w:sz w:val="22"/>
          <w:szCs w:val="22"/>
        </w:rPr>
      </w:pPr>
    </w:p>
    <w:p w:rsidR="00BC65AA" w:rsidRPr="00DC11E5">
      <w:pPr>
        <w:pStyle w:val="FootnoteText"/>
        <w:rPr>
          <w:i/>
          <w:sz w:val="22"/>
          <w:szCs w:val="22"/>
        </w:rPr>
      </w:pPr>
      <w:r w:rsidRPr="00DC11E5">
        <w:rPr>
          <w:sz w:val="22"/>
          <w:szCs w:val="22"/>
        </w:rPr>
        <w:tab/>
        <w:t>We have before us a</w:t>
      </w:r>
      <w:r w:rsidRPr="00DC11E5" w:rsidR="00431292">
        <w:rPr>
          <w:sz w:val="22"/>
          <w:szCs w:val="22"/>
        </w:rPr>
        <w:t xml:space="preserve"> Petition for Reconsideration</w:t>
      </w:r>
      <w:r w:rsidRPr="00DC11E5" w:rsidR="00AD1769">
        <w:rPr>
          <w:sz w:val="22"/>
          <w:szCs w:val="22"/>
        </w:rPr>
        <w:t xml:space="preserve"> (Petition)</w:t>
      </w:r>
      <w:r w:rsidRPr="00DC11E5" w:rsidR="002D5FF4">
        <w:rPr>
          <w:sz w:val="22"/>
          <w:szCs w:val="22"/>
        </w:rPr>
        <w:t xml:space="preserve"> filed by </w:t>
      </w:r>
      <w:r w:rsidR="00605639">
        <w:rPr>
          <w:sz w:val="22"/>
          <w:szCs w:val="22"/>
        </w:rPr>
        <w:t xml:space="preserve">Shelley Broadcasting Co., Inc. </w:t>
      </w:r>
      <w:r w:rsidRPr="00DC11E5" w:rsidR="002D5FF4">
        <w:rPr>
          <w:sz w:val="22"/>
          <w:szCs w:val="22"/>
        </w:rPr>
        <w:t>(</w:t>
      </w:r>
      <w:r w:rsidR="00605639">
        <w:rPr>
          <w:sz w:val="22"/>
          <w:szCs w:val="22"/>
        </w:rPr>
        <w:t>SBC</w:t>
      </w:r>
      <w:r w:rsidRPr="00DC11E5" w:rsidR="002D5FF4">
        <w:rPr>
          <w:sz w:val="22"/>
          <w:szCs w:val="22"/>
        </w:rPr>
        <w:t xml:space="preserve">) on </w:t>
      </w:r>
      <w:r w:rsidR="00605639">
        <w:rPr>
          <w:sz w:val="22"/>
          <w:szCs w:val="22"/>
        </w:rPr>
        <w:t>April 26, 2017</w:t>
      </w:r>
      <w:r w:rsidRPr="00DC11E5" w:rsidR="002D5FF4">
        <w:rPr>
          <w:sz w:val="22"/>
          <w:szCs w:val="22"/>
        </w:rPr>
        <w:t>.  The Petition</w:t>
      </w:r>
      <w:r w:rsidRPr="00DC11E5" w:rsidR="00431292">
        <w:rPr>
          <w:sz w:val="22"/>
          <w:szCs w:val="22"/>
        </w:rPr>
        <w:t xml:space="preserve"> </w:t>
      </w:r>
      <w:r w:rsidRPr="00DC11E5" w:rsidR="002D5FF4">
        <w:rPr>
          <w:sz w:val="22"/>
          <w:szCs w:val="22"/>
        </w:rPr>
        <w:t xml:space="preserve">seeks reconsideration of </w:t>
      </w:r>
      <w:r w:rsidR="00B4737F">
        <w:rPr>
          <w:sz w:val="22"/>
          <w:szCs w:val="22"/>
        </w:rPr>
        <w:t xml:space="preserve">a staff letter </w:t>
      </w:r>
      <w:r w:rsidR="00F521DC">
        <w:rPr>
          <w:sz w:val="22"/>
          <w:szCs w:val="22"/>
        </w:rPr>
        <w:t>that</w:t>
      </w:r>
      <w:r w:rsidR="00293FFB">
        <w:rPr>
          <w:sz w:val="22"/>
          <w:szCs w:val="22"/>
        </w:rPr>
        <w:t xml:space="preserve">:  </w:t>
      </w:r>
      <w:r w:rsidR="00322DCB">
        <w:rPr>
          <w:sz w:val="22"/>
          <w:szCs w:val="22"/>
        </w:rPr>
        <w:t xml:space="preserve">(1) </w:t>
      </w:r>
      <w:r w:rsidR="00F521DC">
        <w:rPr>
          <w:sz w:val="22"/>
          <w:szCs w:val="22"/>
        </w:rPr>
        <w:t>dismissed</w:t>
      </w:r>
      <w:r w:rsidRPr="00DC11E5" w:rsidR="002D5FF4">
        <w:rPr>
          <w:sz w:val="22"/>
          <w:szCs w:val="22"/>
        </w:rPr>
        <w:t xml:space="preserve"> </w:t>
      </w:r>
      <w:r w:rsidR="00605639">
        <w:rPr>
          <w:sz w:val="22"/>
          <w:szCs w:val="22"/>
        </w:rPr>
        <w:t>SBC</w:t>
      </w:r>
      <w:r w:rsidRPr="00DC11E5" w:rsidR="002D5FF4">
        <w:rPr>
          <w:sz w:val="22"/>
          <w:szCs w:val="22"/>
        </w:rPr>
        <w:t xml:space="preserve">’s </w:t>
      </w:r>
      <w:r w:rsidRPr="00DC11E5" w:rsidR="00431292">
        <w:rPr>
          <w:sz w:val="22"/>
          <w:szCs w:val="22"/>
        </w:rPr>
        <w:t>application</w:t>
      </w:r>
      <w:r w:rsidRPr="00DC11E5" w:rsidR="00747706">
        <w:rPr>
          <w:sz w:val="22"/>
          <w:szCs w:val="22"/>
        </w:rPr>
        <w:t xml:space="preserve"> (Renewal Application)</w:t>
      </w:r>
      <w:r w:rsidRPr="00DC11E5" w:rsidR="00431292">
        <w:rPr>
          <w:sz w:val="22"/>
          <w:szCs w:val="22"/>
        </w:rPr>
        <w:t xml:space="preserve"> to renew the license of D</w:t>
      </w:r>
      <w:r w:rsidR="008E2AE7">
        <w:rPr>
          <w:sz w:val="22"/>
          <w:szCs w:val="22"/>
        </w:rPr>
        <w:t>W</w:t>
      </w:r>
      <w:r w:rsidR="00605639">
        <w:rPr>
          <w:sz w:val="22"/>
          <w:szCs w:val="22"/>
        </w:rPr>
        <w:t>GEA</w:t>
      </w:r>
      <w:r w:rsidRPr="00DC11E5" w:rsidR="00431292">
        <w:rPr>
          <w:sz w:val="22"/>
          <w:szCs w:val="22"/>
        </w:rPr>
        <w:t>(AM)</w:t>
      </w:r>
      <w:r w:rsidRPr="00DC11E5" w:rsidR="00747706">
        <w:rPr>
          <w:sz w:val="22"/>
          <w:szCs w:val="22"/>
        </w:rPr>
        <w:t xml:space="preserve">, </w:t>
      </w:r>
      <w:r w:rsidR="00335DCF">
        <w:rPr>
          <w:sz w:val="22"/>
          <w:szCs w:val="22"/>
        </w:rPr>
        <w:t>Geneva</w:t>
      </w:r>
      <w:r w:rsidR="00605639">
        <w:rPr>
          <w:sz w:val="22"/>
          <w:szCs w:val="22"/>
        </w:rPr>
        <w:t>, Alabama</w:t>
      </w:r>
      <w:r w:rsidRPr="00DC11E5" w:rsidR="00747706">
        <w:rPr>
          <w:sz w:val="22"/>
          <w:szCs w:val="22"/>
        </w:rPr>
        <w:t xml:space="preserve"> (Station</w:t>
      </w:r>
      <w:r w:rsidRPr="00DC11E5" w:rsidR="002D5FF4">
        <w:rPr>
          <w:sz w:val="22"/>
          <w:szCs w:val="22"/>
        </w:rPr>
        <w:t>)</w:t>
      </w:r>
      <w:r w:rsidR="00312D9B">
        <w:rPr>
          <w:sz w:val="22"/>
          <w:szCs w:val="22"/>
        </w:rPr>
        <w:t>;</w:t>
      </w:r>
      <w:r w:rsidR="00B4737F">
        <w:rPr>
          <w:sz w:val="22"/>
          <w:szCs w:val="22"/>
        </w:rPr>
        <w:t xml:space="preserve"> </w:t>
      </w:r>
      <w:r w:rsidR="00322DCB">
        <w:rPr>
          <w:sz w:val="22"/>
          <w:szCs w:val="22"/>
        </w:rPr>
        <w:t xml:space="preserve">(2) </w:t>
      </w:r>
      <w:r w:rsidR="00F521DC">
        <w:rPr>
          <w:sz w:val="22"/>
          <w:szCs w:val="22"/>
        </w:rPr>
        <w:t>cancelled</w:t>
      </w:r>
      <w:r w:rsidR="00B4737F">
        <w:rPr>
          <w:sz w:val="22"/>
          <w:szCs w:val="22"/>
        </w:rPr>
        <w:t xml:space="preserve"> the Station’s license</w:t>
      </w:r>
      <w:r w:rsidR="00312D9B">
        <w:rPr>
          <w:sz w:val="22"/>
          <w:szCs w:val="22"/>
        </w:rPr>
        <w:t>;</w:t>
      </w:r>
      <w:r w:rsidR="00B4737F">
        <w:rPr>
          <w:sz w:val="22"/>
          <w:szCs w:val="22"/>
        </w:rPr>
        <w:t xml:space="preserve"> and </w:t>
      </w:r>
      <w:r w:rsidR="00322DCB">
        <w:rPr>
          <w:sz w:val="22"/>
          <w:szCs w:val="22"/>
        </w:rPr>
        <w:t xml:space="preserve">(3) </w:t>
      </w:r>
      <w:r w:rsidR="00F521DC">
        <w:rPr>
          <w:sz w:val="22"/>
          <w:szCs w:val="22"/>
        </w:rPr>
        <w:t>deleted</w:t>
      </w:r>
      <w:r w:rsidR="00B4737F">
        <w:rPr>
          <w:sz w:val="22"/>
          <w:szCs w:val="22"/>
        </w:rPr>
        <w:t xml:space="preserve"> its call sign from the Commission’s database</w:t>
      </w:r>
      <w:r w:rsidRPr="00DC11E5" w:rsidR="00747706">
        <w:rPr>
          <w:sz w:val="22"/>
          <w:szCs w:val="22"/>
        </w:rPr>
        <w:t>.</w:t>
      </w:r>
      <w:r>
        <w:rPr>
          <w:rStyle w:val="FootnoteReference"/>
          <w:sz w:val="22"/>
          <w:szCs w:val="22"/>
        </w:rPr>
        <w:footnoteReference w:id="3"/>
      </w:r>
      <w:r w:rsidRPr="00DC11E5" w:rsidR="002D5FF4">
        <w:rPr>
          <w:sz w:val="22"/>
          <w:szCs w:val="22"/>
        </w:rPr>
        <w:t xml:space="preserve">  </w:t>
      </w:r>
      <w:r w:rsidR="00CF5972">
        <w:rPr>
          <w:sz w:val="22"/>
          <w:szCs w:val="22"/>
        </w:rPr>
        <w:t>The s</w:t>
      </w:r>
      <w:r w:rsidR="00B4737F">
        <w:rPr>
          <w:sz w:val="22"/>
          <w:szCs w:val="22"/>
        </w:rPr>
        <w:t>taff</w:t>
      </w:r>
      <w:r w:rsidRPr="00DC11E5" w:rsidR="002D5FF4">
        <w:rPr>
          <w:sz w:val="22"/>
          <w:szCs w:val="22"/>
        </w:rPr>
        <w:t xml:space="preserve"> dismissed the Renewal Application </w:t>
      </w:r>
      <w:r w:rsidR="00F521DC">
        <w:rPr>
          <w:sz w:val="22"/>
          <w:szCs w:val="22"/>
        </w:rPr>
        <w:t>pursuant to</w:t>
      </w:r>
      <w:r w:rsidRPr="00DC11E5" w:rsidR="002D5FF4">
        <w:rPr>
          <w:sz w:val="22"/>
          <w:szCs w:val="22"/>
        </w:rPr>
        <w:t xml:space="preserve"> the Commission’s “red light” </w:t>
      </w:r>
      <w:r w:rsidRPr="00DC11E5" w:rsidR="00DB01B0">
        <w:rPr>
          <w:sz w:val="22"/>
          <w:szCs w:val="22"/>
        </w:rPr>
        <w:t>rules</w:t>
      </w:r>
      <w:r w:rsidR="00B4737F">
        <w:rPr>
          <w:sz w:val="22"/>
          <w:szCs w:val="22"/>
        </w:rPr>
        <w:t>, which</w:t>
      </w:r>
      <w:r w:rsidRPr="00DC11E5" w:rsidR="00DB01B0">
        <w:rPr>
          <w:sz w:val="22"/>
          <w:szCs w:val="22"/>
        </w:rPr>
        <w:t xml:space="preserve"> </w:t>
      </w:r>
      <w:r w:rsidRPr="00DC11E5" w:rsidR="005A53DF">
        <w:rPr>
          <w:sz w:val="22"/>
          <w:szCs w:val="22"/>
        </w:rPr>
        <w:t xml:space="preserve">prohibit </w:t>
      </w:r>
      <w:r w:rsidR="00B4737F">
        <w:rPr>
          <w:sz w:val="22"/>
          <w:szCs w:val="22"/>
        </w:rPr>
        <w:t>grant of</w:t>
      </w:r>
      <w:r w:rsidRPr="00DC11E5" w:rsidR="005A53DF">
        <w:rPr>
          <w:sz w:val="22"/>
          <w:szCs w:val="22"/>
        </w:rPr>
        <w:t xml:space="preserve"> an application when an applicant is delinquent on debts owed to the Commission</w:t>
      </w:r>
      <w:r w:rsidRPr="00DC11E5" w:rsidR="002D5FF4">
        <w:rPr>
          <w:sz w:val="22"/>
          <w:szCs w:val="22"/>
        </w:rPr>
        <w:t>.</w:t>
      </w:r>
      <w:r>
        <w:rPr>
          <w:rStyle w:val="FootnoteReference"/>
          <w:sz w:val="22"/>
          <w:szCs w:val="22"/>
        </w:rPr>
        <w:footnoteReference w:id="4"/>
      </w:r>
      <w:r w:rsidRPr="00DC11E5" w:rsidR="00747706">
        <w:rPr>
          <w:sz w:val="22"/>
          <w:szCs w:val="22"/>
        </w:rPr>
        <w:t xml:space="preserve">  </w:t>
      </w:r>
      <w:r w:rsidRPr="00DC11E5" w:rsidR="005E27E0">
        <w:rPr>
          <w:sz w:val="22"/>
          <w:szCs w:val="22"/>
        </w:rPr>
        <w:t xml:space="preserve">In light of </w:t>
      </w:r>
      <w:r w:rsidR="00B4737F">
        <w:rPr>
          <w:sz w:val="22"/>
          <w:szCs w:val="22"/>
        </w:rPr>
        <w:t>this</w:t>
      </w:r>
      <w:r w:rsidRPr="00DC11E5" w:rsidR="005E27E0">
        <w:rPr>
          <w:sz w:val="22"/>
          <w:szCs w:val="22"/>
        </w:rPr>
        <w:t xml:space="preserve"> dismissal</w:t>
      </w:r>
      <w:r w:rsidRPr="00DC11E5" w:rsidR="00747706">
        <w:rPr>
          <w:sz w:val="22"/>
          <w:szCs w:val="22"/>
        </w:rPr>
        <w:t xml:space="preserve">, </w:t>
      </w:r>
      <w:r w:rsidR="00CF5972">
        <w:rPr>
          <w:sz w:val="22"/>
          <w:szCs w:val="22"/>
        </w:rPr>
        <w:t>the s</w:t>
      </w:r>
      <w:r w:rsidR="00B4737F">
        <w:rPr>
          <w:sz w:val="22"/>
          <w:szCs w:val="22"/>
        </w:rPr>
        <w:t>taff</w:t>
      </w:r>
      <w:r w:rsidRPr="00DC11E5" w:rsidR="005E27E0">
        <w:rPr>
          <w:sz w:val="22"/>
          <w:szCs w:val="22"/>
        </w:rPr>
        <w:t xml:space="preserve"> found that </w:t>
      </w:r>
      <w:r w:rsidRPr="00DC11E5" w:rsidR="00747706">
        <w:rPr>
          <w:sz w:val="22"/>
          <w:szCs w:val="22"/>
        </w:rPr>
        <w:t xml:space="preserve">all authority to operate the </w:t>
      </w:r>
      <w:r w:rsidRPr="00DC11E5" w:rsidR="005E27E0">
        <w:rPr>
          <w:sz w:val="22"/>
          <w:szCs w:val="22"/>
        </w:rPr>
        <w:t>Station</w:t>
      </w:r>
      <w:r w:rsidRPr="00DC11E5" w:rsidR="00747706">
        <w:rPr>
          <w:sz w:val="22"/>
          <w:szCs w:val="22"/>
        </w:rPr>
        <w:t xml:space="preserve"> had terminated</w:t>
      </w:r>
      <w:r w:rsidR="00B4737F">
        <w:rPr>
          <w:sz w:val="22"/>
          <w:szCs w:val="22"/>
        </w:rPr>
        <w:t>,</w:t>
      </w:r>
      <w:r w:rsidRPr="00DC11E5" w:rsidR="005E27E0">
        <w:rPr>
          <w:sz w:val="22"/>
          <w:szCs w:val="22"/>
        </w:rPr>
        <w:t xml:space="preserve"> cancelled the S</w:t>
      </w:r>
      <w:r w:rsidRPr="00DC11E5" w:rsidR="00747706">
        <w:rPr>
          <w:sz w:val="22"/>
          <w:szCs w:val="22"/>
        </w:rPr>
        <w:t xml:space="preserve">tation’s license and deleted its call letters from </w:t>
      </w:r>
      <w:r w:rsidR="00B4737F">
        <w:rPr>
          <w:sz w:val="22"/>
          <w:szCs w:val="22"/>
        </w:rPr>
        <w:t>the Commission’s</w:t>
      </w:r>
      <w:r w:rsidRPr="00DC11E5" w:rsidR="00747706">
        <w:rPr>
          <w:sz w:val="22"/>
          <w:szCs w:val="22"/>
        </w:rPr>
        <w:t xml:space="preserve"> database.  </w:t>
      </w:r>
      <w:r w:rsidRPr="00DC11E5">
        <w:rPr>
          <w:sz w:val="22"/>
          <w:szCs w:val="22"/>
        </w:rPr>
        <w:t xml:space="preserve">For the reasons set forth below, </w:t>
      </w:r>
      <w:r w:rsidR="00322DCB">
        <w:rPr>
          <w:sz w:val="22"/>
          <w:szCs w:val="22"/>
        </w:rPr>
        <w:t xml:space="preserve">we grant the Petition in part and otherwise deny it.  Having done so, we </w:t>
      </w:r>
      <w:r w:rsidRPr="00DC11E5" w:rsidR="00C74218">
        <w:rPr>
          <w:sz w:val="22"/>
          <w:szCs w:val="22"/>
        </w:rPr>
        <w:t>reinstate the Station’s license and call letters</w:t>
      </w:r>
      <w:r w:rsidR="00312D9B">
        <w:rPr>
          <w:sz w:val="22"/>
          <w:szCs w:val="22"/>
        </w:rPr>
        <w:t>, and we provisionally reinstate the Renewal Application</w:t>
      </w:r>
      <w:r w:rsidRPr="00DC11E5" w:rsidR="00C74218">
        <w:rPr>
          <w:sz w:val="22"/>
          <w:szCs w:val="22"/>
        </w:rPr>
        <w:t>.</w:t>
      </w:r>
      <w:r w:rsidRPr="00DC11E5">
        <w:rPr>
          <w:i/>
          <w:sz w:val="22"/>
          <w:szCs w:val="22"/>
        </w:rPr>
        <w:t xml:space="preserve">  </w:t>
      </w:r>
    </w:p>
    <w:p w:rsidR="000C6BA4" w:rsidRPr="00DC11E5" w:rsidP="00191192">
      <w:pPr>
        <w:pStyle w:val="FootnoteText"/>
        <w:rPr>
          <w:sz w:val="22"/>
          <w:szCs w:val="22"/>
        </w:rPr>
      </w:pPr>
    </w:p>
    <w:p w:rsidR="008910E0" w:rsidP="00424A56">
      <w:pPr>
        <w:pStyle w:val="FootnoteText"/>
        <w:ind w:firstLine="720"/>
        <w:rPr>
          <w:sz w:val="22"/>
          <w:szCs w:val="22"/>
        </w:rPr>
      </w:pPr>
      <w:r>
        <w:rPr>
          <w:sz w:val="22"/>
          <w:szCs w:val="22"/>
        </w:rPr>
        <w:t xml:space="preserve">In the Petition, </w:t>
      </w:r>
      <w:r w:rsidR="00D10085">
        <w:rPr>
          <w:sz w:val="22"/>
          <w:szCs w:val="22"/>
        </w:rPr>
        <w:t>SBC asserts that it is willing, but has been unable</w:t>
      </w:r>
      <w:r w:rsidR="005B29E9">
        <w:rPr>
          <w:sz w:val="22"/>
          <w:szCs w:val="22"/>
        </w:rPr>
        <w:t>,</w:t>
      </w:r>
      <w:r w:rsidR="00D10085">
        <w:rPr>
          <w:sz w:val="22"/>
          <w:szCs w:val="22"/>
        </w:rPr>
        <w:t xml:space="preserve"> to pay its regulatory fees to the Commission because of a decades</w:t>
      </w:r>
      <w:r>
        <w:rPr>
          <w:sz w:val="22"/>
          <w:szCs w:val="22"/>
        </w:rPr>
        <w:t>-</w:t>
      </w:r>
      <w:r w:rsidR="00D10085">
        <w:rPr>
          <w:sz w:val="22"/>
          <w:szCs w:val="22"/>
        </w:rPr>
        <w:t>long dispute with the Internal Revenue Service (IRS) over a large refund that SBC claims it is due from the IRS.</w:t>
      </w:r>
      <w:r>
        <w:rPr>
          <w:rStyle w:val="FootnoteReference"/>
          <w:sz w:val="22"/>
          <w:szCs w:val="22"/>
        </w:rPr>
        <w:footnoteReference w:id="5"/>
      </w:r>
      <w:r w:rsidR="008D2409">
        <w:rPr>
          <w:sz w:val="22"/>
          <w:szCs w:val="22"/>
        </w:rPr>
        <w:t xml:space="preserve">  SBC claims that it needs these funds in order to satisfy its debts with the Commission.</w:t>
      </w:r>
      <w:r>
        <w:rPr>
          <w:rStyle w:val="FootnoteReference"/>
          <w:sz w:val="22"/>
          <w:szCs w:val="22"/>
        </w:rPr>
        <w:footnoteReference w:id="6"/>
      </w:r>
      <w:r w:rsidR="00D10085">
        <w:rPr>
          <w:sz w:val="22"/>
          <w:szCs w:val="22"/>
        </w:rPr>
        <w:t xml:space="preserve">  SBC’s Presid</w:t>
      </w:r>
      <w:r>
        <w:rPr>
          <w:sz w:val="22"/>
          <w:szCs w:val="22"/>
        </w:rPr>
        <w:t>ent</w:t>
      </w:r>
      <w:r w:rsidR="00D10085">
        <w:rPr>
          <w:sz w:val="22"/>
          <w:szCs w:val="22"/>
        </w:rPr>
        <w:t xml:space="preserve"> H. Jack Mizell also states that </w:t>
      </w:r>
      <w:r>
        <w:rPr>
          <w:sz w:val="22"/>
          <w:szCs w:val="22"/>
        </w:rPr>
        <w:t>although he is in poor health, he “will somehow meet . . . [his] obligation.”</w:t>
      </w:r>
      <w:r>
        <w:rPr>
          <w:rStyle w:val="FootnoteReference"/>
          <w:sz w:val="22"/>
          <w:szCs w:val="22"/>
        </w:rPr>
        <w:footnoteReference w:id="7"/>
      </w:r>
      <w:r w:rsidR="00335DCF">
        <w:rPr>
          <w:sz w:val="22"/>
          <w:szCs w:val="22"/>
        </w:rPr>
        <w:t xml:space="preserve">  </w:t>
      </w:r>
      <w:r>
        <w:rPr>
          <w:sz w:val="22"/>
          <w:szCs w:val="22"/>
        </w:rPr>
        <w:t xml:space="preserve">  </w:t>
      </w:r>
      <w:r w:rsidR="00D10085">
        <w:rPr>
          <w:sz w:val="22"/>
          <w:szCs w:val="22"/>
        </w:rPr>
        <w:t xml:space="preserve">   </w:t>
      </w:r>
    </w:p>
    <w:p w:rsidR="008910E0" w:rsidP="00424A56">
      <w:pPr>
        <w:pStyle w:val="FootnoteText"/>
        <w:ind w:firstLine="720"/>
        <w:rPr>
          <w:sz w:val="22"/>
          <w:szCs w:val="22"/>
        </w:rPr>
      </w:pPr>
    </w:p>
    <w:p w:rsidR="00401B7D" w:rsidRPr="00401B7D" w:rsidP="008D2409">
      <w:pPr>
        <w:ind w:firstLine="720"/>
        <w:rPr>
          <w:sz w:val="22"/>
          <w:szCs w:val="22"/>
        </w:rPr>
      </w:pPr>
      <w:r>
        <w:rPr>
          <w:sz w:val="22"/>
          <w:szCs w:val="22"/>
        </w:rPr>
        <w:t>Initially</w:t>
      </w:r>
      <w:r w:rsidRPr="00DC11E5" w:rsidR="00424A56">
        <w:rPr>
          <w:sz w:val="22"/>
          <w:szCs w:val="22"/>
        </w:rPr>
        <w:t>,</w:t>
      </w:r>
      <w:r>
        <w:rPr>
          <w:sz w:val="22"/>
          <w:szCs w:val="22"/>
        </w:rPr>
        <w:t xml:space="preserve"> we note that </w:t>
      </w:r>
      <w:r w:rsidR="009D1663">
        <w:rPr>
          <w:sz w:val="22"/>
          <w:szCs w:val="22"/>
        </w:rPr>
        <w:t xml:space="preserve">the </w:t>
      </w:r>
      <w:r w:rsidR="00AF4AFF">
        <w:rPr>
          <w:sz w:val="22"/>
          <w:szCs w:val="22"/>
        </w:rPr>
        <w:t xml:space="preserve">staff </w:t>
      </w:r>
      <w:r w:rsidRPr="00AF4AFF" w:rsidR="00245ABE">
        <w:rPr>
          <w:sz w:val="22"/>
          <w:szCs w:val="22"/>
        </w:rPr>
        <w:t>dismiss</w:t>
      </w:r>
      <w:r w:rsidR="00AF4AFF">
        <w:rPr>
          <w:sz w:val="22"/>
          <w:szCs w:val="22"/>
        </w:rPr>
        <w:t>ed</w:t>
      </w:r>
      <w:r w:rsidRPr="00AF4AFF" w:rsidR="00245ABE">
        <w:rPr>
          <w:sz w:val="22"/>
          <w:szCs w:val="22"/>
        </w:rPr>
        <w:t xml:space="preserve"> the Renewal Application </w:t>
      </w:r>
      <w:r w:rsidRPr="00AF4AFF" w:rsidR="00424A56">
        <w:rPr>
          <w:sz w:val="22"/>
          <w:szCs w:val="22"/>
        </w:rPr>
        <w:t xml:space="preserve">under </w:t>
      </w:r>
      <w:r w:rsidR="00E1432F">
        <w:rPr>
          <w:sz w:val="22"/>
          <w:szCs w:val="22"/>
        </w:rPr>
        <w:t xml:space="preserve">Section 1.1910 of the </w:t>
      </w:r>
      <w:r w:rsidR="009D1663">
        <w:rPr>
          <w:sz w:val="22"/>
          <w:szCs w:val="22"/>
        </w:rPr>
        <w:t>FCC’s rules (</w:t>
      </w:r>
      <w:r w:rsidR="00E1432F">
        <w:rPr>
          <w:sz w:val="22"/>
          <w:szCs w:val="22"/>
        </w:rPr>
        <w:t>R</w:t>
      </w:r>
      <w:r w:rsidRPr="00DC11E5" w:rsidR="00424A56">
        <w:rPr>
          <w:sz w:val="22"/>
          <w:szCs w:val="22"/>
        </w:rPr>
        <w:t>ules</w:t>
      </w:r>
      <w:r w:rsidR="009D1663">
        <w:rPr>
          <w:sz w:val="22"/>
          <w:szCs w:val="22"/>
        </w:rPr>
        <w:t>)</w:t>
      </w:r>
      <w:r w:rsidRPr="00DC11E5" w:rsidR="00424A56">
        <w:rPr>
          <w:sz w:val="22"/>
          <w:szCs w:val="22"/>
        </w:rPr>
        <w:t>.</w:t>
      </w:r>
      <w:r>
        <w:rPr>
          <w:rStyle w:val="FootnoteReference"/>
          <w:sz w:val="22"/>
          <w:szCs w:val="22"/>
        </w:rPr>
        <w:footnoteReference w:id="8"/>
      </w:r>
      <w:r w:rsidRPr="00DC11E5" w:rsidR="00424A56">
        <w:rPr>
          <w:sz w:val="22"/>
          <w:szCs w:val="22"/>
        </w:rPr>
        <w:t xml:space="preserve">  </w:t>
      </w:r>
      <w:r w:rsidR="003E0052">
        <w:rPr>
          <w:sz w:val="22"/>
          <w:szCs w:val="22"/>
        </w:rPr>
        <w:t>Section 1.1910</w:t>
      </w:r>
      <w:r w:rsidRPr="00DC11E5" w:rsidR="00245ABE">
        <w:rPr>
          <w:sz w:val="22"/>
          <w:szCs w:val="22"/>
        </w:rPr>
        <w:t xml:space="preserve"> do</w:t>
      </w:r>
      <w:r w:rsidR="003E0052">
        <w:rPr>
          <w:sz w:val="22"/>
          <w:szCs w:val="22"/>
        </w:rPr>
        <w:t>es</w:t>
      </w:r>
      <w:r w:rsidRPr="00DC11E5" w:rsidR="00245ABE">
        <w:rPr>
          <w:sz w:val="22"/>
          <w:szCs w:val="22"/>
        </w:rPr>
        <w:t xml:space="preserve"> not include </w:t>
      </w:r>
      <w:r w:rsidR="003E0052">
        <w:rPr>
          <w:sz w:val="22"/>
          <w:szCs w:val="22"/>
        </w:rPr>
        <w:t>an exception</w:t>
      </w:r>
      <w:r w:rsidRPr="00DC11E5" w:rsidR="00424A56">
        <w:rPr>
          <w:sz w:val="22"/>
          <w:szCs w:val="22"/>
        </w:rPr>
        <w:t xml:space="preserve"> for renewal applications.</w:t>
      </w:r>
      <w:r>
        <w:rPr>
          <w:rStyle w:val="FootnoteReference"/>
          <w:sz w:val="22"/>
          <w:szCs w:val="22"/>
        </w:rPr>
        <w:footnoteReference w:id="9"/>
      </w:r>
      <w:r w:rsidR="00CA12A4">
        <w:rPr>
          <w:sz w:val="22"/>
          <w:szCs w:val="22"/>
        </w:rPr>
        <w:t xml:space="preserve">  More </w:t>
      </w:r>
      <w:r w:rsidRPr="00401B7D" w:rsidR="00CA12A4">
        <w:rPr>
          <w:sz w:val="22"/>
          <w:szCs w:val="22"/>
        </w:rPr>
        <w:t>important</w:t>
      </w:r>
      <w:r w:rsidRPr="00401B7D" w:rsidR="00F3148C">
        <w:rPr>
          <w:sz w:val="22"/>
          <w:szCs w:val="22"/>
        </w:rPr>
        <w:t>ly</w:t>
      </w:r>
      <w:r w:rsidRPr="00401B7D" w:rsidR="00CA12A4">
        <w:rPr>
          <w:sz w:val="22"/>
          <w:szCs w:val="22"/>
        </w:rPr>
        <w:t xml:space="preserve">, </w:t>
      </w:r>
      <w:r w:rsidRPr="00401B7D" w:rsidR="00F3148C">
        <w:rPr>
          <w:sz w:val="22"/>
          <w:szCs w:val="22"/>
        </w:rPr>
        <w:t xml:space="preserve">however, </w:t>
      </w:r>
      <w:r>
        <w:rPr>
          <w:sz w:val="22"/>
          <w:szCs w:val="22"/>
        </w:rPr>
        <w:t>although SBC</w:t>
      </w:r>
      <w:r w:rsidRPr="00401B7D">
        <w:rPr>
          <w:sz w:val="22"/>
          <w:szCs w:val="22"/>
        </w:rPr>
        <w:t xml:space="preserve"> </w:t>
      </w:r>
      <w:r>
        <w:rPr>
          <w:sz w:val="22"/>
          <w:szCs w:val="22"/>
        </w:rPr>
        <w:t>entered into</w:t>
      </w:r>
      <w:r w:rsidRPr="00401B7D">
        <w:rPr>
          <w:sz w:val="22"/>
          <w:szCs w:val="22"/>
        </w:rPr>
        <w:t xml:space="preserve"> an installment </w:t>
      </w:r>
      <w:r>
        <w:rPr>
          <w:sz w:val="22"/>
          <w:szCs w:val="22"/>
        </w:rPr>
        <w:t>payment plan</w:t>
      </w:r>
      <w:r w:rsidRPr="00401B7D">
        <w:rPr>
          <w:sz w:val="22"/>
          <w:szCs w:val="22"/>
        </w:rPr>
        <w:t xml:space="preserve"> with </w:t>
      </w:r>
      <w:r>
        <w:rPr>
          <w:sz w:val="22"/>
          <w:szCs w:val="22"/>
        </w:rPr>
        <w:t xml:space="preserve">the U.S. </w:t>
      </w:r>
      <w:r w:rsidRPr="00401B7D">
        <w:rPr>
          <w:sz w:val="22"/>
          <w:szCs w:val="22"/>
        </w:rPr>
        <w:t>Treasury</w:t>
      </w:r>
      <w:r>
        <w:rPr>
          <w:sz w:val="22"/>
          <w:szCs w:val="22"/>
        </w:rPr>
        <w:t>, SBC</w:t>
      </w:r>
      <w:r w:rsidRPr="00401B7D">
        <w:rPr>
          <w:sz w:val="22"/>
          <w:szCs w:val="22"/>
        </w:rPr>
        <w:t xml:space="preserve"> made </w:t>
      </w:r>
      <w:r w:rsidR="00DC7438">
        <w:rPr>
          <w:sz w:val="22"/>
          <w:szCs w:val="22"/>
        </w:rPr>
        <w:t>eight</w:t>
      </w:r>
      <w:r w:rsidRPr="00401B7D">
        <w:rPr>
          <w:sz w:val="22"/>
          <w:szCs w:val="22"/>
        </w:rPr>
        <w:t xml:space="preserve"> payments </w:t>
      </w:r>
      <w:r w:rsidR="00DC7438">
        <w:rPr>
          <w:sz w:val="22"/>
          <w:szCs w:val="22"/>
        </w:rPr>
        <w:t xml:space="preserve">of $42.97 </w:t>
      </w:r>
      <w:r w:rsidRPr="00401B7D">
        <w:rPr>
          <w:sz w:val="22"/>
          <w:szCs w:val="22"/>
        </w:rPr>
        <w:t xml:space="preserve">and stopped.  </w:t>
      </w:r>
      <w:r>
        <w:rPr>
          <w:sz w:val="22"/>
          <w:szCs w:val="22"/>
        </w:rPr>
        <w:t>SBC’s last recorded</w:t>
      </w:r>
      <w:r w:rsidRPr="00401B7D">
        <w:rPr>
          <w:sz w:val="22"/>
          <w:szCs w:val="22"/>
        </w:rPr>
        <w:t xml:space="preserve"> payment was posted on February 19, 2015.</w:t>
      </w:r>
      <w:r>
        <w:rPr>
          <w:rStyle w:val="FootnoteReference"/>
          <w:sz w:val="22"/>
          <w:szCs w:val="22"/>
        </w:rPr>
        <w:footnoteReference w:id="10"/>
      </w:r>
    </w:p>
    <w:p w:rsidR="00401B7D" w:rsidP="00401B7D">
      <w:pPr>
        <w:rPr>
          <w:color w:val="1F497D"/>
        </w:rPr>
      </w:pPr>
    </w:p>
    <w:p w:rsidR="00AC6932" w:rsidRPr="008471F6" w:rsidP="00FF5668">
      <w:pPr>
        <w:ind w:firstLine="720"/>
        <w:rPr>
          <w:sz w:val="22"/>
          <w:szCs w:val="22"/>
        </w:rPr>
      </w:pPr>
      <w:r>
        <w:rPr>
          <w:rStyle w:val="ssleftalign"/>
          <w:sz w:val="22"/>
          <w:szCs w:val="22"/>
        </w:rPr>
        <w:t xml:space="preserve">Although SBC </w:t>
      </w:r>
      <w:r w:rsidRPr="008471F6">
        <w:rPr>
          <w:rStyle w:val="ssleftalign"/>
          <w:sz w:val="22"/>
          <w:szCs w:val="22"/>
        </w:rPr>
        <w:t>argues that its inability to pay stemmed from a longstanding dispute with the IRS</w:t>
      </w:r>
      <w:r w:rsidR="0081684C">
        <w:rPr>
          <w:rStyle w:val="ssleftalign"/>
          <w:sz w:val="22"/>
          <w:szCs w:val="22"/>
        </w:rPr>
        <w:t>,</w:t>
      </w:r>
      <w:r>
        <w:rPr>
          <w:rStyle w:val="FootnoteReference"/>
          <w:sz w:val="22"/>
          <w:szCs w:val="22"/>
        </w:rPr>
        <w:footnoteReference w:id="11"/>
      </w:r>
      <w:r w:rsidR="0081684C">
        <w:rPr>
          <w:rStyle w:val="ssleftalign"/>
          <w:sz w:val="22"/>
          <w:szCs w:val="22"/>
        </w:rPr>
        <w:t xml:space="preserve"> </w:t>
      </w:r>
      <w:r w:rsidRPr="008471F6" w:rsidR="002B4C66">
        <w:rPr>
          <w:rStyle w:val="ssleftalign"/>
          <w:sz w:val="22"/>
          <w:szCs w:val="22"/>
        </w:rPr>
        <w:t>SBC</w:t>
      </w:r>
      <w:r w:rsidRPr="008471F6">
        <w:rPr>
          <w:rStyle w:val="ssleftalign"/>
          <w:sz w:val="22"/>
          <w:szCs w:val="22"/>
        </w:rPr>
        <w:t xml:space="preserve"> has failed </w:t>
      </w:r>
      <w:r w:rsidRPr="008471F6">
        <w:rPr>
          <w:rStyle w:val="ssleftalign"/>
          <w:sz w:val="22"/>
          <w:szCs w:val="22"/>
        </w:rPr>
        <w:t xml:space="preserve">either </w:t>
      </w:r>
      <w:r w:rsidRPr="008471F6">
        <w:rPr>
          <w:rStyle w:val="ssleftalign"/>
          <w:sz w:val="22"/>
          <w:szCs w:val="22"/>
        </w:rPr>
        <w:t xml:space="preserve">to </w:t>
      </w:r>
      <w:r w:rsidRPr="008471F6">
        <w:rPr>
          <w:rStyle w:val="ssleftalign"/>
          <w:sz w:val="22"/>
          <w:szCs w:val="22"/>
        </w:rPr>
        <w:t xml:space="preserve">establish </w:t>
      </w:r>
      <w:r w:rsidRPr="008471F6">
        <w:rPr>
          <w:color w:val="212121"/>
          <w:sz w:val="22"/>
          <w:szCs w:val="22"/>
        </w:rPr>
        <w:t>a material error in the Dismissal Letter or raise changed circumstances or additional facts not known or existing at the time of its last opportunity to present such matters.</w:t>
      </w:r>
      <w:r>
        <w:rPr>
          <w:rStyle w:val="FootnoteReference"/>
          <w:color w:val="212121"/>
          <w:sz w:val="22"/>
          <w:szCs w:val="22"/>
        </w:rPr>
        <w:footnoteReference w:id="12"/>
      </w:r>
      <w:r w:rsidR="004B69B0">
        <w:rPr>
          <w:rStyle w:val="ssleftalign"/>
          <w:sz w:val="22"/>
          <w:szCs w:val="22"/>
        </w:rPr>
        <w:t xml:space="preserve">  </w:t>
      </w:r>
      <w:r w:rsidRPr="008471F6" w:rsidR="00FF5668">
        <w:rPr>
          <w:sz w:val="22"/>
          <w:szCs w:val="22"/>
        </w:rPr>
        <w:t>We further note that, h</w:t>
      </w:r>
      <w:r w:rsidRPr="008471F6" w:rsidR="001E7B79">
        <w:rPr>
          <w:sz w:val="22"/>
          <w:szCs w:val="22"/>
        </w:rPr>
        <w:t xml:space="preserve">ad </w:t>
      </w:r>
      <w:r w:rsidRPr="008471F6" w:rsidR="005966AB">
        <w:rPr>
          <w:sz w:val="22"/>
          <w:szCs w:val="22"/>
        </w:rPr>
        <w:t>SBC</w:t>
      </w:r>
      <w:r w:rsidRPr="008471F6" w:rsidR="001E7B79">
        <w:rPr>
          <w:sz w:val="22"/>
          <w:szCs w:val="22"/>
        </w:rPr>
        <w:t xml:space="preserve"> wished to avoid dismissal of the Renewal Application, it </w:t>
      </w:r>
      <w:r w:rsidRPr="008471F6" w:rsidR="00FF5668">
        <w:rPr>
          <w:sz w:val="22"/>
          <w:szCs w:val="22"/>
        </w:rPr>
        <w:t>could</w:t>
      </w:r>
      <w:r w:rsidRPr="008471F6" w:rsidR="001E7B79">
        <w:rPr>
          <w:sz w:val="22"/>
          <w:szCs w:val="22"/>
        </w:rPr>
        <w:t xml:space="preserve"> have sought waiver, reduction or deferral of its regulatory fees</w:t>
      </w:r>
      <w:r w:rsidRPr="008471F6" w:rsidR="007F60BC">
        <w:rPr>
          <w:sz w:val="22"/>
          <w:szCs w:val="22"/>
        </w:rPr>
        <w:t xml:space="preserve"> and raised these public interest factors </w:t>
      </w:r>
      <w:r w:rsidRPr="008471F6" w:rsidR="00DB038F">
        <w:rPr>
          <w:sz w:val="22"/>
          <w:szCs w:val="22"/>
        </w:rPr>
        <w:t>in requests for such action</w:t>
      </w:r>
      <w:r w:rsidRPr="008471F6" w:rsidR="001E7B79">
        <w:rPr>
          <w:sz w:val="22"/>
          <w:szCs w:val="22"/>
        </w:rPr>
        <w:t>.</w:t>
      </w:r>
      <w:r>
        <w:rPr>
          <w:rStyle w:val="FootnoteReference"/>
          <w:sz w:val="22"/>
          <w:szCs w:val="22"/>
        </w:rPr>
        <w:footnoteReference w:id="13"/>
      </w:r>
      <w:r w:rsidRPr="008471F6" w:rsidR="001E7B79">
        <w:rPr>
          <w:sz w:val="22"/>
          <w:szCs w:val="22"/>
        </w:rPr>
        <w:t xml:space="preserve">  </w:t>
      </w:r>
      <w:r w:rsidRPr="008471F6" w:rsidR="00E86627">
        <w:rPr>
          <w:sz w:val="22"/>
          <w:szCs w:val="22"/>
        </w:rPr>
        <w:t xml:space="preserve"> </w:t>
      </w:r>
    </w:p>
    <w:p w:rsidR="00E86627" w:rsidRPr="008471F6" w:rsidP="00FF5668">
      <w:pPr>
        <w:ind w:firstLine="720"/>
        <w:rPr>
          <w:sz w:val="22"/>
          <w:szCs w:val="22"/>
        </w:rPr>
      </w:pPr>
    </w:p>
    <w:p w:rsidR="00CA12A4" w:rsidP="00CA12A4">
      <w:pPr>
        <w:ind w:firstLine="720"/>
        <w:rPr>
          <w:sz w:val="22"/>
          <w:szCs w:val="22"/>
        </w:rPr>
      </w:pPr>
      <w:r>
        <w:rPr>
          <w:sz w:val="22"/>
          <w:szCs w:val="22"/>
        </w:rPr>
        <w:t>Nonetheless, w</w:t>
      </w:r>
      <w:r w:rsidRPr="00A428F0" w:rsidR="00A428F0">
        <w:rPr>
          <w:sz w:val="22"/>
          <w:szCs w:val="22"/>
        </w:rPr>
        <w:t xml:space="preserve">hile </w:t>
      </w:r>
      <w:r w:rsidR="00F3148C">
        <w:rPr>
          <w:sz w:val="22"/>
          <w:szCs w:val="22"/>
        </w:rPr>
        <w:t xml:space="preserve">the staff clearly had the authority to dismiss </w:t>
      </w:r>
      <w:r w:rsidRPr="00A428F0" w:rsidR="00A428F0">
        <w:rPr>
          <w:sz w:val="22"/>
          <w:szCs w:val="22"/>
        </w:rPr>
        <w:t xml:space="preserve">the Renewal Application, we find </w:t>
      </w:r>
      <w:r w:rsidR="000B11D2">
        <w:rPr>
          <w:sz w:val="22"/>
          <w:szCs w:val="22"/>
        </w:rPr>
        <w:t xml:space="preserve">that </w:t>
      </w:r>
      <w:r w:rsidRPr="00A428F0" w:rsidR="00A428F0">
        <w:rPr>
          <w:sz w:val="22"/>
          <w:szCs w:val="22"/>
        </w:rPr>
        <w:t>these other actions were premature and reverse them herein</w:t>
      </w:r>
      <w:r w:rsidRPr="00A428F0" w:rsidR="00746380">
        <w:rPr>
          <w:sz w:val="22"/>
          <w:szCs w:val="22"/>
        </w:rPr>
        <w:t>.</w:t>
      </w:r>
      <w:r w:rsidRPr="00DC11E5" w:rsidR="00746380">
        <w:rPr>
          <w:sz w:val="22"/>
          <w:szCs w:val="22"/>
        </w:rPr>
        <w:t xml:space="preserve">  Section 307(c)(3) of the Act states that the filing of a renewal application continues a station’s license in effect.</w:t>
      </w:r>
      <w:r>
        <w:rPr>
          <w:rStyle w:val="FootnoteReference"/>
          <w:sz w:val="22"/>
          <w:szCs w:val="22"/>
        </w:rPr>
        <w:footnoteReference w:id="14"/>
      </w:r>
      <w:r w:rsidRPr="00DC11E5" w:rsidR="00746380">
        <w:rPr>
          <w:sz w:val="22"/>
          <w:szCs w:val="22"/>
        </w:rPr>
        <w:t xml:space="preserve">  This continuance runs through “any hearing and final decision on such an application and the disposition of any petition for rehearing.”</w:t>
      </w:r>
      <w:r>
        <w:rPr>
          <w:rStyle w:val="FootnoteReference"/>
          <w:sz w:val="22"/>
          <w:szCs w:val="22"/>
        </w:rPr>
        <w:footnoteReference w:id="15"/>
      </w:r>
      <w:r w:rsidRPr="00DC11E5" w:rsidR="00746380">
        <w:rPr>
          <w:sz w:val="22"/>
          <w:szCs w:val="22"/>
        </w:rPr>
        <w:t xml:space="preserve">  Because </w:t>
      </w:r>
      <w:r>
        <w:rPr>
          <w:sz w:val="22"/>
          <w:szCs w:val="22"/>
        </w:rPr>
        <w:t>SBC</w:t>
      </w:r>
      <w:r w:rsidRPr="00DC11E5" w:rsidR="00746380">
        <w:rPr>
          <w:sz w:val="22"/>
          <w:szCs w:val="22"/>
        </w:rPr>
        <w:t xml:space="preserve"> timely filed the Petition, its previous license continues </w:t>
      </w:r>
      <w:r w:rsidRPr="00DC11E5" w:rsidR="00C31472">
        <w:rPr>
          <w:sz w:val="22"/>
          <w:szCs w:val="22"/>
        </w:rPr>
        <w:t>in effect</w:t>
      </w:r>
      <w:r w:rsidRPr="00DC11E5" w:rsidR="00746380">
        <w:rPr>
          <w:sz w:val="22"/>
          <w:szCs w:val="22"/>
        </w:rPr>
        <w:t>.</w:t>
      </w:r>
      <w:r>
        <w:rPr>
          <w:rStyle w:val="FootnoteReference"/>
          <w:sz w:val="22"/>
          <w:szCs w:val="22"/>
        </w:rPr>
        <w:footnoteReference w:id="16"/>
      </w:r>
      <w:r w:rsidRPr="00DC11E5" w:rsidR="00746380">
        <w:rPr>
          <w:sz w:val="22"/>
          <w:szCs w:val="22"/>
        </w:rPr>
        <w:t xml:space="preserve">  Accordingly, we rescind </w:t>
      </w:r>
      <w:r w:rsidR="000B11D2">
        <w:rPr>
          <w:sz w:val="22"/>
          <w:szCs w:val="22"/>
        </w:rPr>
        <w:t xml:space="preserve">the </w:t>
      </w:r>
      <w:r w:rsidR="00E62E96">
        <w:rPr>
          <w:sz w:val="22"/>
          <w:szCs w:val="22"/>
        </w:rPr>
        <w:t>staff’s</w:t>
      </w:r>
      <w:r w:rsidRPr="00DC11E5" w:rsidR="00C31472">
        <w:rPr>
          <w:sz w:val="22"/>
          <w:szCs w:val="22"/>
        </w:rPr>
        <w:t xml:space="preserve"> cancellation of the Station’s license and deletion of its call letters,</w:t>
      </w:r>
      <w:r w:rsidRPr="00DC11E5" w:rsidR="00746380">
        <w:rPr>
          <w:sz w:val="22"/>
          <w:szCs w:val="22"/>
        </w:rPr>
        <w:t xml:space="preserve"> </w:t>
      </w:r>
      <w:r w:rsidRPr="00DC11E5" w:rsidR="00C31472">
        <w:rPr>
          <w:sz w:val="22"/>
          <w:szCs w:val="22"/>
        </w:rPr>
        <w:t>and</w:t>
      </w:r>
      <w:r w:rsidRPr="00DC11E5" w:rsidR="00746380">
        <w:rPr>
          <w:sz w:val="22"/>
          <w:szCs w:val="22"/>
        </w:rPr>
        <w:t xml:space="preserve"> reinstate </w:t>
      </w:r>
      <w:r w:rsidRPr="00DC11E5" w:rsidR="00C31472">
        <w:rPr>
          <w:sz w:val="22"/>
          <w:szCs w:val="22"/>
        </w:rPr>
        <w:t>them</w:t>
      </w:r>
      <w:r w:rsidRPr="00DC11E5" w:rsidR="00746380">
        <w:rPr>
          <w:sz w:val="22"/>
          <w:szCs w:val="22"/>
        </w:rPr>
        <w:t>.</w:t>
      </w:r>
      <w:r w:rsidR="00AC6980">
        <w:rPr>
          <w:sz w:val="22"/>
          <w:szCs w:val="22"/>
        </w:rPr>
        <w:t xml:space="preserve">  </w:t>
      </w:r>
      <w:r w:rsidRPr="00DC11E5" w:rsidR="00341F53">
        <w:rPr>
          <w:sz w:val="22"/>
          <w:szCs w:val="22"/>
        </w:rPr>
        <w:t>We note, however, that “[t]he Commission considers outstanding debts owed to the United States Government, in any amount, to be a serious matter.”</w:t>
      </w:r>
      <w:r>
        <w:rPr>
          <w:rStyle w:val="FootnoteReference"/>
          <w:sz w:val="22"/>
          <w:szCs w:val="22"/>
        </w:rPr>
        <w:footnoteReference w:id="17"/>
      </w:r>
      <w:r w:rsidRPr="00DC11E5" w:rsidR="00341F53">
        <w:rPr>
          <w:sz w:val="22"/>
          <w:szCs w:val="22"/>
        </w:rPr>
        <w:t xml:space="preserve">  </w:t>
      </w:r>
      <w:r w:rsidRPr="00DC11E5">
        <w:rPr>
          <w:sz w:val="22"/>
          <w:szCs w:val="22"/>
        </w:rPr>
        <w:t xml:space="preserve">Accordingly, concurrent with our </w:t>
      </w:r>
      <w:r w:rsidRPr="00DC11E5">
        <w:rPr>
          <w:sz w:val="22"/>
          <w:szCs w:val="22"/>
        </w:rPr>
        <w:t>decision herein, the Bureau is initiating a proceeding under Section 9</w:t>
      </w:r>
      <w:r w:rsidR="004E2F2F">
        <w:rPr>
          <w:sz w:val="22"/>
          <w:szCs w:val="22"/>
        </w:rPr>
        <w:t>A</w:t>
      </w:r>
      <w:r w:rsidRPr="00DC11E5">
        <w:rPr>
          <w:sz w:val="22"/>
          <w:szCs w:val="22"/>
        </w:rPr>
        <w:t>(c)(</w:t>
      </w:r>
      <w:r w:rsidR="004E2F2F">
        <w:rPr>
          <w:sz w:val="22"/>
          <w:szCs w:val="22"/>
        </w:rPr>
        <w:t>4</w:t>
      </w:r>
      <w:r w:rsidRPr="00DC11E5">
        <w:rPr>
          <w:sz w:val="22"/>
          <w:szCs w:val="22"/>
        </w:rPr>
        <w:t>) of the Act</w:t>
      </w:r>
      <w:r>
        <w:rPr>
          <w:rStyle w:val="FootnoteReference"/>
          <w:sz w:val="22"/>
          <w:szCs w:val="22"/>
        </w:rPr>
        <w:footnoteReference w:id="18"/>
      </w:r>
      <w:r w:rsidRPr="00DC11E5">
        <w:rPr>
          <w:sz w:val="22"/>
          <w:szCs w:val="22"/>
        </w:rPr>
        <w:t xml:space="preserve"> and Section 1.1164(f) of the Rules</w:t>
      </w:r>
      <w:r>
        <w:rPr>
          <w:rStyle w:val="FootnoteReference"/>
          <w:sz w:val="22"/>
          <w:szCs w:val="22"/>
        </w:rPr>
        <w:footnoteReference w:id="19"/>
      </w:r>
      <w:r w:rsidRPr="00DC11E5">
        <w:rPr>
          <w:sz w:val="22"/>
          <w:szCs w:val="22"/>
        </w:rPr>
        <w:t xml:space="preserve"> to revoke </w:t>
      </w:r>
      <w:r>
        <w:rPr>
          <w:sz w:val="22"/>
          <w:szCs w:val="22"/>
        </w:rPr>
        <w:t>the Station’s license</w:t>
      </w:r>
      <w:r w:rsidRPr="00DC11E5">
        <w:rPr>
          <w:sz w:val="22"/>
          <w:szCs w:val="22"/>
        </w:rPr>
        <w:t xml:space="preserve"> for failure to pay delinquent regulatory fees owed to the Commission.</w:t>
      </w:r>
      <w:r>
        <w:rPr>
          <w:rStyle w:val="FootnoteReference"/>
          <w:sz w:val="22"/>
          <w:szCs w:val="22"/>
        </w:rPr>
        <w:footnoteReference w:id="20"/>
      </w:r>
    </w:p>
    <w:p w:rsidR="003E1026" w:rsidP="00CA12A4">
      <w:pPr>
        <w:ind w:firstLine="720"/>
        <w:rPr>
          <w:sz w:val="22"/>
          <w:szCs w:val="22"/>
        </w:rPr>
      </w:pPr>
    </w:p>
    <w:p w:rsidR="003E1026" w:rsidRPr="00DC11E5" w:rsidP="00CA12A4">
      <w:pPr>
        <w:ind w:firstLine="720"/>
        <w:rPr>
          <w:sz w:val="22"/>
          <w:szCs w:val="22"/>
        </w:rPr>
      </w:pPr>
      <w:r>
        <w:rPr>
          <w:sz w:val="22"/>
          <w:szCs w:val="22"/>
        </w:rPr>
        <w:t>Finally, in order to give full effect to the due process rights established by Sections 9</w:t>
      </w:r>
      <w:r w:rsidR="004E2F2F">
        <w:rPr>
          <w:sz w:val="22"/>
          <w:szCs w:val="22"/>
        </w:rPr>
        <w:t>A</w:t>
      </w:r>
      <w:r>
        <w:rPr>
          <w:sz w:val="22"/>
          <w:szCs w:val="22"/>
        </w:rPr>
        <w:t>(c)</w:t>
      </w:r>
      <w:r w:rsidR="004E2F2F">
        <w:rPr>
          <w:sz w:val="22"/>
          <w:szCs w:val="22"/>
        </w:rPr>
        <w:t>(4)</w:t>
      </w:r>
      <w:r>
        <w:rPr>
          <w:sz w:val="22"/>
          <w:szCs w:val="22"/>
        </w:rPr>
        <w:t xml:space="preserve"> and 307(c)(3) of the Act,</w:t>
      </w:r>
      <w:r>
        <w:rPr>
          <w:rStyle w:val="FootnoteReference"/>
          <w:sz w:val="22"/>
          <w:szCs w:val="22"/>
        </w:rPr>
        <w:footnoteReference w:id="21"/>
      </w:r>
      <w:r>
        <w:rPr>
          <w:sz w:val="22"/>
          <w:szCs w:val="22"/>
        </w:rPr>
        <w:t xml:space="preserve"> we are provisionally reinstating the Renewal Application to pending status.  </w:t>
      </w:r>
      <w:r w:rsidR="00533208">
        <w:rPr>
          <w:sz w:val="22"/>
          <w:szCs w:val="22"/>
        </w:rPr>
        <w:t xml:space="preserve">The Renewal Application will remain in this status until there are decisions in this proceeding and in the related </w:t>
      </w:r>
      <w:r w:rsidR="009B5E47">
        <w:rPr>
          <w:sz w:val="22"/>
          <w:szCs w:val="22"/>
        </w:rPr>
        <w:t xml:space="preserve">debt </w:t>
      </w:r>
      <w:r w:rsidR="00533208">
        <w:rPr>
          <w:sz w:val="22"/>
          <w:szCs w:val="22"/>
        </w:rPr>
        <w:t>proceeding.</w:t>
      </w:r>
      <w:r>
        <w:rPr>
          <w:rStyle w:val="FootnoteReference"/>
          <w:sz w:val="22"/>
          <w:szCs w:val="22"/>
        </w:rPr>
        <w:footnoteReference w:id="22"/>
      </w:r>
    </w:p>
    <w:p w:rsidR="00CA12A4" w:rsidP="00FA7960">
      <w:pPr>
        <w:ind w:firstLine="720"/>
        <w:rPr>
          <w:b/>
          <w:sz w:val="22"/>
          <w:szCs w:val="22"/>
        </w:rPr>
      </w:pPr>
    </w:p>
    <w:p w:rsidR="00DD7D5D" w:rsidP="00FA7960">
      <w:pPr>
        <w:ind w:firstLine="720"/>
        <w:rPr>
          <w:spacing w:val="-2"/>
          <w:sz w:val="22"/>
          <w:szCs w:val="22"/>
        </w:rPr>
      </w:pPr>
      <w:r w:rsidRPr="00DC11E5">
        <w:rPr>
          <w:b/>
          <w:sz w:val="22"/>
          <w:szCs w:val="22"/>
        </w:rPr>
        <w:t>Conclusion/Actions.</w:t>
      </w:r>
      <w:r w:rsidRPr="00DC11E5">
        <w:rPr>
          <w:sz w:val="22"/>
          <w:szCs w:val="22"/>
        </w:rPr>
        <w:t xml:space="preserve">  </w:t>
      </w:r>
      <w:r w:rsidRPr="00DC11E5" w:rsidR="005E27E0">
        <w:rPr>
          <w:spacing w:val="-2"/>
          <w:sz w:val="22"/>
          <w:szCs w:val="22"/>
        </w:rPr>
        <w:t>For the reasons set forth above</w:t>
      </w:r>
      <w:r w:rsidRPr="00DC11E5" w:rsidR="00191192">
        <w:rPr>
          <w:spacing w:val="-2"/>
          <w:sz w:val="22"/>
          <w:szCs w:val="22"/>
        </w:rPr>
        <w:t xml:space="preserve">, IT IS ORDERED, that the Petition </w:t>
      </w:r>
      <w:r w:rsidRPr="00DC11E5" w:rsidR="00FA7960">
        <w:rPr>
          <w:spacing w:val="-2"/>
          <w:sz w:val="22"/>
          <w:szCs w:val="22"/>
        </w:rPr>
        <w:t xml:space="preserve">for </w:t>
      </w:r>
      <w:r w:rsidRPr="00DC11E5" w:rsidR="005E27E0">
        <w:rPr>
          <w:spacing w:val="-2"/>
          <w:sz w:val="22"/>
          <w:szCs w:val="22"/>
        </w:rPr>
        <w:t>Reconsideration</w:t>
      </w:r>
      <w:r w:rsidRPr="00DC11E5" w:rsidR="00191192">
        <w:rPr>
          <w:spacing w:val="-2"/>
          <w:sz w:val="22"/>
          <w:szCs w:val="22"/>
        </w:rPr>
        <w:t xml:space="preserve"> filed by </w:t>
      </w:r>
      <w:r w:rsidR="005966AB">
        <w:rPr>
          <w:spacing w:val="-2"/>
          <w:sz w:val="22"/>
          <w:szCs w:val="22"/>
        </w:rPr>
        <w:t>Shelley Broadcasting Co., Inc.,</w:t>
      </w:r>
      <w:r w:rsidRPr="00DC11E5" w:rsidR="00563BF6">
        <w:rPr>
          <w:spacing w:val="-2"/>
          <w:sz w:val="22"/>
          <w:szCs w:val="22"/>
        </w:rPr>
        <w:t xml:space="preserve"> on </w:t>
      </w:r>
      <w:r w:rsidR="005966AB">
        <w:rPr>
          <w:spacing w:val="-2"/>
          <w:sz w:val="22"/>
          <w:szCs w:val="22"/>
        </w:rPr>
        <w:t>April 26, 2017</w:t>
      </w:r>
      <w:r w:rsidRPr="00DC11E5" w:rsidR="00563BF6">
        <w:rPr>
          <w:spacing w:val="-2"/>
          <w:sz w:val="22"/>
          <w:szCs w:val="22"/>
        </w:rPr>
        <w:t>,</w:t>
      </w:r>
      <w:r w:rsidRPr="00DC11E5" w:rsidR="00191192">
        <w:rPr>
          <w:spacing w:val="-2"/>
          <w:sz w:val="22"/>
          <w:szCs w:val="22"/>
        </w:rPr>
        <w:t xml:space="preserve"> IS</w:t>
      </w:r>
      <w:r w:rsidRPr="00DC11E5" w:rsidR="0070359E">
        <w:rPr>
          <w:spacing w:val="-2"/>
          <w:sz w:val="22"/>
          <w:szCs w:val="22"/>
        </w:rPr>
        <w:t xml:space="preserve"> </w:t>
      </w:r>
      <w:r w:rsidR="00892ED8">
        <w:rPr>
          <w:spacing w:val="-2"/>
          <w:sz w:val="22"/>
          <w:szCs w:val="22"/>
        </w:rPr>
        <w:t xml:space="preserve">GRANTED IN PART and </w:t>
      </w:r>
      <w:r w:rsidRPr="00DC11E5" w:rsidR="00DB01B0">
        <w:rPr>
          <w:spacing w:val="-2"/>
          <w:sz w:val="22"/>
          <w:szCs w:val="22"/>
        </w:rPr>
        <w:t>DENIED IN PART</w:t>
      </w:r>
      <w:r w:rsidRPr="00DC11E5" w:rsidR="00191192">
        <w:rPr>
          <w:spacing w:val="-2"/>
          <w:sz w:val="22"/>
          <w:szCs w:val="22"/>
        </w:rPr>
        <w:t>.</w:t>
      </w:r>
      <w:r w:rsidRPr="00DC11E5" w:rsidR="00DB01B0">
        <w:rPr>
          <w:spacing w:val="-2"/>
          <w:sz w:val="22"/>
          <w:szCs w:val="22"/>
        </w:rPr>
        <w:t xml:space="preserve">  </w:t>
      </w:r>
    </w:p>
    <w:p w:rsidR="00DD7D5D" w:rsidP="00FA7960">
      <w:pPr>
        <w:ind w:firstLine="720"/>
        <w:rPr>
          <w:spacing w:val="-2"/>
          <w:sz w:val="22"/>
          <w:szCs w:val="22"/>
        </w:rPr>
      </w:pPr>
    </w:p>
    <w:p w:rsidR="00BC65AA" w:rsidP="00FA7960">
      <w:pPr>
        <w:ind w:firstLine="720"/>
        <w:rPr>
          <w:spacing w:val="-2"/>
          <w:sz w:val="22"/>
          <w:szCs w:val="22"/>
        </w:rPr>
      </w:pPr>
      <w:r w:rsidRPr="00DC11E5">
        <w:rPr>
          <w:spacing w:val="-2"/>
          <w:sz w:val="22"/>
          <w:szCs w:val="22"/>
        </w:rPr>
        <w:t>IT IS FURTHER ORDERED</w:t>
      </w:r>
      <w:r w:rsidR="008D0E61">
        <w:rPr>
          <w:spacing w:val="-2"/>
          <w:sz w:val="22"/>
          <w:szCs w:val="22"/>
        </w:rPr>
        <w:t>,</w:t>
      </w:r>
      <w:r w:rsidRPr="00DC11E5">
        <w:rPr>
          <w:spacing w:val="-2"/>
          <w:sz w:val="22"/>
          <w:szCs w:val="22"/>
        </w:rPr>
        <w:t xml:space="preserve"> that </w:t>
      </w:r>
      <w:r w:rsidRPr="006656B4">
        <w:rPr>
          <w:spacing w:val="-2"/>
          <w:sz w:val="22"/>
          <w:szCs w:val="22"/>
        </w:rPr>
        <w:t xml:space="preserve">the </w:t>
      </w:r>
      <w:r w:rsidR="008D1C47">
        <w:rPr>
          <w:spacing w:val="-2"/>
          <w:sz w:val="22"/>
          <w:szCs w:val="22"/>
        </w:rPr>
        <w:t xml:space="preserve">Station’s </w:t>
      </w:r>
      <w:r w:rsidRPr="006656B4">
        <w:rPr>
          <w:spacing w:val="-2"/>
          <w:sz w:val="22"/>
          <w:szCs w:val="22"/>
        </w:rPr>
        <w:t>license</w:t>
      </w:r>
      <w:r w:rsidR="008D1C47">
        <w:rPr>
          <w:spacing w:val="-2"/>
          <w:sz w:val="22"/>
          <w:szCs w:val="22"/>
        </w:rPr>
        <w:t>, most recently renewed by Application File No. BR-</w:t>
      </w:r>
      <w:r w:rsidR="005966AB">
        <w:rPr>
          <w:spacing w:val="-2"/>
          <w:sz w:val="22"/>
          <w:szCs w:val="22"/>
        </w:rPr>
        <w:t>20031124AAV</w:t>
      </w:r>
      <w:r w:rsidR="008D1C47">
        <w:rPr>
          <w:spacing w:val="-2"/>
          <w:sz w:val="22"/>
          <w:szCs w:val="22"/>
        </w:rPr>
        <w:t xml:space="preserve">, </w:t>
      </w:r>
      <w:r w:rsidRPr="006656B4">
        <w:rPr>
          <w:spacing w:val="-2"/>
          <w:sz w:val="22"/>
          <w:szCs w:val="22"/>
        </w:rPr>
        <w:t xml:space="preserve">and call letters for </w:t>
      </w:r>
      <w:r w:rsidR="00DD7D5D">
        <w:rPr>
          <w:spacing w:val="-2"/>
          <w:sz w:val="22"/>
          <w:szCs w:val="22"/>
        </w:rPr>
        <w:t xml:space="preserve">Station </w:t>
      </w:r>
      <w:r w:rsidR="000B11D2">
        <w:rPr>
          <w:spacing w:val="-2"/>
          <w:sz w:val="22"/>
          <w:szCs w:val="22"/>
        </w:rPr>
        <w:t>W</w:t>
      </w:r>
      <w:r w:rsidR="005966AB">
        <w:rPr>
          <w:spacing w:val="-2"/>
          <w:sz w:val="22"/>
          <w:szCs w:val="22"/>
        </w:rPr>
        <w:t>GEA</w:t>
      </w:r>
      <w:r w:rsidRPr="006656B4">
        <w:rPr>
          <w:spacing w:val="-2"/>
          <w:sz w:val="22"/>
          <w:szCs w:val="22"/>
        </w:rPr>
        <w:t xml:space="preserve">(AM), </w:t>
      </w:r>
      <w:r w:rsidR="005966AB">
        <w:rPr>
          <w:spacing w:val="-2"/>
          <w:sz w:val="22"/>
          <w:szCs w:val="22"/>
        </w:rPr>
        <w:t>Geneva</w:t>
      </w:r>
      <w:r w:rsidR="000B11D2">
        <w:rPr>
          <w:spacing w:val="-2"/>
          <w:sz w:val="22"/>
          <w:szCs w:val="22"/>
        </w:rPr>
        <w:t xml:space="preserve">, </w:t>
      </w:r>
      <w:r w:rsidR="005966AB">
        <w:rPr>
          <w:spacing w:val="-2"/>
          <w:sz w:val="22"/>
          <w:szCs w:val="22"/>
        </w:rPr>
        <w:t>Alabama</w:t>
      </w:r>
      <w:r w:rsidRPr="006656B4">
        <w:rPr>
          <w:spacing w:val="-2"/>
          <w:sz w:val="22"/>
          <w:szCs w:val="22"/>
        </w:rPr>
        <w:t xml:space="preserve">, </w:t>
      </w:r>
      <w:r w:rsidR="0074564E">
        <w:rPr>
          <w:spacing w:val="-2"/>
          <w:sz w:val="22"/>
          <w:szCs w:val="22"/>
        </w:rPr>
        <w:t>ARE</w:t>
      </w:r>
      <w:r w:rsidRPr="006656B4">
        <w:rPr>
          <w:spacing w:val="-2"/>
          <w:sz w:val="22"/>
          <w:szCs w:val="22"/>
        </w:rPr>
        <w:t xml:space="preserve"> REINSTATED.</w:t>
      </w:r>
      <w:r w:rsidRPr="006656B4" w:rsidR="00FA7960">
        <w:rPr>
          <w:spacing w:val="-2"/>
          <w:sz w:val="22"/>
          <w:szCs w:val="22"/>
        </w:rPr>
        <w:t xml:space="preserve">  </w:t>
      </w:r>
    </w:p>
    <w:p w:rsidR="00DD7D5D" w:rsidP="00FA7960">
      <w:pPr>
        <w:ind w:firstLine="720"/>
        <w:rPr>
          <w:spacing w:val="-2"/>
          <w:sz w:val="22"/>
          <w:szCs w:val="22"/>
        </w:rPr>
      </w:pPr>
    </w:p>
    <w:p w:rsidR="00DD7D5D" w:rsidRPr="00DC11E5" w:rsidP="00FA7960">
      <w:pPr>
        <w:ind w:firstLine="720"/>
        <w:rPr>
          <w:color w:val="000000"/>
          <w:spacing w:val="-2"/>
          <w:sz w:val="22"/>
          <w:szCs w:val="22"/>
        </w:rPr>
      </w:pPr>
      <w:r>
        <w:rPr>
          <w:spacing w:val="-2"/>
          <w:sz w:val="22"/>
          <w:szCs w:val="22"/>
        </w:rPr>
        <w:t>IT IS FURTHER ORDERED</w:t>
      </w:r>
      <w:r w:rsidR="008D0E61">
        <w:rPr>
          <w:spacing w:val="-2"/>
          <w:sz w:val="22"/>
          <w:szCs w:val="22"/>
        </w:rPr>
        <w:t>,</w:t>
      </w:r>
      <w:r>
        <w:rPr>
          <w:spacing w:val="-2"/>
          <w:sz w:val="22"/>
          <w:szCs w:val="22"/>
        </w:rPr>
        <w:t xml:space="preserve"> that the license renewal application for Station W</w:t>
      </w:r>
      <w:r w:rsidR="005966AB">
        <w:rPr>
          <w:spacing w:val="-2"/>
          <w:sz w:val="22"/>
          <w:szCs w:val="22"/>
        </w:rPr>
        <w:t>GEA</w:t>
      </w:r>
      <w:r>
        <w:rPr>
          <w:spacing w:val="-2"/>
          <w:sz w:val="22"/>
          <w:szCs w:val="22"/>
        </w:rPr>
        <w:t>(AM)</w:t>
      </w:r>
      <w:r w:rsidR="00EA6C56">
        <w:rPr>
          <w:spacing w:val="-2"/>
          <w:sz w:val="22"/>
          <w:szCs w:val="22"/>
        </w:rPr>
        <w:t xml:space="preserve"> (</w:t>
      </w:r>
      <w:r>
        <w:rPr>
          <w:spacing w:val="-2"/>
          <w:sz w:val="22"/>
          <w:szCs w:val="22"/>
        </w:rPr>
        <w:t>File No. BR-201</w:t>
      </w:r>
      <w:r w:rsidR="005966AB">
        <w:rPr>
          <w:spacing w:val="-2"/>
          <w:sz w:val="22"/>
          <w:szCs w:val="22"/>
        </w:rPr>
        <w:t>11212AHG</w:t>
      </w:r>
      <w:r w:rsidR="00EA6C56">
        <w:rPr>
          <w:spacing w:val="-2"/>
          <w:sz w:val="22"/>
          <w:szCs w:val="22"/>
        </w:rPr>
        <w:t>)</w:t>
      </w:r>
      <w:r>
        <w:rPr>
          <w:spacing w:val="-2"/>
          <w:sz w:val="22"/>
          <w:szCs w:val="22"/>
        </w:rPr>
        <w:t xml:space="preserve"> IS REINSTATED.</w:t>
      </w:r>
    </w:p>
    <w:p w:rsidR="00191192" w:rsidRPr="00DC11E5" w:rsidP="00191192">
      <w:pPr>
        <w:ind w:firstLine="720"/>
        <w:rPr>
          <w:spacing w:val="-2"/>
          <w:sz w:val="22"/>
          <w:szCs w:val="22"/>
        </w:rPr>
      </w:pP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Sincerely,</w:t>
      </w:r>
    </w:p>
    <w:p w:rsidR="00BC65AA" w:rsidRPr="00DC11E5">
      <w:pPr>
        <w:rPr>
          <w:sz w:val="22"/>
          <w:szCs w:val="22"/>
        </w:rPr>
      </w:pPr>
    </w:p>
    <w:p w:rsidR="00BC65AA" w:rsidRPr="00DC11E5">
      <w:pPr>
        <w:rPr>
          <w:sz w:val="22"/>
          <w:szCs w:val="22"/>
        </w:rPr>
      </w:pPr>
    </w:p>
    <w:p w:rsidR="00BC65AA" w:rsidRPr="00DC11E5">
      <w:pPr>
        <w:rPr>
          <w:sz w:val="22"/>
          <w:szCs w:val="22"/>
        </w:rPr>
      </w:pP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0074564E">
        <w:rPr>
          <w:sz w:val="22"/>
          <w:szCs w:val="22"/>
        </w:rPr>
        <w:t>Albert Shuldiner</w:t>
      </w:r>
      <w:r w:rsidRPr="00DC11E5">
        <w:rPr>
          <w:sz w:val="22"/>
          <w:szCs w:val="22"/>
        </w:rPr>
        <w:t xml:space="preserve"> </w:t>
      </w: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Chief, Audio Division</w:t>
      </w:r>
    </w:p>
    <w:p w:rsidR="00BC65AA">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r>
      <w:r w:rsidRPr="00DC11E5">
        <w:rPr>
          <w:sz w:val="22"/>
          <w:szCs w:val="22"/>
        </w:rPr>
        <w:tab/>
        <w:t>Media Bureau</w:t>
      </w:r>
    </w:p>
    <w:p w:rsidR="000B11D2">
      <w:pPr>
        <w:rPr>
          <w:sz w:val="22"/>
          <w:szCs w:val="22"/>
        </w:rPr>
      </w:pPr>
    </w:p>
    <w:p w:rsidR="00BC65AA" w:rsidRPr="00DC11E5">
      <w:pPr>
        <w:pStyle w:val="FootnoteText"/>
        <w:rPr>
          <w:sz w:val="22"/>
          <w:szCs w:val="22"/>
        </w:rPr>
      </w:pPr>
    </w:p>
    <w:p w:rsidR="00BC65AA" w:rsidRPr="00DC11E5">
      <w:pPr>
        <w:rPr>
          <w:sz w:val="22"/>
          <w:szCs w:val="22"/>
        </w:rPr>
      </w:pPr>
      <w:r w:rsidRPr="00DC11E5">
        <w:rPr>
          <w:sz w:val="22"/>
          <w:szCs w:val="22"/>
        </w:rPr>
        <w:tab/>
      </w:r>
      <w:r w:rsidRPr="00DC11E5">
        <w:rPr>
          <w:sz w:val="22"/>
          <w:szCs w:val="22"/>
        </w:rPr>
        <w:tab/>
      </w:r>
      <w:r w:rsidRPr="00DC11E5">
        <w:rPr>
          <w:sz w:val="22"/>
          <w:szCs w:val="22"/>
        </w:rPr>
        <w:tab/>
      </w:r>
      <w:r w:rsidRPr="00DC11E5">
        <w:rPr>
          <w:sz w:val="22"/>
          <w:szCs w:val="22"/>
        </w:rPr>
        <w:tab/>
      </w:r>
    </w:p>
    <w:sectPr>
      <w:footerReference w:type="even" r:id="rId5"/>
      <w:footerReference w:type="default" r:id="rId6"/>
      <w:headerReference w:type="first" r:id="rId7"/>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73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3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14783">
      <w:rPr>
        <w:rStyle w:val="PageNumber"/>
        <w:noProof/>
      </w:rPr>
      <w:t>3</w:t>
    </w:r>
    <w:r>
      <w:rPr>
        <w:rStyle w:val="PageNumber"/>
      </w:rPr>
      <w:fldChar w:fldCharType="end"/>
    </w:r>
  </w:p>
  <w:p w:rsidR="007E73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049A8">
      <w:r>
        <w:separator/>
      </w:r>
    </w:p>
  </w:footnote>
  <w:footnote w:type="continuationSeparator" w:id="1">
    <w:p w:rsidR="00D049A8">
      <w:r>
        <w:continuationSeparator/>
      </w:r>
    </w:p>
    <w:p w:rsidR="00D049A8">
      <w:r>
        <w:t>(Continued from previous page)</w:t>
      </w:r>
    </w:p>
  </w:footnote>
  <w:footnote w:type="continuationNotice" w:id="2">
    <w:p w:rsidR="00D049A8">
      <w:r>
        <w:t>(continued . . .)</w:t>
      </w:r>
    </w:p>
  </w:footnote>
  <w:footnote w:id="3">
    <w:p w:rsidR="005E27E0" w:rsidRPr="008C106C" w:rsidP="008D2409">
      <w:pPr>
        <w:pStyle w:val="FootnoteText"/>
        <w:spacing w:after="120"/>
      </w:pPr>
      <w:r w:rsidRPr="008C106C">
        <w:rPr>
          <w:rStyle w:val="FootnoteReference"/>
        </w:rPr>
        <w:footnoteRef/>
      </w:r>
      <w:r w:rsidRPr="008C106C">
        <w:t xml:space="preserve"> </w:t>
      </w:r>
      <w:r w:rsidR="00605639">
        <w:rPr>
          <w:i/>
        </w:rPr>
        <w:t>Shelley Broadcasting Co., Inc.</w:t>
      </w:r>
      <w:r w:rsidRPr="008C106C" w:rsidR="00E1432F">
        <w:t>, Letter Order</w:t>
      </w:r>
      <w:r w:rsidR="0095625D">
        <w:t>,</w:t>
      </w:r>
      <w:r w:rsidRPr="008C106C">
        <w:t xml:space="preserve"> (</w:t>
      </w:r>
      <w:r w:rsidRPr="008C106C" w:rsidR="00E1432F">
        <w:t xml:space="preserve">MB </w:t>
      </w:r>
      <w:r w:rsidR="00605639">
        <w:t>Apr.</w:t>
      </w:r>
      <w:r w:rsidR="00293FFB">
        <w:t xml:space="preserve"> </w:t>
      </w:r>
      <w:r w:rsidR="00605639">
        <w:t>12</w:t>
      </w:r>
      <w:r w:rsidRPr="008C106C">
        <w:t>, 2017)</w:t>
      </w:r>
      <w:r w:rsidRPr="008C106C" w:rsidR="00E1432F">
        <w:t xml:space="preserve"> (Dismissal Letter)</w:t>
      </w:r>
      <w:r w:rsidRPr="008C106C">
        <w:t xml:space="preserve">.  </w:t>
      </w:r>
      <w:r w:rsidRPr="008C106C">
        <w:rPr>
          <w:i/>
        </w:rPr>
        <w:t>See also</w:t>
      </w:r>
      <w:r w:rsidRPr="008C106C">
        <w:t xml:space="preserve"> </w:t>
      </w:r>
      <w:r w:rsidRPr="008C106C">
        <w:rPr>
          <w:i/>
        </w:rPr>
        <w:t>Broadcast Actions</w:t>
      </w:r>
      <w:r w:rsidRPr="008C106C">
        <w:t>, Public Notice, Report No. 4</w:t>
      </w:r>
      <w:r w:rsidR="00605639">
        <w:t>8966</w:t>
      </w:r>
      <w:r w:rsidRPr="008C106C">
        <w:t xml:space="preserve"> (MB </w:t>
      </w:r>
      <w:r w:rsidR="008D1C47">
        <w:t xml:space="preserve">rel. </w:t>
      </w:r>
      <w:r w:rsidR="00605639">
        <w:t>Apr. 13</w:t>
      </w:r>
      <w:r w:rsidRPr="008C106C">
        <w:t>, 2017).</w:t>
      </w:r>
    </w:p>
  </w:footnote>
  <w:footnote w:id="4">
    <w:p w:rsidR="005E27E0" w:rsidRPr="008C106C" w:rsidP="008D2409">
      <w:pPr>
        <w:pStyle w:val="FootnoteText"/>
        <w:spacing w:after="120"/>
      </w:pPr>
      <w:r w:rsidRPr="008C106C">
        <w:rPr>
          <w:rStyle w:val="FootnoteReference"/>
        </w:rPr>
        <w:footnoteRef/>
      </w:r>
      <w:r w:rsidRPr="008C106C">
        <w:t xml:space="preserve"> </w:t>
      </w:r>
      <w:r w:rsidRPr="008C106C" w:rsidR="005A53DF">
        <w:rPr>
          <w:i/>
          <w:iCs/>
        </w:rPr>
        <w:t>See Amendment of Parts 0 and 1 of the Commission's Rules - Implementation of the Debt Collection Improvement Act of 1996 and Adoption of Rules Governing Applications or Requests for Benefits by Delinquent Debtors,</w:t>
      </w:r>
      <w:r w:rsidRPr="008C106C" w:rsidR="005A53DF">
        <w:t xml:space="preserve"> Report and Order, 19 FCC Rcd 6540 (2004). </w:t>
      </w:r>
      <w:r w:rsidR="00312D9B">
        <w:t xml:space="preserve"> </w:t>
      </w:r>
      <w:r w:rsidRPr="008C106C" w:rsidR="005A53DF">
        <w:rPr>
          <w:i/>
          <w:iCs/>
        </w:rPr>
        <w:t>See also</w:t>
      </w:r>
      <w:r w:rsidR="004148FA">
        <w:t xml:space="preserve"> 47 CFR</w:t>
      </w:r>
      <w:r w:rsidRPr="008C106C" w:rsidR="005A53DF">
        <w:t xml:space="preserve"> §§ 0.283, 1.1910(b)(3)</w:t>
      </w:r>
      <w:r w:rsidRPr="008C106C" w:rsidR="002F70E0">
        <w:t>.</w:t>
      </w:r>
    </w:p>
  </w:footnote>
  <w:footnote w:id="5">
    <w:p w:rsidR="00D10085" w:rsidP="008D2409">
      <w:pPr>
        <w:pStyle w:val="FootnoteText"/>
        <w:spacing w:after="120"/>
      </w:pPr>
      <w:r>
        <w:rPr>
          <w:rStyle w:val="FootnoteReference"/>
        </w:rPr>
        <w:footnoteRef/>
      </w:r>
      <w:r>
        <w:t xml:space="preserve"> Petition at 1.</w:t>
      </w:r>
    </w:p>
  </w:footnote>
  <w:footnote w:id="6">
    <w:p w:rsidR="008D2409" w:rsidRPr="008D2409" w:rsidP="008D2409">
      <w:pPr>
        <w:pStyle w:val="FootnoteText"/>
        <w:spacing w:after="120"/>
      </w:pPr>
      <w:r>
        <w:rPr>
          <w:rStyle w:val="FootnoteReference"/>
        </w:rPr>
        <w:footnoteRef/>
      </w:r>
      <w:r>
        <w:t xml:space="preserve"> </w:t>
      </w:r>
      <w:r>
        <w:rPr>
          <w:i/>
        </w:rPr>
        <w:t xml:space="preserve">Id. </w:t>
      </w:r>
      <w:r>
        <w:t>at 2.</w:t>
      </w:r>
    </w:p>
  </w:footnote>
  <w:footnote w:id="7">
    <w:p w:rsidR="008910E0" w:rsidRPr="008910E0" w:rsidP="008D2409">
      <w:pPr>
        <w:pStyle w:val="FootnoteText"/>
        <w:spacing w:after="120"/>
        <w:rPr>
          <w:i/>
        </w:rPr>
      </w:pPr>
      <w:r>
        <w:rPr>
          <w:rStyle w:val="FootnoteReference"/>
        </w:rPr>
        <w:footnoteRef/>
      </w:r>
      <w:r>
        <w:t xml:space="preserve"> </w:t>
      </w:r>
      <w:r>
        <w:rPr>
          <w:i/>
        </w:rPr>
        <w:t>Id.</w:t>
      </w:r>
    </w:p>
  </w:footnote>
  <w:footnote w:id="8">
    <w:p w:rsidR="00AF4AFF" w:rsidRPr="008C106C" w:rsidP="00622CD1">
      <w:pPr>
        <w:pStyle w:val="FootnoteText"/>
        <w:spacing w:after="120"/>
      </w:pPr>
      <w:r w:rsidRPr="008C106C">
        <w:rPr>
          <w:rStyle w:val="FootnoteReference"/>
        </w:rPr>
        <w:footnoteRef/>
      </w:r>
      <w:r w:rsidRPr="008C106C" w:rsidR="00E1432F">
        <w:rPr>
          <w:i/>
        </w:rPr>
        <w:t xml:space="preserve"> </w:t>
      </w:r>
      <w:r w:rsidRPr="008C106C" w:rsidR="00E1432F">
        <w:t>Dismissal Letter at 1</w:t>
      </w:r>
      <w:r w:rsidRPr="008C106C">
        <w:t xml:space="preserve">.  Specifically, staff identified that </w:t>
      </w:r>
      <w:r w:rsidR="008910E0">
        <w:t>SBC</w:t>
      </w:r>
      <w:r w:rsidRPr="008C106C">
        <w:t xml:space="preserve"> was delinquent in paying regulatory fees</w:t>
      </w:r>
      <w:r w:rsidRPr="008C106C" w:rsidR="00804EA9">
        <w:t xml:space="preserve"> and sent a letter notifying </w:t>
      </w:r>
      <w:r w:rsidR="008910E0">
        <w:t>SBC</w:t>
      </w:r>
      <w:r w:rsidRPr="008C106C" w:rsidR="00804EA9">
        <w:t xml:space="preserve"> of its delinquent debt and allowing it 30 days in which to “pay or arrange for payment of the delinquent debt.”  </w:t>
      </w:r>
      <w:r w:rsidRPr="009C0C66" w:rsidR="00804EA9">
        <w:t xml:space="preserve">Letter from Peter H. Doyle, Chief, Audio Division, FCC Media Bureau, to </w:t>
      </w:r>
      <w:r w:rsidRPr="009C0C66" w:rsidR="008910E0">
        <w:t>H. Jack Mizell (</w:t>
      </w:r>
      <w:r w:rsidR="008910E0">
        <w:t>M</w:t>
      </w:r>
      <w:r w:rsidR="001D4457">
        <w:t xml:space="preserve">B </w:t>
      </w:r>
      <w:r w:rsidR="008D1C47">
        <w:t xml:space="preserve">rel. </w:t>
      </w:r>
      <w:r w:rsidRPr="008C106C" w:rsidR="00804EA9">
        <w:t>Ju</w:t>
      </w:r>
      <w:r w:rsidR="001D4457">
        <w:t>n.</w:t>
      </w:r>
      <w:r w:rsidRPr="008C106C" w:rsidR="00804EA9">
        <w:t xml:space="preserve"> </w:t>
      </w:r>
      <w:r w:rsidR="001D4457">
        <w:t>8</w:t>
      </w:r>
      <w:r w:rsidRPr="008C106C" w:rsidR="00804EA9">
        <w:t xml:space="preserve">, 2015).  The letter indicated that “[f]ailure to have the ‘red light’ status removed within this time period” would result in dismissal of the Renewal Application. When </w:t>
      </w:r>
      <w:r w:rsidR="008910E0">
        <w:t>SBC</w:t>
      </w:r>
      <w:r w:rsidRPr="008C106C" w:rsidR="00804EA9">
        <w:t xml:space="preserve"> failed to respond, </w:t>
      </w:r>
      <w:r w:rsidR="001D4457">
        <w:t xml:space="preserve">the </w:t>
      </w:r>
      <w:r w:rsidRPr="008C106C" w:rsidR="00E1432F">
        <w:t xml:space="preserve">staff dismissed the </w:t>
      </w:r>
      <w:r w:rsidR="001D4457">
        <w:t>Renewal Application</w:t>
      </w:r>
      <w:r w:rsidR="00322DCB">
        <w:t>, citing</w:t>
      </w:r>
      <w:r w:rsidRPr="008C106C" w:rsidR="00E1432F">
        <w:t xml:space="preserve"> Section 1.1910(b)(3) of the Rules</w:t>
      </w:r>
      <w:r w:rsidR="00322DCB">
        <w:t>.  This was error.  Because this case involves delinquent regulatory fees, staff should have been proceeding under</w:t>
      </w:r>
      <w:r w:rsidRPr="008C106C" w:rsidR="008C106C">
        <w:t xml:space="preserve"> </w:t>
      </w:r>
      <w:r w:rsidR="00322DCB">
        <w:t>Section 1.1164 of the Rules.</w:t>
      </w:r>
      <w:r w:rsidRPr="008C106C" w:rsidR="00322DCB">
        <w:t xml:space="preserve"> </w:t>
      </w:r>
      <w:r w:rsidR="00322DCB">
        <w:t xml:space="preserve"> </w:t>
      </w:r>
      <w:r w:rsidRPr="00322DCB" w:rsidR="00322DCB">
        <w:rPr>
          <w:i/>
        </w:rPr>
        <w:t>See</w:t>
      </w:r>
      <w:r w:rsidR="004148FA">
        <w:t xml:space="preserve"> 47 CFR</w:t>
      </w:r>
      <w:r w:rsidR="00322DCB">
        <w:t xml:space="preserve"> § </w:t>
      </w:r>
      <w:r w:rsidRPr="008C106C" w:rsidR="00E1432F">
        <w:t>1.1910(b)(1)</w:t>
      </w:r>
      <w:r w:rsidR="00322DCB">
        <w:t xml:space="preserve"> (“[A</w:t>
      </w:r>
      <w:r w:rsidRPr="008C106C" w:rsidR="00E1432F">
        <w:t>]pplications by any entity found not to have paid the proper … regulatory fee will be handled pursuant to the rules set forth in 47 CFR part 1, subpart G.”</w:t>
      </w:r>
      <w:r w:rsidR="004148FA">
        <w:t>); 47 CFR</w:t>
      </w:r>
      <w:r w:rsidR="00322DCB">
        <w:t xml:space="preserve"> § 1.1164.  </w:t>
      </w:r>
      <w:r w:rsidRPr="008C106C" w:rsidR="00E1432F">
        <w:t xml:space="preserve">The error was harmless, though, as </w:t>
      </w:r>
      <w:r w:rsidR="00B06BD0">
        <w:t>Section 1.1164(e) authorizes</w:t>
      </w:r>
      <w:r w:rsidRPr="008C106C" w:rsidR="00E1432F">
        <w:t xml:space="preserve"> dismissal of pending applica</w:t>
      </w:r>
      <w:r w:rsidRPr="008C106C" w:rsidR="00A50E1E">
        <w:t>tions</w:t>
      </w:r>
      <w:r w:rsidRPr="008C106C" w:rsidR="00E1432F">
        <w:t>.</w:t>
      </w:r>
      <w:r w:rsidR="00E3574F">
        <w:t xml:space="preserve">  </w:t>
      </w:r>
      <w:r w:rsidR="009C0C66">
        <w:t>47 CFR § 1.1164(e).</w:t>
      </w:r>
    </w:p>
  </w:footnote>
  <w:footnote w:id="9">
    <w:p w:rsidR="003E0052" w:rsidP="00622CD1">
      <w:pPr>
        <w:pStyle w:val="FootnoteText"/>
        <w:spacing w:after="120"/>
      </w:pPr>
      <w:r>
        <w:rPr>
          <w:rStyle w:val="FootnoteReference"/>
        </w:rPr>
        <w:footnoteRef/>
      </w:r>
      <w:r>
        <w:t xml:space="preserve"> Neither does Section 1.1164.  </w:t>
      </w:r>
      <w:r w:rsidRPr="003E0052">
        <w:rPr>
          <w:i/>
        </w:rPr>
        <w:t>See, supra</w:t>
      </w:r>
      <w:r>
        <w:t xml:space="preserve">, note </w:t>
      </w:r>
      <w:r w:rsidR="00722CC4">
        <w:t>7</w:t>
      </w:r>
      <w:r>
        <w:t>.</w:t>
      </w:r>
    </w:p>
  </w:footnote>
  <w:footnote w:id="10">
    <w:p w:rsidR="00401B7D" w:rsidP="00622CD1">
      <w:pPr>
        <w:pStyle w:val="FootnoteText"/>
        <w:spacing w:after="120"/>
      </w:pPr>
      <w:r>
        <w:rPr>
          <w:rStyle w:val="FootnoteReference"/>
        </w:rPr>
        <w:footnoteRef/>
      </w:r>
      <w:r>
        <w:t xml:space="preserve"> </w:t>
      </w:r>
      <w:r w:rsidRPr="00401B7D">
        <w:rPr>
          <w:i/>
        </w:rPr>
        <w:t xml:space="preserve">See </w:t>
      </w:r>
      <w:r>
        <w:t>December 13, 2017</w:t>
      </w:r>
      <w:r w:rsidRPr="00401B7D">
        <w:t xml:space="preserve">, </w:t>
      </w:r>
      <w:r>
        <w:t>10:</w:t>
      </w:r>
      <w:r w:rsidR="00DC7438">
        <w:t>51</w:t>
      </w:r>
      <w:r>
        <w:t xml:space="preserve"> am</w:t>
      </w:r>
      <w:r w:rsidRPr="00401B7D">
        <w:t xml:space="preserve"> (EST) email from OMD to the Bureau’s Audio Division staff.</w:t>
      </w:r>
    </w:p>
  </w:footnote>
  <w:footnote w:id="11">
    <w:p w:rsidR="007345B3" w:rsidP="00622CD1">
      <w:pPr>
        <w:pStyle w:val="FootnoteText"/>
        <w:spacing w:after="120"/>
      </w:pPr>
      <w:r>
        <w:rPr>
          <w:rStyle w:val="FootnoteReference"/>
        </w:rPr>
        <w:footnoteRef/>
      </w:r>
      <w:r>
        <w:t xml:space="preserve"> SBC had previously raised its concerns </w:t>
      </w:r>
      <w:r w:rsidR="00DC2E04">
        <w:t>during</w:t>
      </w:r>
      <w:r>
        <w:t xml:space="preserve"> conversations with the staff</w:t>
      </w:r>
      <w:r w:rsidR="0073456C">
        <w:t>.</w:t>
      </w:r>
      <w:r>
        <w:t xml:space="preserve"> </w:t>
      </w:r>
    </w:p>
  </w:footnote>
  <w:footnote w:id="12">
    <w:p w:rsidR="008471F6" w:rsidRPr="00622CD1" w:rsidP="00622CD1">
      <w:pPr>
        <w:spacing w:after="120"/>
      </w:pPr>
      <w:r w:rsidRPr="00622CD1">
        <w:rPr>
          <w:rStyle w:val="FootnoteReference"/>
        </w:rPr>
        <w:footnoteRef/>
      </w:r>
      <w:r w:rsidRPr="00622CD1">
        <w:t xml:space="preserve"> </w:t>
      </w:r>
      <w:r w:rsidRPr="00622CD1">
        <w:rPr>
          <w:i/>
          <w:iCs/>
        </w:rPr>
        <w:t>See</w:t>
      </w:r>
      <w:r w:rsidRPr="00622CD1">
        <w:t xml:space="preserve"> </w:t>
      </w:r>
      <w:hyperlink r:id="rId1" w:history="1">
        <w:r w:rsidRPr="00622CD1">
          <w:t>47 CF</w:t>
        </w:r>
        <w:r w:rsidR="005B29E9">
          <w:t>R</w:t>
        </w:r>
        <w:r w:rsidRPr="00622CD1">
          <w:t xml:space="preserve"> § 1.106</w:t>
        </w:r>
      </w:hyperlink>
      <w:r w:rsidRPr="00622CD1">
        <w:t xml:space="preserve">. </w:t>
      </w:r>
      <w:r w:rsidR="0068060A">
        <w:t xml:space="preserve"> </w:t>
      </w:r>
      <w:r w:rsidRPr="00622CD1">
        <w:rPr>
          <w:i/>
          <w:iCs/>
        </w:rPr>
        <w:t>See also</w:t>
      </w:r>
      <w:r w:rsidRPr="00622CD1">
        <w:t xml:space="preserve"> </w:t>
      </w:r>
      <w:r w:rsidRPr="00622CD1">
        <w:rPr>
          <w:i/>
          <w:iCs/>
        </w:rPr>
        <w:t>WWIZ, Inc</w:t>
      </w:r>
      <w:r w:rsidRPr="00622CD1">
        <w:t>., Memorandum Opinion and Order, 37 FCC 685, 686</w:t>
      </w:r>
      <w:r w:rsidR="0068060A">
        <w:t>, para. 2</w:t>
      </w:r>
      <w:r w:rsidRPr="00622CD1">
        <w:t xml:space="preserve"> (1964), </w:t>
      </w:r>
      <w:r w:rsidRPr="00622CD1">
        <w:rPr>
          <w:i/>
          <w:iCs/>
        </w:rPr>
        <w:t>a</w:t>
      </w:r>
      <w:r w:rsidR="005B29E9">
        <w:rPr>
          <w:i/>
          <w:iCs/>
        </w:rPr>
        <w:t>f</w:t>
      </w:r>
      <w:r w:rsidRPr="00622CD1">
        <w:rPr>
          <w:i/>
          <w:iCs/>
        </w:rPr>
        <w:t>f'd sub nom., Lorain Journal Co. v. FCC</w:t>
      </w:r>
      <w:r w:rsidRPr="00622CD1">
        <w:t xml:space="preserve">, 351 F.2d 824 (D.C. Cir. 1965), </w:t>
      </w:r>
      <w:r w:rsidRPr="00622CD1">
        <w:rPr>
          <w:i/>
          <w:iCs/>
        </w:rPr>
        <w:t>cert. denied</w:t>
      </w:r>
      <w:r w:rsidRPr="00622CD1">
        <w:t xml:space="preserve">, 387 U.S. 967 (1966), and </w:t>
      </w:r>
      <w:r w:rsidRPr="00622CD1">
        <w:rPr>
          <w:i/>
          <w:iCs/>
        </w:rPr>
        <w:t>National Association of Broadcasters</w:t>
      </w:r>
      <w:r w:rsidRPr="00622CD1">
        <w:t>, Memorandum Opinion and Order, 18 FCC Rcd 24414, 24415</w:t>
      </w:r>
      <w:r w:rsidR="0068060A">
        <w:t>, para. 4</w:t>
      </w:r>
      <w:r w:rsidRPr="00622CD1">
        <w:t xml:space="preserve"> (2003).</w:t>
      </w:r>
    </w:p>
  </w:footnote>
  <w:footnote w:id="13">
    <w:p w:rsidR="00DC2E04" w:rsidRPr="008C106C" w:rsidP="00622CD1">
      <w:pPr>
        <w:pStyle w:val="FootnoteText"/>
        <w:spacing w:after="120"/>
      </w:pPr>
      <w:r w:rsidRPr="00622CD1">
        <w:rPr>
          <w:rStyle w:val="FootnoteReference"/>
        </w:rPr>
        <w:footnoteRef/>
      </w:r>
      <w:r w:rsidRPr="00622CD1">
        <w:t xml:space="preserve"> </w:t>
      </w:r>
      <w:r w:rsidRPr="00F4119B" w:rsidR="00F4119B">
        <w:rPr>
          <w:i/>
        </w:rPr>
        <w:t>See</w:t>
      </w:r>
      <w:r w:rsidR="00F4119B">
        <w:t xml:space="preserve"> </w:t>
      </w:r>
      <w:r w:rsidRPr="008C106C">
        <w:t>47 U.S.C. § 159</w:t>
      </w:r>
      <w:r>
        <w:t>A</w:t>
      </w:r>
      <w:r w:rsidRPr="008C106C">
        <w:t>(d);</w:t>
      </w:r>
      <w:r w:rsidR="00F4119B">
        <w:t xml:space="preserve"> 47 U.S.C. </w:t>
      </w:r>
      <w:r w:rsidRPr="008C106C" w:rsidR="00F4119B">
        <w:t>§ 159(d)</w:t>
      </w:r>
      <w:r w:rsidR="006B3022">
        <w:t xml:space="preserve"> (2017)</w:t>
      </w:r>
      <w:r w:rsidR="00F4119B">
        <w:t>;</w:t>
      </w:r>
      <w:r w:rsidRPr="008C106C">
        <w:t xml:space="preserve"> 47 CFR § 1.1166.  </w:t>
      </w:r>
      <w:r w:rsidR="00393AA8">
        <w:rPr>
          <w:szCs w:val="22"/>
        </w:rPr>
        <w:t xml:space="preserve">Prior to October 1, 2018, when the </w:t>
      </w:r>
      <w:r w:rsidR="004E2F2F">
        <w:rPr>
          <w:szCs w:val="22"/>
        </w:rPr>
        <w:t xml:space="preserve">RAY BAUM’S Act, </w:t>
      </w:r>
      <w:r w:rsidR="004E2F2F">
        <w:t>Repack Airwaves Yielding Better Access for Users of Modern Services Act of 2018, Pub. L. No. 115-141, 132 Stat. 348, 1095,</w:t>
      </w:r>
      <w:r w:rsidR="004E2F2F">
        <w:rPr>
          <w:szCs w:val="22"/>
        </w:rPr>
        <w:t xml:space="preserve"> </w:t>
      </w:r>
      <w:r w:rsidR="00393AA8">
        <w:rPr>
          <w:szCs w:val="22"/>
        </w:rPr>
        <w:t xml:space="preserve">became effective, Section 9(d) </w:t>
      </w:r>
      <w:r w:rsidR="00393AA8">
        <w:t>permitted</w:t>
      </w:r>
      <w:r w:rsidRPr="008C106C" w:rsidR="00393AA8">
        <w:t xml:space="preserve"> waiver, reduction or deferment of regulatory fees “for good cause shown, where such action would promote the public interest.”  </w:t>
      </w:r>
      <w:r w:rsidR="00393AA8">
        <w:rPr>
          <w:szCs w:val="22"/>
        </w:rPr>
        <w:t xml:space="preserve">As amended by the RAY BAUM’s Act, Section 9A(d) </w:t>
      </w:r>
      <w:r w:rsidR="004E2F2F">
        <w:rPr>
          <w:szCs w:val="22"/>
        </w:rPr>
        <w:t xml:space="preserve">of the Act </w:t>
      </w:r>
      <w:r w:rsidR="00393AA8">
        <w:rPr>
          <w:szCs w:val="22"/>
        </w:rPr>
        <w:t>now authorizes such action</w:t>
      </w:r>
      <w:r>
        <w:rPr>
          <w:szCs w:val="22"/>
        </w:rPr>
        <w:t>.</w:t>
      </w:r>
      <w:r w:rsidR="001F5CE2">
        <w:rPr>
          <w:szCs w:val="22"/>
        </w:rPr>
        <w:t xml:space="preserve">  </w:t>
      </w:r>
      <w:r w:rsidRPr="004E2AE7" w:rsidR="001F5CE2">
        <w:t xml:space="preserve">The Commission requires that requests for waiver, reduction or deferral of a regulatory fee be received before the fee due date.  </w:t>
      </w:r>
      <w:r w:rsidRPr="004E2AE7" w:rsidR="001F5CE2">
        <w:rPr>
          <w:i/>
        </w:rPr>
        <w:t>See, e.g.,</w:t>
      </w:r>
      <w:r w:rsidRPr="004E2AE7" w:rsidR="001F5CE2">
        <w:t xml:space="preserve"> </w:t>
      </w:r>
      <w:r w:rsidRPr="004E2AE7" w:rsidR="001F5CE2">
        <w:rPr>
          <w:rStyle w:val="sssh"/>
          <w:i/>
        </w:rPr>
        <w:t>Regulatory</w:t>
      </w:r>
      <w:r w:rsidRPr="004E2AE7" w:rsidR="001F5CE2">
        <w:rPr>
          <w:i/>
        </w:rPr>
        <w:t xml:space="preserve"> </w:t>
      </w:r>
      <w:r w:rsidRPr="004E2AE7" w:rsidR="001F5CE2">
        <w:rPr>
          <w:rStyle w:val="sssh"/>
          <w:i/>
        </w:rPr>
        <w:t>Fees</w:t>
      </w:r>
      <w:r w:rsidRPr="004E2AE7" w:rsidR="001F5CE2">
        <w:rPr>
          <w:i/>
        </w:rPr>
        <w:t xml:space="preserve"> Fact Sheet, Procedures for Filing</w:t>
      </w:r>
      <w:r w:rsidRPr="00710BAA" w:rsidR="001F5CE2">
        <w:rPr>
          <w:i/>
        </w:rPr>
        <w:t xml:space="preserve"> </w:t>
      </w:r>
      <w:r w:rsidRPr="00710BAA" w:rsidR="001F5CE2">
        <w:rPr>
          <w:rStyle w:val="sssh"/>
          <w:i/>
        </w:rPr>
        <w:t>Waivers</w:t>
      </w:r>
      <w:r w:rsidRPr="00710BAA" w:rsidR="001F5CE2">
        <w:rPr>
          <w:i/>
        </w:rPr>
        <w:t xml:space="preserve">, </w:t>
      </w:r>
      <w:r w:rsidRPr="00710BAA" w:rsidR="001F5CE2">
        <w:rPr>
          <w:rStyle w:val="sssh"/>
          <w:i/>
        </w:rPr>
        <w:t>Reductions</w:t>
      </w:r>
      <w:r w:rsidRPr="00710BAA" w:rsidR="001F5CE2">
        <w:rPr>
          <w:i/>
        </w:rPr>
        <w:t xml:space="preserve"> and </w:t>
      </w:r>
      <w:r w:rsidRPr="00710BAA" w:rsidR="001F5CE2">
        <w:rPr>
          <w:rStyle w:val="sssh"/>
          <w:i/>
        </w:rPr>
        <w:t>Deferments</w:t>
      </w:r>
      <w:r w:rsidRPr="00710BAA" w:rsidR="001F5CE2">
        <w:rPr>
          <w:i/>
        </w:rPr>
        <w:t xml:space="preserve"> of </w:t>
      </w:r>
      <w:r w:rsidRPr="00710BAA" w:rsidR="001F5CE2">
        <w:rPr>
          <w:rStyle w:val="sssh"/>
          <w:i/>
        </w:rPr>
        <w:t>Regulatory</w:t>
      </w:r>
      <w:r w:rsidRPr="00710BAA" w:rsidR="001F5CE2">
        <w:rPr>
          <w:i/>
        </w:rPr>
        <w:t xml:space="preserve"> </w:t>
      </w:r>
      <w:r w:rsidRPr="00710BAA" w:rsidR="001F5CE2">
        <w:rPr>
          <w:rStyle w:val="sssh"/>
          <w:i/>
        </w:rPr>
        <w:t>Fees</w:t>
      </w:r>
      <w:r w:rsidRPr="00710BAA" w:rsidR="001F5CE2">
        <w:t xml:space="preserve">, Public Notice (Aug. 30, 2018), </w:t>
      </w:r>
      <w:hyperlink r:id="rId2" w:tgtFrame="_blank" w:history="1">
        <w:r w:rsidRPr="004E2AE7" w:rsidR="001F5CE2">
          <w:rPr>
            <w:rStyle w:val="Hyperlink"/>
          </w:rPr>
          <w:t>https://www.fcc.gov/document/fy-2018-</w:t>
        </w:r>
        <w:r w:rsidRPr="004E2AE7" w:rsidR="001F5CE2">
          <w:rPr>
            <w:rStyle w:val="sssh"/>
            <w:color w:val="0000FF"/>
            <w:u w:val="single"/>
          </w:rPr>
          <w:t>regulatory</w:t>
        </w:r>
        <w:r w:rsidRPr="004E2AE7" w:rsidR="001F5CE2">
          <w:rPr>
            <w:rStyle w:val="Hyperlink"/>
          </w:rPr>
          <w:t>-</w:t>
        </w:r>
        <w:r w:rsidRPr="004E2AE7" w:rsidR="001F5CE2">
          <w:rPr>
            <w:rStyle w:val="sssh"/>
            <w:color w:val="0000FF"/>
            <w:u w:val="single"/>
          </w:rPr>
          <w:t>fee</w:t>
        </w:r>
        <w:r w:rsidRPr="004E2AE7" w:rsidR="001F5CE2">
          <w:rPr>
            <w:rStyle w:val="Hyperlink"/>
          </w:rPr>
          <w:t>-</w:t>
        </w:r>
        <w:r w:rsidRPr="004E2AE7" w:rsidR="001F5CE2">
          <w:rPr>
            <w:rStyle w:val="sssh"/>
            <w:color w:val="0000FF"/>
            <w:u w:val="single"/>
          </w:rPr>
          <w:t>waiver</w:t>
        </w:r>
        <w:r w:rsidRPr="00710BAA" w:rsidR="001F5CE2">
          <w:rPr>
            <w:rStyle w:val="Hyperlink"/>
          </w:rPr>
          <w:t>-fact-sheet</w:t>
        </w:r>
      </w:hyperlink>
      <w:r w:rsidRPr="004E2AE7" w:rsidR="001F5CE2">
        <w:t>.</w:t>
      </w:r>
    </w:p>
  </w:footnote>
  <w:footnote w:id="14">
    <w:p w:rsidR="00746380" w:rsidRPr="008C106C" w:rsidP="00CA12A4">
      <w:pPr>
        <w:pStyle w:val="FootnoteText"/>
        <w:spacing w:after="120"/>
      </w:pPr>
      <w:r w:rsidRPr="008C106C">
        <w:rPr>
          <w:rStyle w:val="FootnoteReference"/>
        </w:rPr>
        <w:footnoteRef/>
      </w:r>
      <w:r w:rsidRPr="008C106C">
        <w:t xml:space="preserve"> 47 U.S.C. § 307(c)(3).</w:t>
      </w:r>
    </w:p>
  </w:footnote>
  <w:footnote w:id="15">
    <w:p w:rsidR="00C31472" w:rsidRPr="008C106C" w:rsidP="00697072">
      <w:pPr>
        <w:pStyle w:val="FootnoteText"/>
        <w:spacing w:after="120"/>
      </w:pPr>
      <w:r w:rsidRPr="008C106C">
        <w:rPr>
          <w:rStyle w:val="FootnoteReference"/>
        </w:rPr>
        <w:footnoteRef/>
      </w:r>
      <w:r w:rsidRPr="008C106C">
        <w:t xml:space="preserve"> </w:t>
      </w:r>
      <w:r w:rsidRPr="008C106C">
        <w:rPr>
          <w:i/>
        </w:rPr>
        <w:t>Id</w:t>
      </w:r>
      <w:r w:rsidRPr="008C106C">
        <w:t>.</w:t>
      </w:r>
    </w:p>
  </w:footnote>
  <w:footnote w:id="16">
    <w:p w:rsidR="00746380" w:rsidRPr="008C106C" w:rsidP="00AC6980">
      <w:pPr>
        <w:pStyle w:val="FootnoteText"/>
        <w:spacing w:after="120"/>
      </w:pPr>
      <w:r w:rsidRPr="008C106C">
        <w:rPr>
          <w:rStyle w:val="FootnoteReference"/>
        </w:rPr>
        <w:footnoteRef/>
      </w:r>
      <w:r w:rsidRPr="008C106C">
        <w:t xml:space="preserve"> </w:t>
      </w:r>
      <w:r w:rsidRPr="008C106C">
        <w:rPr>
          <w:i/>
        </w:rPr>
        <w:t>United States v. Peninsula Communications, Inc</w:t>
      </w:r>
      <w:r w:rsidRPr="008C106C">
        <w:t xml:space="preserve">., 335 F. Supp. 2d 1013, 1019 (D. Alaska 2004); </w:t>
      </w:r>
      <w:r w:rsidRPr="008C106C">
        <w:rPr>
          <w:i/>
        </w:rPr>
        <w:t>Pinelands, Inc</w:t>
      </w:r>
      <w:r w:rsidRPr="008C106C">
        <w:t>., Memorandum Opinion and Order, 7 FCC Rcd 6058, 6061</w:t>
      </w:r>
      <w:r w:rsidR="004E2F2F">
        <w:t>,</w:t>
      </w:r>
      <w:r w:rsidRPr="008C106C">
        <w:t xml:space="preserve"> n.12 (1992).</w:t>
      </w:r>
    </w:p>
  </w:footnote>
  <w:footnote w:id="17">
    <w:p w:rsidR="00341F53" w:rsidRPr="00F0000B" w:rsidP="00F0000B">
      <w:pPr>
        <w:pStyle w:val="FootnoteText"/>
        <w:tabs>
          <w:tab w:val="left" w:pos="7110"/>
        </w:tabs>
        <w:spacing w:after="120"/>
        <w:rPr>
          <w:i/>
        </w:rPr>
      </w:pPr>
      <w:r w:rsidRPr="008C106C">
        <w:rPr>
          <w:rStyle w:val="FootnoteReference"/>
        </w:rPr>
        <w:footnoteRef/>
      </w:r>
      <w:r w:rsidRPr="008C106C">
        <w:t xml:space="preserve"> </w:t>
      </w:r>
      <w:r w:rsidRPr="008C106C" w:rsidR="00F0000B">
        <w:rPr>
          <w:i/>
        </w:rPr>
        <w:t>See, e.g.,</w:t>
      </w:r>
      <w:r w:rsidRPr="008C106C" w:rsidR="00F0000B">
        <w:t xml:space="preserve"> </w:t>
      </w:r>
      <w:r w:rsidRPr="008C106C" w:rsidR="00F0000B">
        <w:rPr>
          <w:i/>
        </w:rPr>
        <w:t>Filing Instructions for Cross-Service FM Translator Auction Filing Window for AM Broadcasters to Be Open July 26 – August 2, 2017</w:t>
      </w:r>
      <w:r w:rsidRPr="008C106C" w:rsidR="00F0000B">
        <w:t xml:space="preserve">, Public Notice, DA 17-533 (MB/WTB June 6, 2017); </w:t>
      </w:r>
      <w:r w:rsidRPr="008C106C" w:rsidR="00F0000B">
        <w:rPr>
          <w:i/>
        </w:rPr>
        <w:t>Application Procedures for Broadcast Incentive Auction Scheduled to Begin on March 29, 2016</w:t>
      </w:r>
      <w:r w:rsidRPr="008C106C" w:rsidR="00F0000B">
        <w:t>, Public Notice, 30 FCC Rcd 11034, 11081</w:t>
      </w:r>
      <w:r w:rsidR="004E2F2F">
        <w:t>,</w:t>
      </w:r>
      <w:r w:rsidRPr="008C106C" w:rsidR="00F0000B">
        <w:t xml:space="preserve"> para. 43 (MB/WTB); </w:t>
      </w:r>
      <w:r w:rsidRPr="008C106C" w:rsidR="00F0000B">
        <w:rPr>
          <w:i/>
        </w:rPr>
        <w:t>Auction of FM Broadcast Construction Permits Scheduled for March 27, 2012</w:t>
      </w:r>
      <w:r w:rsidRPr="008C106C" w:rsidR="00F0000B">
        <w:t>, Public Notice, 26 FCC Rcd 15484, 15505</w:t>
      </w:r>
      <w:r w:rsidR="004E2F2F">
        <w:t>,</w:t>
      </w:r>
      <w:r w:rsidRPr="008C106C" w:rsidR="00F0000B">
        <w:t xml:space="preserve"> para. 72 (MB/WTB 2008); </w:t>
      </w:r>
      <w:r w:rsidRPr="008C106C" w:rsidR="00F0000B">
        <w:rPr>
          <w:i/>
        </w:rPr>
        <w:t>A</w:t>
      </w:r>
      <w:r w:rsidRPr="008C106C" w:rsidR="00F0000B">
        <w:t>u</w:t>
      </w:r>
      <w:r w:rsidRPr="008C106C" w:rsidR="00F0000B">
        <w:rPr>
          <w:i/>
        </w:rPr>
        <w:t>ction of AWS-1 and Broadband PCS Licenses Rescheduled for August 13, 2008</w:t>
      </w:r>
      <w:r w:rsidRPr="008C106C" w:rsidR="00F0000B">
        <w:t>, Public Notice, 23 FCC Rcd 7496, 7526</w:t>
      </w:r>
      <w:r w:rsidR="004E2F2F">
        <w:t>,</w:t>
      </w:r>
      <w:r w:rsidRPr="008C106C" w:rsidR="00F0000B">
        <w:t xml:space="preserve"> para. 110 (WTB 2008); </w:t>
      </w:r>
      <w:r w:rsidRPr="008C106C" w:rsidR="00F0000B">
        <w:rPr>
          <w:i/>
        </w:rPr>
        <w:t>Auction of Full Power Television Construction Permits Scheduled for March 15, 2006</w:t>
      </w:r>
      <w:r w:rsidRPr="008C106C" w:rsidR="00F0000B">
        <w:t>, Public Notice, 20 FCC Rcd 18097 (MB/WTB 2005).</w:t>
      </w:r>
    </w:p>
  </w:footnote>
  <w:footnote w:id="18">
    <w:p w:rsidR="00CA12A4" w:rsidRPr="008C106C" w:rsidP="00CA12A4">
      <w:pPr>
        <w:pStyle w:val="FootnoteText"/>
        <w:spacing w:after="120"/>
      </w:pPr>
      <w:r w:rsidRPr="008C106C">
        <w:rPr>
          <w:rStyle w:val="FootnoteReference"/>
        </w:rPr>
        <w:footnoteRef/>
      </w:r>
      <w:r w:rsidRPr="008C106C">
        <w:t xml:space="preserve"> 47 U.S.C. § 159</w:t>
      </w:r>
      <w:r w:rsidR="004E2F2F">
        <w:t>A</w:t>
      </w:r>
      <w:r w:rsidRPr="008C106C">
        <w:t>(c)(</w:t>
      </w:r>
      <w:r w:rsidR="004E2F2F">
        <w:t>4</w:t>
      </w:r>
      <w:r w:rsidRPr="008C106C">
        <w:t>).</w:t>
      </w:r>
    </w:p>
  </w:footnote>
  <w:footnote w:id="19">
    <w:p w:rsidR="00CA12A4" w:rsidRPr="008C106C" w:rsidP="00CA12A4">
      <w:pPr>
        <w:pStyle w:val="FootnoteText"/>
        <w:spacing w:after="120"/>
      </w:pPr>
      <w:r w:rsidRPr="008C106C">
        <w:rPr>
          <w:rStyle w:val="FootnoteReference"/>
        </w:rPr>
        <w:footnoteRef/>
      </w:r>
      <w:r w:rsidRPr="008C106C">
        <w:t xml:space="preserve"> 47 CFR §§ 1.1164(f).</w:t>
      </w:r>
    </w:p>
  </w:footnote>
  <w:footnote w:id="20">
    <w:p w:rsidR="00CA12A4" w:rsidRPr="008C106C" w:rsidP="00CA12A4">
      <w:pPr>
        <w:pStyle w:val="FootnoteText"/>
        <w:spacing w:after="120"/>
      </w:pPr>
      <w:r w:rsidRPr="008C106C">
        <w:rPr>
          <w:rStyle w:val="FootnoteReference"/>
        </w:rPr>
        <w:footnoteRef/>
      </w:r>
      <w:r w:rsidRPr="008C106C">
        <w:t xml:space="preserve"> </w:t>
      </w:r>
      <w:r w:rsidR="00067FA5">
        <w:rPr>
          <w:i/>
        </w:rPr>
        <w:t>See, e.g.,</w:t>
      </w:r>
      <w:r w:rsidR="00067FA5">
        <w:t xml:space="preserve"> </w:t>
      </w:r>
      <w:r w:rsidRPr="00EF0F98" w:rsidR="00067FA5">
        <w:rPr>
          <w:rFonts w:ascii="TimesNewRomanPSMT" w:hAnsi="TimesNewRomanPSMT" w:cs="TimesNewRomanPSMT"/>
          <w:i/>
        </w:rPr>
        <w:t>KSBH, LLC</w:t>
      </w:r>
      <w:r w:rsidR="00067FA5">
        <w:rPr>
          <w:rFonts w:ascii="TimesNewRomanPSMT" w:hAnsi="TimesNewRomanPSMT" w:cs="TimesNewRomanPSMT"/>
        </w:rPr>
        <w:t>, Order to Pay or to Show Cause, DA 19-266 (MB April 8, 2019); Sun Media, Inc.</w:t>
      </w:r>
      <w:r w:rsidR="00067FA5">
        <w:t xml:space="preserve">, Order to Pay or to Show Cause, DA 19-267 (MB April 8, 2019); </w:t>
      </w:r>
      <w:r w:rsidR="00067FA5">
        <w:rPr>
          <w:i/>
        </w:rPr>
        <w:t>Deane Bros. Broad. Corp.</w:t>
      </w:r>
      <w:r w:rsidRPr="008C106C" w:rsidR="00067FA5">
        <w:t>, Order to Pay or to Show Cause</w:t>
      </w:r>
      <w:r w:rsidR="00067FA5">
        <w:rPr>
          <w:rFonts w:ascii="TimesNewRomanPSMT" w:hAnsi="TimesNewRomanPSMT" w:cs="TimesNewRomanPSMT"/>
        </w:rPr>
        <w:t>, DA 18-1218 (MB Nov. 30, 2018).</w:t>
      </w:r>
    </w:p>
  </w:footnote>
  <w:footnote w:id="21">
    <w:p w:rsidR="004E2F2F" w:rsidP="004E2F2F">
      <w:pPr>
        <w:pStyle w:val="FootnoteText"/>
        <w:spacing w:after="120"/>
      </w:pPr>
      <w:r>
        <w:rPr>
          <w:rStyle w:val="FootnoteReference"/>
        </w:rPr>
        <w:footnoteRef/>
      </w:r>
      <w:r>
        <w:t xml:space="preserve"> </w:t>
      </w:r>
      <w:r w:rsidRPr="008C106C">
        <w:t>47 U.S.C. §§ 159</w:t>
      </w:r>
      <w:r>
        <w:t>A</w:t>
      </w:r>
      <w:r w:rsidRPr="008C106C">
        <w:t>(c)(</w:t>
      </w:r>
      <w:r>
        <w:t>4</w:t>
      </w:r>
      <w:r w:rsidRPr="008C106C">
        <w:t>)</w:t>
      </w:r>
      <w:r>
        <w:t>, 307(c)(3).</w:t>
      </w:r>
    </w:p>
  </w:footnote>
  <w:footnote w:id="22">
    <w:p w:rsidR="003E1026" w:rsidRPr="008D0E61">
      <w:pPr>
        <w:pStyle w:val="FootnoteText"/>
      </w:pPr>
      <w:r>
        <w:rPr>
          <w:rStyle w:val="FootnoteReference"/>
        </w:rPr>
        <w:footnoteRef/>
      </w:r>
      <w:r>
        <w:t xml:space="preserve"> </w:t>
      </w:r>
      <w:r w:rsidR="00614783">
        <w:rPr>
          <w:i/>
        </w:rPr>
        <w:t xml:space="preserve">See </w:t>
      </w:r>
      <w:r w:rsidR="007F10C5">
        <w:rPr>
          <w:i/>
        </w:rPr>
        <w:t xml:space="preserve">Shelley </w:t>
      </w:r>
      <w:r w:rsidR="004E2F2F">
        <w:rPr>
          <w:i/>
        </w:rPr>
        <w:t>Broad.</w:t>
      </w:r>
      <w:r w:rsidR="007F10C5">
        <w:rPr>
          <w:i/>
        </w:rPr>
        <w:t xml:space="preserve"> Co., Inc.</w:t>
      </w:r>
      <w:r>
        <w:t xml:space="preserve">, Order to Pay or to Show Cause, DA </w:t>
      </w:r>
      <w:r>
        <w:t>1</w:t>
      </w:r>
      <w:r w:rsidR="004E2F2F">
        <w:t>9</w:t>
      </w:r>
      <w:r w:rsidR="00FC4DA4">
        <w:t>-524</w:t>
      </w:r>
      <w:r>
        <w:t xml:space="preserve"> (</w:t>
      </w:r>
      <w:r w:rsidR="00E21852">
        <w:t xml:space="preserve">MB </w:t>
      </w:r>
      <w:r>
        <w:t xml:space="preserve">rel. </w:t>
      </w:r>
      <w:r w:rsidRPr="003F3385" w:rsidR="003F3385">
        <w:t>June 6</w:t>
      </w:r>
      <w:r w:rsidRPr="003F3385" w:rsidR="00E21852">
        <w:t>, 201</w:t>
      </w:r>
      <w:r w:rsidRPr="003F3385" w:rsidR="004E2F2F">
        <w:t>9</w:t>
      </w:r>
      <w:r w:rsidRPr="003F338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E7363">
    <w:pPr>
      <w:pStyle w:val="Header"/>
      <w:tabs>
        <w:tab w:val="clear" w:pos="4320"/>
        <w:tab w:val="clear" w:pos="8640"/>
      </w:tabs>
      <w:spacing w:before="360" w:line="228" w:lineRule="auto"/>
      <w:jc w:val="center"/>
      <w:rPr>
        <w:b/>
        <w:sz w:val="22"/>
        <w:szCs w:val="2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68pt;height:64.8pt;margin-top:0;margin-left:-31.8pt;position:absolute;z-index:251658240" o:allowincell="f" filled="t" fillcolor="#3cc">
          <v:imagedata r:id="rId1" o:title="" gain="69719f"/>
          <w10:wrap type="topAndBottom"/>
        </v:shape>
      </w:pict>
    </w:r>
    <w:r>
      <w:rPr>
        <w:b/>
        <w:sz w:val="22"/>
        <w:szCs w:val="22"/>
      </w:rPr>
      <w:t>Federal Communications Commission</w:t>
    </w:r>
  </w:p>
  <w:p w:rsidR="007E7363">
    <w:pPr>
      <w:jc w:val="center"/>
      <w:rPr>
        <w:b/>
        <w:sz w:val="22"/>
        <w:szCs w:val="22"/>
      </w:rPr>
    </w:pPr>
    <w:smartTag w:uri="urn:schemas-microsoft-com:office:smarttags" w:element="place">
      <w:smartTag w:uri="urn:schemas-microsoft-com:office:smarttags" w:element="City">
        <w:r>
          <w:rPr>
            <w:b/>
            <w:sz w:val="22"/>
            <w:szCs w:val="22"/>
          </w:rPr>
          <w:t>Washington</w:t>
        </w:r>
      </w:smartTag>
      <w:r>
        <w:rPr>
          <w:b/>
          <w:sz w:val="22"/>
          <w:szCs w:val="22"/>
        </w:rPr>
        <w:t xml:space="preserve">, </w:t>
      </w:r>
      <w:smartTag w:uri="urn:schemas-microsoft-com:office:smarttags" w:element="State">
        <w:r>
          <w:rPr>
            <w:b/>
            <w:sz w:val="22"/>
            <w:szCs w:val="22"/>
          </w:rPr>
          <w:t>D.C.</w:t>
        </w:r>
      </w:smartTag>
      <w:r>
        <w:rPr>
          <w:b/>
          <w:sz w:val="22"/>
          <w:szCs w:val="22"/>
        </w:rPr>
        <w:t xml:space="preserve"> </w:t>
      </w:r>
      <w:smartTag w:uri="urn:schemas-microsoft-com:office:smarttags" w:element="PostalCode">
        <w:r>
          <w:rPr>
            <w:b/>
            <w:sz w:val="22"/>
            <w:szCs w:val="22"/>
          </w:rPr>
          <w:t>20554</w:t>
        </w:r>
      </w:smartTag>
    </w:smartTag>
  </w:p>
  <w:p w:rsidR="007E7363">
    <w:pPr>
      <w:jc w:val="center"/>
      <w:rPr>
        <w:b/>
        <w:sz w:val="22"/>
        <w:szCs w:val="22"/>
      </w:rPr>
    </w:pPr>
  </w:p>
  <w:p w:rsidR="007E7363">
    <w:pPr>
      <w:pStyle w:val="Header"/>
      <w:tabs>
        <w:tab w:val="clear" w:pos="4320"/>
      </w:tabs>
      <w:jc w:val="center"/>
      <w:rPr>
        <w:sz w:val="22"/>
      </w:rPr>
    </w:pPr>
    <w:r>
      <w:rPr>
        <w:sz w:val="22"/>
      </w:rPr>
      <w:t>June 6,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267FEF"/>
    <w:multiLevelType w:val="hybridMultilevel"/>
    <w:tmpl w:val="7B9CAC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CF"/>
    <w:rsid w:val="00013F68"/>
    <w:rsid w:val="0002116B"/>
    <w:rsid w:val="00025320"/>
    <w:rsid w:val="000425B6"/>
    <w:rsid w:val="00044EC9"/>
    <w:rsid w:val="000558D6"/>
    <w:rsid w:val="00056911"/>
    <w:rsid w:val="00057D5B"/>
    <w:rsid w:val="00061E84"/>
    <w:rsid w:val="000636E2"/>
    <w:rsid w:val="0006455F"/>
    <w:rsid w:val="000675B4"/>
    <w:rsid w:val="00067FA5"/>
    <w:rsid w:val="0007012B"/>
    <w:rsid w:val="00077392"/>
    <w:rsid w:val="000912FF"/>
    <w:rsid w:val="00092398"/>
    <w:rsid w:val="000B11D2"/>
    <w:rsid w:val="000B3A0E"/>
    <w:rsid w:val="000B5EB1"/>
    <w:rsid w:val="000C1664"/>
    <w:rsid w:val="000C19E7"/>
    <w:rsid w:val="000C38B6"/>
    <w:rsid w:val="000C65D3"/>
    <w:rsid w:val="000C6BA4"/>
    <w:rsid w:val="000D2902"/>
    <w:rsid w:val="000D3D95"/>
    <w:rsid w:val="000E3C79"/>
    <w:rsid w:val="000E4447"/>
    <w:rsid w:val="000E50D9"/>
    <w:rsid w:val="000F43A6"/>
    <w:rsid w:val="000F74C1"/>
    <w:rsid w:val="00100C18"/>
    <w:rsid w:val="00101F66"/>
    <w:rsid w:val="00103356"/>
    <w:rsid w:val="00107EE0"/>
    <w:rsid w:val="00110562"/>
    <w:rsid w:val="00111B9A"/>
    <w:rsid w:val="0011567E"/>
    <w:rsid w:val="001158F5"/>
    <w:rsid w:val="00117903"/>
    <w:rsid w:val="00120E3D"/>
    <w:rsid w:val="00122B4A"/>
    <w:rsid w:val="00125008"/>
    <w:rsid w:val="0013649F"/>
    <w:rsid w:val="00144E69"/>
    <w:rsid w:val="00146C0B"/>
    <w:rsid w:val="0016147D"/>
    <w:rsid w:val="00166060"/>
    <w:rsid w:val="00177A19"/>
    <w:rsid w:val="00182720"/>
    <w:rsid w:val="00182CA1"/>
    <w:rsid w:val="001907A2"/>
    <w:rsid w:val="00191192"/>
    <w:rsid w:val="00196523"/>
    <w:rsid w:val="001A0DAD"/>
    <w:rsid w:val="001A126E"/>
    <w:rsid w:val="001A15F6"/>
    <w:rsid w:val="001B0B99"/>
    <w:rsid w:val="001B7C78"/>
    <w:rsid w:val="001C0AAD"/>
    <w:rsid w:val="001D4457"/>
    <w:rsid w:val="001D79ED"/>
    <w:rsid w:val="001E7B79"/>
    <w:rsid w:val="001F09C6"/>
    <w:rsid w:val="001F5B33"/>
    <w:rsid w:val="001F5C4D"/>
    <w:rsid w:val="001F5CE2"/>
    <w:rsid w:val="00203555"/>
    <w:rsid w:val="00214FC9"/>
    <w:rsid w:val="00217F29"/>
    <w:rsid w:val="00217FE5"/>
    <w:rsid w:val="00226C7F"/>
    <w:rsid w:val="00243288"/>
    <w:rsid w:val="00244D5A"/>
    <w:rsid w:val="0024502E"/>
    <w:rsid w:val="00245ABE"/>
    <w:rsid w:val="00253F02"/>
    <w:rsid w:val="00254D04"/>
    <w:rsid w:val="0026053A"/>
    <w:rsid w:val="00262F1D"/>
    <w:rsid w:val="00264C96"/>
    <w:rsid w:val="00271884"/>
    <w:rsid w:val="00274A04"/>
    <w:rsid w:val="00274ECC"/>
    <w:rsid w:val="002811D0"/>
    <w:rsid w:val="00293FFB"/>
    <w:rsid w:val="002940AE"/>
    <w:rsid w:val="00297362"/>
    <w:rsid w:val="00297E29"/>
    <w:rsid w:val="002A1978"/>
    <w:rsid w:val="002B4C66"/>
    <w:rsid w:val="002B51A3"/>
    <w:rsid w:val="002B68DA"/>
    <w:rsid w:val="002C7B22"/>
    <w:rsid w:val="002C7F06"/>
    <w:rsid w:val="002D0E1E"/>
    <w:rsid w:val="002D21EC"/>
    <w:rsid w:val="002D4801"/>
    <w:rsid w:val="002D58A7"/>
    <w:rsid w:val="002D5FF4"/>
    <w:rsid w:val="002E3A76"/>
    <w:rsid w:val="002E71CA"/>
    <w:rsid w:val="002F060F"/>
    <w:rsid w:val="002F70E0"/>
    <w:rsid w:val="00301240"/>
    <w:rsid w:val="0030273D"/>
    <w:rsid w:val="0030422C"/>
    <w:rsid w:val="00304C72"/>
    <w:rsid w:val="0030570C"/>
    <w:rsid w:val="0030668D"/>
    <w:rsid w:val="003125BF"/>
    <w:rsid w:val="00312D9B"/>
    <w:rsid w:val="0031676A"/>
    <w:rsid w:val="00321BB1"/>
    <w:rsid w:val="0032255F"/>
    <w:rsid w:val="00322DCB"/>
    <w:rsid w:val="0032748E"/>
    <w:rsid w:val="00330D50"/>
    <w:rsid w:val="00335DCF"/>
    <w:rsid w:val="00341F53"/>
    <w:rsid w:val="0034264E"/>
    <w:rsid w:val="00345301"/>
    <w:rsid w:val="003477C2"/>
    <w:rsid w:val="00354E9E"/>
    <w:rsid w:val="0036777C"/>
    <w:rsid w:val="00375171"/>
    <w:rsid w:val="003767FD"/>
    <w:rsid w:val="0039017D"/>
    <w:rsid w:val="00393952"/>
    <w:rsid w:val="00393AA8"/>
    <w:rsid w:val="00394DC8"/>
    <w:rsid w:val="003A0089"/>
    <w:rsid w:val="003A5445"/>
    <w:rsid w:val="003B2566"/>
    <w:rsid w:val="003B4AF5"/>
    <w:rsid w:val="003B5D2F"/>
    <w:rsid w:val="003B7EF7"/>
    <w:rsid w:val="003C5F0F"/>
    <w:rsid w:val="003E0052"/>
    <w:rsid w:val="003E1026"/>
    <w:rsid w:val="003E4913"/>
    <w:rsid w:val="003E4DDE"/>
    <w:rsid w:val="003E55F6"/>
    <w:rsid w:val="003F3385"/>
    <w:rsid w:val="003F39E8"/>
    <w:rsid w:val="003F5FBB"/>
    <w:rsid w:val="003F69AA"/>
    <w:rsid w:val="00401B7D"/>
    <w:rsid w:val="00403277"/>
    <w:rsid w:val="004148FA"/>
    <w:rsid w:val="00414E8B"/>
    <w:rsid w:val="004223F3"/>
    <w:rsid w:val="00424A56"/>
    <w:rsid w:val="004273FE"/>
    <w:rsid w:val="00431292"/>
    <w:rsid w:val="00452ADA"/>
    <w:rsid w:val="00452B22"/>
    <w:rsid w:val="004678D6"/>
    <w:rsid w:val="004832C5"/>
    <w:rsid w:val="0048560F"/>
    <w:rsid w:val="00491558"/>
    <w:rsid w:val="004954F0"/>
    <w:rsid w:val="004A4562"/>
    <w:rsid w:val="004B5995"/>
    <w:rsid w:val="004B626D"/>
    <w:rsid w:val="004B69B0"/>
    <w:rsid w:val="004C1DF0"/>
    <w:rsid w:val="004C7D14"/>
    <w:rsid w:val="004D0A6B"/>
    <w:rsid w:val="004D13F5"/>
    <w:rsid w:val="004D5B4A"/>
    <w:rsid w:val="004E098E"/>
    <w:rsid w:val="004E2AE7"/>
    <w:rsid w:val="004E2F2F"/>
    <w:rsid w:val="004F1335"/>
    <w:rsid w:val="004F36A9"/>
    <w:rsid w:val="004F549D"/>
    <w:rsid w:val="00502338"/>
    <w:rsid w:val="00502D17"/>
    <w:rsid w:val="00517D04"/>
    <w:rsid w:val="00522CEC"/>
    <w:rsid w:val="00533208"/>
    <w:rsid w:val="00536526"/>
    <w:rsid w:val="00542933"/>
    <w:rsid w:val="0054774B"/>
    <w:rsid w:val="00561F26"/>
    <w:rsid w:val="00563BF6"/>
    <w:rsid w:val="005738F6"/>
    <w:rsid w:val="005966AB"/>
    <w:rsid w:val="00596EDF"/>
    <w:rsid w:val="005A20D9"/>
    <w:rsid w:val="005A2778"/>
    <w:rsid w:val="005A32FF"/>
    <w:rsid w:val="005A351D"/>
    <w:rsid w:val="005A47B9"/>
    <w:rsid w:val="005A53DF"/>
    <w:rsid w:val="005A711E"/>
    <w:rsid w:val="005A74DC"/>
    <w:rsid w:val="005B02EC"/>
    <w:rsid w:val="005B1952"/>
    <w:rsid w:val="005B29E9"/>
    <w:rsid w:val="005B46B7"/>
    <w:rsid w:val="005B5EEB"/>
    <w:rsid w:val="005B7FC7"/>
    <w:rsid w:val="005C048B"/>
    <w:rsid w:val="005D0578"/>
    <w:rsid w:val="005D3E34"/>
    <w:rsid w:val="005E274D"/>
    <w:rsid w:val="005E27E0"/>
    <w:rsid w:val="005E7236"/>
    <w:rsid w:val="005F1A6A"/>
    <w:rsid w:val="00604730"/>
    <w:rsid w:val="00605639"/>
    <w:rsid w:val="00611436"/>
    <w:rsid w:val="00614783"/>
    <w:rsid w:val="00622CD1"/>
    <w:rsid w:val="00645AD6"/>
    <w:rsid w:val="00645ADB"/>
    <w:rsid w:val="00650311"/>
    <w:rsid w:val="00662E93"/>
    <w:rsid w:val="00663B31"/>
    <w:rsid w:val="006656B4"/>
    <w:rsid w:val="00665B95"/>
    <w:rsid w:val="00667A6D"/>
    <w:rsid w:val="006754AE"/>
    <w:rsid w:val="0068060A"/>
    <w:rsid w:val="00680D90"/>
    <w:rsid w:val="00685746"/>
    <w:rsid w:val="00686040"/>
    <w:rsid w:val="00687BBE"/>
    <w:rsid w:val="00692CE4"/>
    <w:rsid w:val="00697072"/>
    <w:rsid w:val="006A0970"/>
    <w:rsid w:val="006A5863"/>
    <w:rsid w:val="006B3022"/>
    <w:rsid w:val="006B4C40"/>
    <w:rsid w:val="006C149C"/>
    <w:rsid w:val="006C1D39"/>
    <w:rsid w:val="006C406A"/>
    <w:rsid w:val="006C621F"/>
    <w:rsid w:val="006D0BA9"/>
    <w:rsid w:val="006D49FA"/>
    <w:rsid w:val="006D4B50"/>
    <w:rsid w:val="006E2EE6"/>
    <w:rsid w:val="006F179F"/>
    <w:rsid w:val="007032F1"/>
    <w:rsid w:val="0070359E"/>
    <w:rsid w:val="00706BC1"/>
    <w:rsid w:val="00710BAA"/>
    <w:rsid w:val="00712237"/>
    <w:rsid w:val="007154B1"/>
    <w:rsid w:val="00717011"/>
    <w:rsid w:val="00717781"/>
    <w:rsid w:val="007224C1"/>
    <w:rsid w:val="00722CC4"/>
    <w:rsid w:val="00724A29"/>
    <w:rsid w:val="007343C8"/>
    <w:rsid w:val="0073456C"/>
    <w:rsid w:val="007345B3"/>
    <w:rsid w:val="007445EB"/>
    <w:rsid w:val="0074564E"/>
    <w:rsid w:val="00746380"/>
    <w:rsid w:val="00746D58"/>
    <w:rsid w:val="00747706"/>
    <w:rsid w:val="00752F1E"/>
    <w:rsid w:val="00753F72"/>
    <w:rsid w:val="00756ACB"/>
    <w:rsid w:val="0076279C"/>
    <w:rsid w:val="00766483"/>
    <w:rsid w:val="007770FF"/>
    <w:rsid w:val="0077756F"/>
    <w:rsid w:val="00784105"/>
    <w:rsid w:val="00794822"/>
    <w:rsid w:val="007964CF"/>
    <w:rsid w:val="007A32BB"/>
    <w:rsid w:val="007A4C12"/>
    <w:rsid w:val="007B05CD"/>
    <w:rsid w:val="007B10F1"/>
    <w:rsid w:val="007B1BD6"/>
    <w:rsid w:val="007C23E2"/>
    <w:rsid w:val="007C7B9B"/>
    <w:rsid w:val="007D066F"/>
    <w:rsid w:val="007D1527"/>
    <w:rsid w:val="007D1FF0"/>
    <w:rsid w:val="007D2686"/>
    <w:rsid w:val="007D7749"/>
    <w:rsid w:val="007E410E"/>
    <w:rsid w:val="007E5719"/>
    <w:rsid w:val="007E7363"/>
    <w:rsid w:val="007F10C5"/>
    <w:rsid w:val="007F2012"/>
    <w:rsid w:val="007F45F6"/>
    <w:rsid w:val="007F60BC"/>
    <w:rsid w:val="007F7DC7"/>
    <w:rsid w:val="008048E2"/>
    <w:rsid w:val="00804EA9"/>
    <w:rsid w:val="008054C6"/>
    <w:rsid w:val="00810BC0"/>
    <w:rsid w:val="00812E52"/>
    <w:rsid w:val="008137E2"/>
    <w:rsid w:val="008144B2"/>
    <w:rsid w:val="0081684C"/>
    <w:rsid w:val="008206AC"/>
    <w:rsid w:val="008300DE"/>
    <w:rsid w:val="008334BC"/>
    <w:rsid w:val="008342A8"/>
    <w:rsid w:val="00835B2D"/>
    <w:rsid w:val="00845DFF"/>
    <w:rsid w:val="008471F6"/>
    <w:rsid w:val="0085530D"/>
    <w:rsid w:val="0085732D"/>
    <w:rsid w:val="008622A6"/>
    <w:rsid w:val="0086290D"/>
    <w:rsid w:val="008656EC"/>
    <w:rsid w:val="00867F48"/>
    <w:rsid w:val="00870058"/>
    <w:rsid w:val="00872229"/>
    <w:rsid w:val="008762E6"/>
    <w:rsid w:val="0087648E"/>
    <w:rsid w:val="008844E0"/>
    <w:rsid w:val="00887EE8"/>
    <w:rsid w:val="008910E0"/>
    <w:rsid w:val="00892ED8"/>
    <w:rsid w:val="00894E7D"/>
    <w:rsid w:val="008B24E6"/>
    <w:rsid w:val="008B27C0"/>
    <w:rsid w:val="008B2AE5"/>
    <w:rsid w:val="008B5A3E"/>
    <w:rsid w:val="008B666A"/>
    <w:rsid w:val="008C106C"/>
    <w:rsid w:val="008C2C99"/>
    <w:rsid w:val="008D0E61"/>
    <w:rsid w:val="008D1C47"/>
    <w:rsid w:val="008D2409"/>
    <w:rsid w:val="008E2AE7"/>
    <w:rsid w:val="008F0A9F"/>
    <w:rsid w:val="008F21CC"/>
    <w:rsid w:val="008F35CB"/>
    <w:rsid w:val="00903CC2"/>
    <w:rsid w:val="00905662"/>
    <w:rsid w:val="00905791"/>
    <w:rsid w:val="009072BB"/>
    <w:rsid w:val="0091781D"/>
    <w:rsid w:val="00934416"/>
    <w:rsid w:val="0094240C"/>
    <w:rsid w:val="0095090B"/>
    <w:rsid w:val="00953C8E"/>
    <w:rsid w:val="009547D8"/>
    <w:rsid w:val="009559B5"/>
    <w:rsid w:val="0095625D"/>
    <w:rsid w:val="009608A8"/>
    <w:rsid w:val="00993A6B"/>
    <w:rsid w:val="009A2F3B"/>
    <w:rsid w:val="009B20D3"/>
    <w:rsid w:val="009B5E47"/>
    <w:rsid w:val="009C0C66"/>
    <w:rsid w:val="009D1663"/>
    <w:rsid w:val="009D2777"/>
    <w:rsid w:val="009D4F60"/>
    <w:rsid w:val="009D5638"/>
    <w:rsid w:val="009E4ECF"/>
    <w:rsid w:val="009E6AC7"/>
    <w:rsid w:val="009F465D"/>
    <w:rsid w:val="009F6871"/>
    <w:rsid w:val="00A015C8"/>
    <w:rsid w:val="00A0448D"/>
    <w:rsid w:val="00A229F1"/>
    <w:rsid w:val="00A371F5"/>
    <w:rsid w:val="00A37486"/>
    <w:rsid w:val="00A428F0"/>
    <w:rsid w:val="00A43409"/>
    <w:rsid w:val="00A449F1"/>
    <w:rsid w:val="00A50E1E"/>
    <w:rsid w:val="00A54F8F"/>
    <w:rsid w:val="00A56AC1"/>
    <w:rsid w:val="00A72C3F"/>
    <w:rsid w:val="00A9156A"/>
    <w:rsid w:val="00A94602"/>
    <w:rsid w:val="00A960BD"/>
    <w:rsid w:val="00AA4B0D"/>
    <w:rsid w:val="00AB092D"/>
    <w:rsid w:val="00AC0B4B"/>
    <w:rsid w:val="00AC1358"/>
    <w:rsid w:val="00AC6932"/>
    <w:rsid w:val="00AC6980"/>
    <w:rsid w:val="00AD1769"/>
    <w:rsid w:val="00AD2A0D"/>
    <w:rsid w:val="00AE40A7"/>
    <w:rsid w:val="00AF3419"/>
    <w:rsid w:val="00AF4AFF"/>
    <w:rsid w:val="00B01E38"/>
    <w:rsid w:val="00B06B0E"/>
    <w:rsid w:val="00B06BD0"/>
    <w:rsid w:val="00B06ECC"/>
    <w:rsid w:val="00B136EC"/>
    <w:rsid w:val="00B14F74"/>
    <w:rsid w:val="00B17727"/>
    <w:rsid w:val="00B217CB"/>
    <w:rsid w:val="00B24857"/>
    <w:rsid w:val="00B27A68"/>
    <w:rsid w:val="00B27ACE"/>
    <w:rsid w:val="00B30F0A"/>
    <w:rsid w:val="00B451FF"/>
    <w:rsid w:val="00B4737F"/>
    <w:rsid w:val="00B47DBC"/>
    <w:rsid w:val="00B60ACA"/>
    <w:rsid w:val="00B714C4"/>
    <w:rsid w:val="00B82ACE"/>
    <w:rsid w:val="00B87758"/>
    <w:rsid w:val="00BC0F91"/>
    <w:rsid w:val="00BC65AA"/>
    <w:rsid w:val="00BE168A"/>
    <w:rsid w:val="00BF2EEE"/>
    <w:rsid w:val="00BF420E"/>
    <w:rsid w:val="00C0112A"/>
    <w:rsid w:val="00C01B40"/>
    <w:rsid w:val="00C033F7"/>
    <w:rsid w:val="00C14FF1"/>
    <w:rsid w:val="00C155D9"/>
    <w:rsid w:val="00C25E30"/>
    <w:rsid w:val="00C3027C"/>
    <w:rsid w:val="00C31472"/>
    <w:rsid w:val="00C32148"/>
    <w:rsid w:val="00C33211"/>
    <w:rsid w:val="00C36B9B"/>
    <w:rsid w:val="00C4175C"/>
    <w:rsid w:val="00C452BC"/>
    <w:rsid w:val="00C63F69"/>
    <w:rsid w:val="00C65892"/>
    <w:rsid w:val="00C74218"/>
    <w:rsid w:val="00C74B72"/>
    <w:rsid w:val="00C82042"/>
    <w:rsid w:val="00C93B28"/>
    <w:rsid w:val="00C97AFE"/>
    <w:rsid w:val="00CA12A4"/>
    <w:rsid w:val="00CA1A24"/>
    <w:rsid w:val="00CA2D21"/>
    <w:rsid w:val="00CA4AE7"/>
    <w:rsid w:val="00CB548B"/>
    <w:rsid w:val="00CC5D18"/>
    <w:rsid w:val="00CD4AD0"/>
    <w:rsid w:val="00CE3454"/>
    <w:rsid w:val="00CE6FC9"/>
    <w:rsid w:val="00CF09D5"/>
    <w:rsid w:val="00CF5972"/>
    <w:rsid w:val="00D02BB9"/>
    <w:rsid w:val="00D0420C"/>
    <w:rsid w:val="00D049A8"/>
    <w:rsid w:val="00D057DD"/>
    <w:rsid w:val="00D0749C"/>
    <w:rsid w:val="00D10085"/>
    <w:rsid w:val="00D12655"/>
    <w:rsid w:val="00D135F7"/>
    <w:rsid w:val="00D227D9"/>
    <w:rsid w:val="00D22962"/>
    <w:rsid w:val="00D3319E"/>
    <w:rsid w:val="00D37974"/>
    <w:rsid w:val="00D4009B"/>
    <w:rsid w:val="00D40937"/>
    <w:rsid w:val="00D42F42"/>
    <w:rsid w:val="00D45849"/>
    <w:rsid w:val="00D478ED"/>
    <w:rsid w:val="00D524E1"/>
    <w:rsid w:val="00D53C05"/>
    <w:rsid w:val="00D62DDE"/>
    <w:rsid w:val="00D6533E"/>
    <w:rsid w:val="00D70F45"/>
    <w:rsid w:val="00D82E01"/>
    <w:rsid w:val="00D847C3"/>
    <w:rsid w:val="00D9164E"/>
    <w:rsid w:val="00DA13CE"/>
    <w:rsid w:val="00DA7206"/>
    <w:rsid w:val="00DB01B0"/>
    <w:rsid w:val="00DB038F"/>
    <w:rsid w:val="00DB1B7C"/>
    <w:rsid w:val="00DB1D96"/>
    <w:rsid w:val="00DB1EB3"/>
    <w:rsid w:val="00DB243F"/>
    <w:rsid w:val="00DB2D71"/>
    <w:rsid w:val="00DB3B5E"/>
    <w:rsid w:val="00DB3DE6"/>
    <w:rsid w:val="00DB53DC"/>
    <w:rsid w:val="00DB57A0"/>
    <w:rsid w:val="00DB7C23"/>
    <w:rsid w:val="00DC11E5"/>
    <w:rsid w:val="00DC2E04"/>
    <w:rsid w:val="00DC4EB0"/>
    <w:rsid w:val="00DC73A2"/>
    <w:rsid w:val="00DC7438"/>
    <w:rsid w:val="00DD2170"/>
    <w:rsid w:val="00DD46A6"/>
    <w:rsid w:val="00DD6A28"/>
    <w:rsid w:val="00DD7D5D"/>
    <w:rsid w:val="00DE2890"/>
    <w:rsid w:val="00DE740D"/>
    <w:rsid w:val="00DF191E"/>
    <w:rsid w:val="00DF3358"/>
    <w:rsid w:val="00DF3DE5"/>
    <w:rsid w:val="00E06C99"/>
    <w:rsid w:val="00E07649"/>
    <w:rsid w:val="00E1432F"/>
    <w:rsid w:val="00E16BC5"/>
    <w:rsid w:val="00E21852"/>
    <w:rsid w:val="00E23B2B"/>
    <w:rsid w:val="00E2562C"/>
    <w:rsid w:val="00E2579D"/>
    <w:rsid w:val="00E25882"/>
    <w:rsid w:val="00E26764"/>
    <w:rsid w:val="00E31DB1"/>
    <w:rsid w:val="00E3547E"/>
    <w:rsid w:val="00E3574F"/>
    <w:rsid w:val="00E455C8"/>
    <w:rsid w:val="00E45E41"/>
    <w:rsid w:val="00E508DD"/>
    <w:rsid w:val="00E513A5"/>
    <w:rsid w:val="00E62E96"/>
    <w:rsid w:val="00E66B6F"/>
    <w:rsid w:val="00E66DD4"/>
    <w:rsid w:val="00E758E0"/>
    <w:rsid w:val="00E8291D"/>
    <w:rsid w:val="00E851CF"/>
    <w:rsid w:val="00E86627"/>
    <w:rsid w:val="00E91B8E"/>
    <w:rsid w:val="00E971EF"/>
    <w:rsid w:val="00EA0DF1"/>
    <w:rsid w:val="00EA2AEE"/>
    <w:rsid w:val="00EA6C56"/>
    <w:rsid w:val="00EB5FDC"/>
    <w:rsid w:val="00EC0AC4"/>
    <w:rsid w:val="00ED01F2"/>
    <w:rsid w:val="00ED3C83"/>
    <w:rsid w:val="00ED4139"/>
    <w:rsid w:val="00EF0F98"/>
    <w:rsid w:val="00EF37C5"/>
    <w:rsid w:val="00EF6229"/>
    <w:rsid w:val="00EF6F66"/>
    <w:rsid w:val="00EF7A41"/>
    <w:rsid w:val="00F0000B"/>
    <w:rsid w:val="00F02426"/>
    <w:rsid w:val="00F04EDA"/>
    <w:rsid w:val="00F16918"/>
    <w:rsid w:val="00F24340"/>
    <w:rsid w:val="00F271DB"/>
    <w:rsid w:val="00F3148C"/>
    <w:rsid w:val="00F377A8"/>
    <w:rsid w:val="00F40812"/>
    <w:rsid w:val="00F4119B"/>
    <w:rsid w:val="00F4612B"/>
    <w:rsid w:val="00F521DC"/>
    <w:rsid w:val="00F64BCC"/>
    <w:rsid w:val="00F70042"/>
    <w:rsid w:val="00F72225"/>
    <w:rsid w:val="00F834B7"/>
    <w:rsid w:val="00F83D0B"/>
    <w:rsid w:val="00F840B6"/>
    <w:rsid w:val="00F84622"/>
    <w:rsid w:val="00F859B1"/>
    <w:rsid w:val="00F86D67"/>
    <w:rsid w:val="00FA7960"/>
    <w:rsid w:val="00FA7D4C"/>
    <w:rsid w:val="00FC4DA4"/>
    <w:rsid w:val="00FD411A"/>
    <w:rsid w:val="00FF3C91"/>
    <w:rsid w:val="00FF3CA1"/>
    <w:rsid w:val="00FF5254"/>
    <w:rsid w:val="00FF5668"/>
    <w:rsid w:val="00FF75A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aliases w:val="Footnote Text Char,Footnote Text Char1 Char,Footnote Text Char1 Char Char Char,Footnote Text Char2,Footnote Text Char2 Char Char,Footnote Text Char3 Char,Footnote Text Char4 Char1 Char Char Char Char,Footnote Text Char7 Char Char Char Char,f"/>
    <w:basedOn w:val="Normal"/>
    <w:link w:val="FootnoteTextChar1"/>
  </w:style>
  <w:style w:type="character" w:styleId="FootnoteReference">
    <w:name w:val="footnote reference"/>
    <w:aliases w:val="(NECG) Footnote Reference,Appel note de bas de p,FR,Footnote Reference/,Footnote Reference1,Style 12,Style 124,Style 13,Style 17,Style 3,Style 4,Style 6,fr,o"/>
    <w:rPr>
      <w:vertAlign w:val="superscript"/>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customStyle="1" w:styleId="FootnoteTextChar1">
    <w:name w:val="Footnote Text Char1"/>
    <w:aliases w:val="Footnote Text Char Char,Footnote Text Char1 Char Char Char Char,Footnote Text Char2 Char Char Char,Footnote Text Char3 Char Char,Footnote Text Char4 Char1 Char Char Char Char Char,Footnote Text Char7 Char Char Char Char Char"/>
    <w:link w:val="FootnoteText"/>
    <w:locked/>
    <w:rPr>
      <w:lang w:val="en-US" w:eastAsia="en-US" w:bidi="ar-SA"/>
    </w:rPr>
  </w:style>
  <w:style w:type="paragraph" w:styleId="ListParagraph">
    <w:name w:val="List Paragraph"/>
    <w:basedOn w:val="Normal"/>
    <w:uiPriority w:val="34"/>
    <w:qFormat/>
    <w:rsid w:val="00144E69"/>
    <w:pPr>
      <w:spacing w:after="200" w:line="276" w:lineRule="auto"/>
      <w:ind w:left="720"/>
      <w:contextualSpacing/>
    </w:pPr>
    <w:rPr>
      <w:rFonts w:ascii="Calibri" w:eastAsia="Calibri" w:hAnsi="Calibri"/>
      <w:sz w:val="22"/>
      <w:szCs w:val="22"/>
    </w:rPr>
  </w:style>
  <w:style w:type="character" w:customStyle="1" w:styleId="term">
    <w:name w:val="term"/>
    <w:rsid w:val="00274A04"/>
  </w:style>
  <w:style w:type="character" w:styleId="Hyperlink">
    <w:name w:val="Hyperlink"/>
    <w:uiPriority w:val="99"/>
    <w:unhideWhenUsed/>
    <w:rsid w:val="00274A04"/>
    <w:rPr>
      <w:color w:val="0000FF"/>
      <w:u w:val="single"/>
    </w:rPr>
  </w:style>
  <w:style w:type="character" w:customStyle="1" w:styleId="pmterms2">
    <w:name w:val="pmterms2"/>
    <w:rsid w:val="00274A04"/>
  </w:style>
  <w:style w:type="character" w:styleId="CommentReference">
    <w:name w:val="annotation reference"/>
    <w:uiPriority w:val="99"/>
    <w:rsid w:val="00F4612B"/>
    <w:rPr>
      <w:sz w:val="16"/>
      <w:szCs w:val="16"/>
    </w:rPr>
  </w:style>
  <w:style w:type="paragraph" w:styleId="CommentText">
    <w:name w:val="annotation text"/>
    <w:basedOn w:val="Normal"/>
    <w:link w:val="CommentTextChar"/>
    <w:uiPriority w:val="99"/>
    <w:rsid w:val="00F4612B"/>
  </w:style>
  <w:style w:type="character" w:customStyle="1" w:styleId="CommentTextChar">
    <w:name w:val="Comment Text Char"/>
    <w:basedOn w:val="DefaultParagraphFont"/>
    <w:link w:val="CommentText"/>
    <w:uiPriority w:val="99"/>
    <w:rsid w:val="00F4612B"/>
  </w:style>
  <w:style w:type="paragraph" w:styleId="CommentSubject">
    <w:name w:val="annotation subject"/>
    <w:basedOn w:val="CommentText"/>
    <w:next w:val="CommentText"/>
    <w:link w:val="CommentSubjectChar"/>
    <w:rsid w:val="00F4612B"/>
    <w:rPr>
      <w:b/>
      <w:bCs/>
    </w:rPr>
  </w:style>
  <w:style w:type="character" w:customStyle="1" w:styleId="CommentSubjectChar">
    <w:name w:val="Comment Subject Char"/>
    <w:link w:val="CommentSubject"/>
    <w:rsid w:val="00F4612B"/>
    <w:rPr>
      <w:b/>
      <w:bCs/>
    </w:rPr>
  </w:style>
  <w:style w:type="character" w:customStyle="1" w:styleId="pmterms1">
    <w:name w:val="pmterms1"/>
    <w:rsid w:val="0030570C"/>
  </w:style>
  <w:style w:type="character" w:customStyle="1" w:styleId="FootnoteTextCharChar1">
    <w:name w:val="Footnote Text Char Char1"/>
    <w:aliases w:val="Footnote Text Char Char Char Char Char Char1,Footnote Text Char Char Char Char1,Footnote Text Char1 Char Char Char Char1,Footnote Text Char1 Char Char1,Style 5 Char Char Char1,rrfootnote Char Char Char1"/>
    <w:locked/>
    <w:rsid w:val="00903CC2"/>
  </w:style>
  <w:style w:type="character" w:customStyle="1" w:styleId="FootnoteTextChar1CharChar">
    <w:name w:val="Footnote Text Char1 Char Char"/>
    <w:aliases w:val="Footnote Text Char Char Char Char,Footnote Text Char Char Char Char Char Char Char,Footnote Text Char1 Char1,Footnote Text Char1 Char1 Char Char Char Char,Footnote Text Char2 Char Char Char Char,fn Char"/>
    <w:rsid w:val="009608A8"/>
  </w:style>
  <w:style w:type="character" w:customStyle="1" w:styleId="ssleftalign">
    <w:name w:val="ss_leftalign"/>
    <w:rsid w:val="004F549D"/>
  </w:style>
  <w:style w:type="character" w:customStyle="1" w:styleId="sssh">
    <w:name w:val="ss_sh"/>
    <w:rsid w:val="004F549D"/>
  </w:style>
  <w:style w:type="character" w:customStyle="1" w:styleId="ssit">
    <w:name w:val="ss_it"/>
    <w:rsid w:val="00FF5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1.106&amp;originatingDoc=I64820d3e225b11e4a795ac035416da91&amp;refType=LQ&amp;originationContext=document&amp;transitionType=DocumentItem&amp;contextData=(sc.Search)" TargetMode="External" /><Relationship Id="rId2" Type="http://schemas.openxmlformats.org/officeDocument/2006/relationships/hyperlink" Target="https://www.fcc.gov/document/fy-2018-regulatory-fee-waiver-fact-sheet"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Lett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