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rsidTr="00DE1F08">
        <w:tblPrEx>
          <w:tblW w:w="0" w:type="auto"/>
          <w:tblLayout w:type="fixed"/>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MCI, Inc.</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00D97666">
              <w:rPr>
                <w:szCs w:val="22"/>
              </w:rPr>
              <w:t xml:space="preserve">. </w:t>
            </w:r>
            <w:r w:rsidR="001E7F73">
              <w:rPr>
                <w:szCs w:val="22"/>
              </w:rPr>
              <w:t>3005018</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003A36C8">
        <w:rPr>
          <w:b/>
          <w:spacing w:val="-2"/>
          <w:szCs w:val="22"/>
        </w:rPr>
        <w:t>June 5</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t>Relea</w:t>
      </w:r>
      <w:r w:rsidR="003A36C8">
        <w:rPr>
          <w:b/>
          <w:spacing w:val="-2"/>
          <w:szCs w:val="22"/>
        </w:rPr>
        <w:t>sed: June 5</w:t>
      </w:r>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313EF3" w:rsidRPr="006D5400" w:rsidP="0062716E">
      <w:pPr>
        <w:spacing w:after="120"/>
        <w:rPr>
          <w:szCs w:val="22"/>
        </w:rPr>
      </w:pPr>
      <w:r w:rsidRPr="006D5400">
        <w:rPr>
          <w:szCs w:val="22"/>
        </w:rPr>
        <w:t xml:space="preserve">By the </w:t>
      </w:r>
      <w:r w:rsidRPr="006D5400" w:rsidR="00F84D1D">
        <w:rPr>
          <w:szCs w:val="22"/>
        </w:rPr>
        <w:t xml:space="preserve">Deputy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bookmarkStart w:id="0" w:name="_GoBack"/>
      <w:bookmarkEnd w:id="0"/>
    </w:p>
    <w:p w:rsidR="00313EF3" w:rsidRPr="006D5400" w:rsidP="0062716E">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001E7F73">
        <w:rPr>
          <w:szCs w:val="22"/>
        </w:rPr>
        <w:t xml:space="preserve"> MCI, Inc.,</w:t>
      </w:r>
      <w:r w:rsidR="000639C9">
        <w:rPr>
          <w:szCs w:val="22"/>
        </w:rPr>
        <w:t xml:space="preserve"> (</w:t>
      </w:r>
      <w:r w:rsidR="001E7F73">
        <w:rPr>
          <w:szCs w:val="22"/>
        </w:rPr>
        <w:t>MCI</w:t>
      </w:r>
      <w:r w:rsidR="000639C9">
        <w:rPr>
          <w:szCs w:val="22"/>
        </w:rPr>
        <w:t>)</w:t>
      </w:r>
      <w:r w:rsidR="00C335BA">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1E7F73">
        <w:rPr>
          <w:szCs w:val="22"/>
        </w:rPr>
        <w:t>MCI</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2716E">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w:t>
      </w:r>
      <w:r w:rsidR="00AA548C">
        <w:t xml:space="preserve">o </w:t>
      </w:r>
      <w:r w:rsidRPr="00142D97" w:rsidR="00C335BA">
        <w:t xml:space="preserve">our rules, we notified </w:t>
      </w:r>
      <w:r w:rsidR="001E7F73">
        <w:t>MCI</w:t>
      </w:r>
      <w:r w:rsidR="000639C9">
        <w:t xml:space="preserve"> and the Complainant’s local exchange carrier (LEC)</w:t>
      </w:r>
      <w:r w:rsidR="00C335BA">
        <w:t xml:space="preserve"> of the complaint</w:t>
      </w:r>
      <w:r w:rsidRPr="00142D97" w:rsidR="00C335BA">
        <w:t>.</w:t>
      </w:r>
      <w:r>
        <w:rPr>
          <w:rStyle w:val="FootnoteReference"/>
        </w:rPr>
        <w:footnoteReference w:id="9"/>
      </w:r>
      <w:r w:rsidRPr="00142D97" w:rsidR="00C335BA">
        <w:t xml:space="preserve">  </w:t>
      </w:r>
      <w:r w:rsidR="001E7F73">
        <w:t>MCI</w:t>
      </w:r>
      <w:r w:rsidR="000639C9">
        <w:t xml:space="preserve"> and the LEC</w:t>
      </w:r>
      <w:r w:rsidR="00C12167">
        <w:t xml:space="preserve"> responded to the complaint</w:t>
      </w:r>
      <w:r w:rsidR="00B80804">
        <w:t xml:space="preserve"> </w:t>
      </w:r>
      <w:r w:rsidR="00081AC0">
        <w:t xml:space="preserve">with information showing that MCI had been the Complainant’s presubscribed </w:t>
      </w:r>
      <w:r w:rsidR="00081AC0">
        <w:t>long distance</w:t>
      </w:r>
      <w:r w:rsidR="00081AC0">
        <w:t xml:space="preserve"> carrier since 2000.  MCI did not submit a </w:t>
      </w:r>
      <w:r w:rsidR="00CF0C05">
        <w:t xml:space="preserve">more </w:t>
      </w:r>
      <w:r w:rsidR="00081AC0">
        <w:t>recent request to switch Complainant’s service provider, but rather began billing its customers directly for calls routed on its network.</w:t>
      </w:r>
      <w:r>
        <w:rPr>
          <w:rStyle w:val="FootnoteReference"/>
        </w:rPr>
        <w:footnoteReference w:id="10"/>
      </w:r>
      <w:r w:rsidR="0015771C">
        <w:t xml:space="preserve"> </w:t>
      </w:r>
      <w:r w:rsidR="00C12167">
        <w:t xml:space="preserve"> Thus, based on the evidence in the record, we conclude that </w:t>
      </w:r>
      <w:r w:rsidR="001E7F73">
        <w:t>MCI</w:t>
      </w:r>
      <w:r w:rsidR="00C12167">
        <w:t>’s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1"/>
      </w:r>
      <w:r w:rsidRPr="006D5400" w:rsidR="00454DF3">
        <w:rPr>
          <w:szCs w:val="22"/>
        </w:rPr>
        <w:t xml:space="preserve">  </w:t>
      </w:r>
    </w:p>
    <w:p w:rsidR="00454DF3" w:rsidRPr="006D5400" w:rsidP="0062716E">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1E7F73">
        <w:rPr>
          <w:szCs w:val="22"/>
        </w:rPr>
        <w:t>MCI, Inc.,</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C5129C" w:rsidRPr="006D5400" w:rsidP="00184B55">
      <w:pPr>
        <w:spacing w:after="120"/>
        <w:ind w:left="3600" w:right="270"/>
        <w:rPr>
          <w:szCs w:val="22"/>
        </w:rPr>
      </w:pPr>
      <w:r w:rsidRPr="006D5400">
        <w:rPr>
          <w:szCs w:val="22"/>
        </w:rPr>
        <w:t>FEDERAL COMMUNICATIONS COMMISSION</w:t>
      </w:r>
    </w:p>
    <w:p w:rsidR="00C5129C" w:rsidRPr="006D5400">
      <w:pPr>
        <w:ind w:left="2880" w:right="270" w:firstLine="720"/>
        <w:rPr>
          <w:szCs w:val="22"/>
        </w:rPr>
      </w:pPr>
    </w:p>
    <w:p w:rsidR="00313EF3" w:rsidRPr="006D5400" w:rsidP="00C5129C">
      <w:pPr>
        <w:rPr>
          <w:szCs w:val="22"/>
        </w:rPr>
      </w:pP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sig"/>
          </v:shape>
        </w:pict>
      </w:r>
      <w:r w:rsidRPr="006D5400" w:rsidR="00422B9B">
        <w:rPr>
          <w:szCs w:val="22"/>
        </w:rPr>
        <w:tab/>
      </w:r>
      <w:r w:rsidRPr="006D5400" w:rsidR="00454DF3">
        <w:rPr>
          <w:szCs w:val="22"/>
        </w:rPr>
        <w:tab/>
      </w: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178C">
      <w:r>
        <w:separator/>
      </w:r>
    </w:p>
  </w:footnote>
  <w:footnote w:type="continuationSeparator" w:id="1">
    <w:p w:rsidR="00E5178C">
      <w:pPr>
        <w:rPr>
          <w:sz w:val="20"/>
        </w:rPr>
      </w:pPr>
      <w:r>
        <w:rPr>
          <w:sz w:val="20"/>
        </w:rPr>
        <w:t xml:space="preserve">(Continued from previous page)  </w:t>
      </w:r>
      <w:r>
        <w:rPr>
          <w:sz w:val="20"/>
        </w:rPr>
        <w:separator/>
      </w:r>
    </w:p>
  </w:footnote>
  <w:footnote w:type="continuationNotice" w:id="2">
    <w:p w:rsidR="00E5178C" w:rsidP="006D5400">
      <w:pPr>
        <w:jc w:val="right"/>
        <w:rPr>
          <w:sz w:val="20"/>
        </w:rPr>
      </w:pPr>
      <w:r>
        <w:rPr>
          <w:sz w:val="20"/>
        </w:rPr>
        <w:t>(continued…)</w:t>
      </w:r>
    </w:p>
  </w:footnote>
  <w:footnote w:id="3">
    <w:p w:rsidR="00EC4494" w:rsidP="0062716E">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1E7F73">
        <w:t xml:space="preserve"> 3005018</w:t>
      </w:r>
      <w:r w:rsidR="0062716E">
        <w:t xml:space="preserve"> (</w:t>
      </w:r>
      <w:r w:rsidR="00DB373D">
        <w:t xml:space="preserve">filed </w:t>
      </w:r>
      <w:r w:rsidR="001E7F73">
        <w:t xml:space="preserve">Dec. </w:t>
      </w:r>
      <w:r w:rsidR="00C64C87">
        <w:t>2</w:t>
      </w:r>
      <w:r w:rsidR="001E7F73">
        <w:t>8</w:t>
      </w:r>
      <w:r w:rsidR="004716DE">
        <w:t>, 2018</w:t>
      </w:r>
      <w:r w:rsidR="0062716E">
        <w:t>)</w:t>
      </w:r>
      <w:r w:rsidR="00DE1F08">
        <w:t>.</w:t>
      </w:r>
    </w:p>
  </w:footnote>
  <w:footnote w:id="4">
    <w:p w:rsidR="00EC4494" w:rsidP="0062716E">
      <w:pPr>
        <w:pStyle w:val="FootnoteText"/>
        <w:spacing w:after="120"/>
      </w:pPr>
      <w:r>
        <w:rPr>
          <w:rStyle w:val="FootnoteReference"/>
        </w:rPr>
        <w:footnoteRef/>
      </w:r>
      <w:r>
        <w:t xml:space="preserve"> </w:t>
      </w:r>
      <w:r>
        <w:rPr>
          <w:i/>
        </w:rPr>
        <w:t>See</w:t>
      </w:r>
      <w:r>
        <w:t xml:space="preserve"> 47 CFR §§ 64.1100 – 64.1190.</w:t>
      </w:r>
    </w:p>
  </w:footnote>
  <w:footnote w:id="5">
    <w:p w:rsidR="00EC4494" w:rsidP="0062716E">
      <w:pPr>
        <w:pStyle w:val="FootnoteText"/>
        <w:spacing w:after="120"/>
      </w:pPr>
      <w:r>
        <w:rPr>
          <w:rStyle w:val="FootnoteReference"/>
        </w:rPr>
        <w:footnoteRef/>
      </w:r>
      <w:r>
        <w:t xml:space="preserve"> 47 U.S.C. § 258(a).</w:t>
      </w:r>
    </w:p>
  </w:footnote>
  <w:footnote w:id="6">
    <w:p w:rsidR="00EC4494" w:rsidP="0062716E">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62716E">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901A56">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901A56">
      <w:pPr>
        <w:pStyle w:val="FootnoteText"/>
        <w:spacing w:after="120"/>
      </w:pPr>
      <w:r>
        <w:rPr>
          <w:rStyle w:val="FootnoteReference"/>
        </w:rPr>
        <w:footnoteRef/>
      </w:r>
      <w:r>
        <w:t xml:space="preserve"> </w:t>
      </w:r>
      <w:r w:rsidRPr="00B80804" w:rsidR="00B80804">
        <w:rPr>
          <w:i/>
        </w:rPr>
        <w:t>Id.</w:t>
      </w:r>
      <w:r w:rsidRPr="00F86B2C">
        <w:t xml:space="preserve"> § 1.719 (Commission procedure for informal complaints filed pursuant to </w:t>
      </w:r>
      <w:r w:rsidR="00B76B5C">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15771C">
      <w:pPr>
        <w:pStyle w:val="FootnoteText"/>
      </w:pPr>
      <w:r>
        <w:rPr>
          <w:rStyle w:val="FootnoteReference"/>
        </w:rPr>
        <w:footnoteRef/>
      </w:r>
      <w:r>
        <w:t xml:space="preserve"> </w:t>
      </w:r>
      <w:r w:rsidRPr="0015771C">
        <w:rPr>
          <w:i/>
        </w:rPr>
        <w:t>See</w:t>
      </w:r>
      <w:r>
        <w:t xml:space="preserve"> </w:t>
      </w:r>
      <w:r w:rsidR="001E7F73">
        <w:t>MCI</w:t>
      </w:r>
      <w:r>
        <w:t xml:space="preserve"> Response to Informal Complaint No. </w:t>
      </w:r>
      <w:r w:rsidR="001E7F73">
        <w:t>3005018</w:t>
      </w:r>
      <w:r>
        <w:t xml:space="preserve"> (filed </w:t>
      </w:r>
      <w:r w:rsidR="001E7F73">
        <w:t>Feb. 18, 2019</w:t>
      </w:r>
      <w:r>
        <w:t>).</w:t>
      </w:r>
    </w:p>
  </w:footnote>
  <w:footnote w:id="11">
    <w:p w:rsidR="00EC4494" w:rsidP="00901A56">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15771C">
        <w:t>47 CFR</w:t>
      </w:r>
      <w:r w:rsidR="007368C0">
        <w:t xml:space="preserve"> § 64.11</w:t>
      </w:r>
      <w:r w:rsidR="00C3654F">
        <w:t>0</w:t>
      </w:r>
      <w:r w:rsidR="007368C0">
        <w:t xml:space="preserve">0(e).  </w:t>
      </w:r>
      <w:r>
        <w:t xml:space="preserve">If Complainant is unsatisfied with the resolution of its complaint, such Complainant may file a formal complaint with the Commission pursuant to </w:t>
      </w:r>
      <w:r w:rsidR="00B76B5C">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3A36C8">
      <w:rPr>
        <w:b/>
        <w:spacing w:val="-2"/>
      </w:rPr>
      <w:t>527</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3A36C8">
      <w:t>527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639C9"/>
    <w:rsid w:val="000715F6"/>
    <w:rsid w:val="00081AC0"/>
    <w:rsid w:val="000B7A45"/>
    <w:rsid w:val="000D6FF3"/>
    <w:rsid w:val="000E6D51"/>
    <w:rsid w:val="00102E6F"/>
    <w:rsid w:val="001204B1"/>
    <w:rsid w:val="00120529"/>
    <w:rsid w:val="00140317"/>
    <w:rsid w:val="001414E3"/>
    <w:rsid w:val="00142D97"/>
    <w:rsid w:val="0015771C"/>
    <w:rsid w:val="00162727"/>
    <w:rsid w:val="001717CE"/>
    <w:rsid w:val="00184B55"/>
    <w:rsid w:val="00190163"/>
    <w:rsid w:val="00195161"/>
    <w:rsid w:val="001A0861"/>
    <w:rsid w:val="001A7A2C"/>
    <w:rsid w:val="001C36B6"/>
    <w:rsid w:val="001C67AE"/>
    <w:rsid w:val="001E4CAB"/>
    <w:rsid w:val="001E7F73"/>
    <w:rsid w:val="001F2E5C"/>
    <w:rsid w:val="001F4128"/>
    <w:rsid w:val="002137D1"/>
    <w:rsid w:val="0021434E"/>
    <w:rsid w:val="002354D5"/>
    <w:rsid w:val="002357D3"/>
    <w:rsid w:val="00236AA1"/>
    <w:rsid w:val="00236EDD"/>
    <w:rsid w:val="00237BAA"/>
    <w:rsid w:val="002439C1"/>
    <w:rsid w:val="002479AB"/>
    <w:rsid w:val="00283DF4"/>
    <w:rsid w:val="002A3B0B"/>
    <w:rsid w:val="002C332E"/>
    <w:rsid w:val="002F4B88"/>
    <w:rsid w:val="00310BAA"/>
    <w:rsid w:val="00313EF3"/>
    <w:rsid w:val="003427C1"/>
    <w:rsid w:val="00353700"/>
    <w:rsid w:val="00360D54"/>
    <w:rsid w:val="00385691"/>
    <w:rsid w:val="003A1EBA"/>
    <w:rsid w:val="003A2174"/>
    <w:rsid w:val="003A36C8"/>
    <w:rsid w:val="003C5092"/>
    <w:rsid w:val="003E5B69"/>
    <w:rsid w:val="003F7602"/>
    <w:rsid w:val="003F7D44"/>
    <w:rsid w:val="00422B9B"/>
    <w:rsid w:val="00454DF3"/>
    <w:rsid w:val="004716DE"/>
    <w:rsid w:val="0047594E"/>
    <w:rsid w:val="004914A3"/>
    <w:rsid w:val="004A1686"/>
    <w:rsid w:val="004C3D84"/>
    <w:rsid w:val="004C7040"/>
    <w:rsid w:val="00510F6C"/>
    <w:rsid w:val="005265B9"/>
    <w:rsid w:val="005561FD"/>
    <w:rsid w:val="00563A90"/>
    <w:rsid w:val="00566D7F"/>
    <w:rsid w:val="005772B2"/>
    <w:rsid w:val="00586E06"/>
    <w:rsid w:val="005A6A46"/>
    <w:rsid w:val="005B2F11"/>
    <w:rsid w:val="005B796C"/>
    <w:rsid w:val="005C203E"/>
    <w:rsid w:val="005C4098"/>
    <w:rsid w:val="005D78D7"/>
    <w:rsid w:val="005E78CA"/>
    <w:rsid w:val="00622CD2"/>
    <w:rsid w:val="00623693"/>
    <w:rsid w:val="00623E7A"/>
    <w:rsid w:val="0062716E"/>
    <w:rsid w:val="0063192B"/>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0B40"/>
    <w:rsid w:val="00831E67"/>
    <w:rsid w:val="00861745"/>
    <w:rsid w:val="00870845"/>
    <w:rsid w:val="00876880"/>
    <w:rsid w:val="008C3E40"/>
    <w:rsid w:val="008E6C8C"/>
    <w:rsid w:val="008F1B97"/>
    <w:rsid w:val="008F47DB"/>
    <w:rsid w:val="008F4E04"/>
    <w:rsid w:val="00901A56"/>
    <w:rsid w:val="00916312"/>
    <w:rsid w:val="00927544"/>
    <w:rsid w:val="00941EA5"/>
    <w:rsid w:val="00960E75"/>
    <w:rsid w:val="0097045E"/>
    <w:rsid w:val="00983C4E"/>
    <w:rsid w:val="009A1060"/>
    <w:rsid w:val="009C46EC"/>
    <w:rsid w:val="009C6B1F"/>
    <w:rsid w:val="009D3461"/>
    <w:rsid w:val="009E4E88"/>
    <w:rsid w:val="009F49B4"/>
    <w:rsid w:val="00A029BD"/>
    <w:rsid w:val="00A15D6E"/>
    <w:rsid w:val="00A17B73"/>
    <w:rsid w:val="00A25B67"/>
    <w:rsid w:val="00A36B33"/>
    <w:rsid w:val="00A42E60"/>
    <w:rsid w:val="00A45CE5"/>
    <w:rsid w:val="00A574EA"/>
    <w:rsid w:val="00A6088E"/>
    <w:rsid w:val="00A728EC"/>
    <w:rsid w:val="00A75410"/>
    <w:rsid w:val="00A75458"/>
    <w:rsid w:val="00A841B1"/>
    <w:rsid w:val="00A958AD"/>
    <w:rsid w:val="00AA548C"/>
    <w:rsid w:val="00AD1E1E"/>
    <w:rsid w:val="00AD583F"/>
    <w:rsid w:val="00AE2D7C"/>
    <w:rsid w:val="00B0254C"/>
    <w:rsid w:val="00B030B5"/>
    <w:rsid w:val="00B25D8D"/>
    <w:rsid w:val="00B329ED"/>
    <w:rsid w:val="00B33104"/>
    <w:rsid w:val="00B46EF1"/>
    <w:rsid w:val="00B46FCC"/>
    <w:rsid w:val="00B76B5C"/>
    <w:rsid w:val="00B80804"/>
    <w:rsid w:val="00BA0244"/>
    <w:rsid w:val="00BC643E"/>
    <w:rsid w:val="00BD2451"/>
    <w:rsid w:val="00C04D95"/>
    <w:rsid w:val="00C12167"/>
    <w:rsid w:val="00C335BA"/>
    <w:rsid w:val="00C3654F"/>
    <w:rsid w:val="00C403BC"/>
    <w:rsid w:val="00C447BD"/>
    <w:rsid w:val="00C50C6D"/>
    <w:rsid w:val="00C5129C"/>
    <w:rsid w:val="00C53380"/>
    <w:rsid w:val="00C64C87"/>
    <w:rsid w:val="00C81A17"/>
    <w:rsid w:val="00CA575D"/>
    <w:rsid w:val="00CB11F0"/>
    <w:rsid w:val="00CB1F6D"/>
    <w:rsid w:val="00CD65A9"/>
    <w:rsid w:val="00CD6BB8"/>
    <w:rsid w:val="00CF0C05"/>
    <w:rsid w:val="00CF10D8"/>
    <w:rsid w:val="00CF40EC"/>
    <w:rsid w:val="00D042D4"/>
    <w:rsid w:val="00D07B67"/>
    <w:rsid w:val="00D12F96"/>
    <w:rsid w:val="00D20C3C"/>
    <w:rsid w:val="00D31805"/>
    <w:rsid w:val="00D32700"/>
    <w:rsid w:val="00D45CF9"/>
    <w:rsid w:val="00D612CA"/>
    <w:rsid w:val="00D67F06"/>
    <w:rsid w:val="00D74200"/>
    <w:rsid w:val="00D7613F"/>
    <w:rsid w:val="00D820D6"/>
    <w:rsid w:val="00D8360E"/>
    <w:rsid w:val="00D85AC6"/>
    <w:rsid w:val="00D97666"/>
    <w:rsid w:val="00DB373D"/>
    <w:rsid w:val="00DB40D9"/>
    <w:rsid w:val="00DB4EAF"/>
    <w:rsid w:val="00DD26EF"/>
    <w:rsid w:val="00DD5275"/>
    <w:rsid w:val="00DE04F2"/>
    <w:rsid w:val="00DE1F08"/>
    <w:rsid w:val="00E0746D"/>
    <w:rsid w:val="00E12641"/>
    <w:rsid w:val="00E12DF2"/>
    <w:rsid w:val="00E35C29"/>
    <w:rsid w:val="00E5178C"/>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0DC4B7-0300-4393-BA2F-2649AD35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