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MCI,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00D97666">
              <w:rPr>
                <w:szCs w:val="22"/>
              </w:rPr>
              <w:t xml:space="preserve">. </w:t>
            </w:r>
            <w:r w:rsidR="004716DE">
              <w:rPr>
                <w:szCs w:val="22"/>
              </w:rPr>
              <w:t>2</w:t>
            </w:r>
            <w:r w:rsidR="00795B4A">
              <w:rPr>
                <w:szCs w:val="22"/>
              </w:rPr>
              <w:t>897896</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bookmarkStart w:id="0" w:name="_GoBack"/>
        <w:bookmarkEnd w:id="0"/>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EC4530">
        <w:rPr>
          <w:b/>
          <w:spacing w:val="-2"/>
          <w:szCs w:val="22"/>
        </w:rPr>
        <w:t>June 11</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r>
      <w:r w:rsidR="006D5400">
        <w:rPr>
          <w:b/>
          <w:spacing w:val="-2"/>
          <w:szCs w:val="22"/>
        </w:rPr>
        <w:tab/>
      </w:r>
      <w:r w:rsidRPr="006D5400">
        <w:rPr>
          <w:b/>
          <w:spacing w:val="-2"/>
          <w:szCs w:val="22"/>
        </w:rPr>
        <w:t>Released:</w:t>
      </w:r>
      <w:r w:rsidRPr="006D5400" w:rsidR="00676CB9">
        <w:rPr>
          <w:b/>
          <w:spacing w:val="-2"/>
          <w:szCs w:val="22"/>
        </w:rPr>
        <w:t xml:space="preserve"> </w:t>
      </w:r>
      <w:r w:rsidR="00EC4530">
        <w:rPr>
          <w:b/>
          <w:spacing w:val="-2"/>
          <w:szCs w:val="22"/>
        </w:rPr>
        <w:t>June 11</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795B4A">
        <w:rPr>
          <w:szCs w:val="22"/>
        </w:rPr>
        <w:t>MCI, Inc.,</w:t>
      </w:r>
      <w:r w:rsidR="000639C9">
        <w:rPr>
          <w:szCs w:val="22"/>
        </w:rPr>
        <w:t xml:space="preserve"> (</w:t>
      </w:r>
      <w:r w:rsidR="00795B4A">
        <w:rPr>
          <w:szCs w:val="22"/>
        </w:rPr>
        <w:t>MCI</w:t>
      </w:r>
      <w:r w:rsidR="000639C9">
        <w:rPr>
          <w:szCs w:val="22"/>
        </w:rPr>
        <w:t>)</w:t>
      </w:r>
      <w:r w:rsidR="00C335BA">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795B4A">
        <w:rPr>
          <w:szCs w:val="22"/>
        </w:rPr>
        <w:t>MCI</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795B4A">
        <w:t>MCI</w:t>
      </w:r>
      <w:r w:rsidR="000639C9">
        <w:t xml:space="preserve"> and the Complainant’s local exchange carrier (LEC)</w:t>
      </w:r>
      <w:r w:rsidR="00C335BA">
        <w:t xml:space="preserve"> of the complaint</w:t>
      </w:r>
      <w:r w:rsidRPr="00142D97" w:rsidR="00C335BA">
        <w:t>.</w:t>
      </w:r>
      <w:r>
        <w:rPr>
          <w:rStyle w:val="FootnoteReference"/>
        </w:rPr>
        <w:footnoteReference w:id="9"/>
      </w:r>
      <w:r w:rsidRPr="00142D97" w:rsidR="00C335BA">
        <w:t xml:space="preserve">  </w:t>
      </w:r>
      <w:r w:rsidR="00795B4A">
        <w:t>MCI</w:t>
      </w:r>
      <w:r w:rsidR="000639C9">
        <w:t xml:space="preserve"> and the LEC</w:t>
      </w:r>
      <w:r w:rsidR="00C12167">
        <w:t xml:space="preserve"> responded to the complaint</w:t>
      </w:r>
      <w:r w:rsidR="00B80804">
        <w:t xml:space="preserve"> with information </w:t>
      </w:r>
      <w:r w:rsidR="00C50C6D">
        <w:t>showing</w:t>
      </w:r>
      <w:r w:rsidR="00D97666">
        <w:t xml:space="preserve"> that </w:t>
      </w:r>
      <w:r w:rsidR="0022397C">
        <w:t>MCI</w:t>
      </w:r>
      <w:r w:rsidR="00795B4A">
        <w:t xml:space="preserve"> </w:t>
      </w:r>
      <w:r w:rsidR="00D97666">
        <w:t xml:space="preserve">did not submit a </w:t>
      </w:r>
      <w:r w:rsidR="0015771C">
        <w:t xml:space="preserve">request to switch Complainant’s service provider, </w:t>
      </w:r>
      <w:r w:rsidR="00D97666">
        <w:t xml:space="preserve">but </w:t>
      </w:r>
      <w:r w:rsidR="00B035BD">
        <w:t>that MCI</w:t>
      </w:r>
      <w:r w:rsidR="0022397C">
        <w:t xml:space="preserve"> bill</w:t>
      </w:r>
      <w:r w:rsidR="00B035BD">
        <w:t xml:space="preserve">ed Complainant directly for calls it </w:t>
      </w:r>
      <w:r w:rsidR="001328F0">
        <w:t>states</w:t>
      </w:r>
      <w:r w:rsidR="00B035BD">
        <w:t xml:space="preserve"> were routed on its network.</w:t>
      </w:r>
      <w:r>
        <w:rPr>
          <w:rStyle w:val="FootnoteReference"/>
        </w:rPr>
        <w:footnoteReference w:id="10"/>
      </w:r>
      <w:r w:rsidR="0015771C">
        <w:t xml:space="preserve"> </w:t>
      </w:r>
      <w:r w:rsidR="00C12167">
        <w:t xml:space="preserve"> Thus, based on the evidence in the record, we conclude that </w:t>
      </w:r>
      <w:r w:rsidR="00795B4A">
        <w:t>MCI</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22397C">
        <w:rPr>
          <w:szCs w:val="22"/>
        </w:rPr>
        <w:t>MCI,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RPr="006D5400" w:rsidP="00184B55">
      <w:pPr>
        <w:spacing w:after="120"/>
        <w:ind w:left="3600" w:right="270"/>
        <w:rPr>
          <w:szCs w:val="22"/>
        </w:rPr>
      </w:pPr>
      <w:r w:rsidRPr="006D5400">
        <w:rPr>
          <w:szCs w:val="22"/>
        </w:rPr>
        <w:t>FEDERAL COMMUNICATIONS COMMISSION</w:t>
      </w:r>
    </w:p>
    <w:p w:rsidR="005B386B" w:rsidRPr="006D5400" w:rsidP="005B386B">
      <w:pPr>
        <w:rPr>
          <w:szCs w:val="22"/>
        </w:rPr>
      </w:pPr>
      <w:r>
        <w:rPr>
          <w:szCs w:val="22"/>
        </w:rPr>
        <w:tab/>
      </w:r>
      <w:r>
        <w:rPr>
          <w:szCs w:val="22"/>
        </w:rPr>
        <w:tab/>
      </w:r>
      <w:r>
        <w:rPr>
          <w:szCs w:val="22"/>
        </w:rPr>
        <w:tab/>
      </w:r>
      <w:r>
        <w:rPr>
          <w:szCs w:val="22"/>
        </w:rPr>
        <w:tab/>
      </w:r>
      <w:r>
        <w:rPr>
          <w:szCs w:val="22"/>
        </w:rPr>
        <w:tab/>
      </w:r>
      <w:r w:rsidR="002A3A9F">
        <w:rPr>
          <w:noProof/>
          <w:szCs w:val="22"/>
        </w:rPr>
        <w:drawing>
          <wp:inline distT="0" distB="0" distL="0" distR="0">
            <wp:extent cx="2705100" cy="140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3398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5100" cy="1409700"/>
                    </a:xfrm>
                    <a:prstGeom prst="rect">
                      <a:avLst/>
                    </a:prstGeom>
                    <a:noFill/>
                    <a:ln>
                      <a:noFill/>
                    </a:ln>
                  </pic:spPr>
                </pic:pic>
              </a:graphicData>
            </a:graphic>
          </wp:inline>
        </w:drawing>
      </w:r>
    </w:p>
    <w:p w:rsidR="00313EF3" w:rsidRPr="006D5400" w:rsidP="00C5129C">
      <w:pPr>
        <w:rPr>
          <w:szCs w:val="22"/>
        </w:rPr>
      </w:pPr>
      <w:r w:rsidRPr="006D5400">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3E48">
      <w:r>
        <w:separator/>
      </w:r>
    </w:p>
  </w:footnote>
  <w:footnote w:type="continuationSeparator" w:id="1">
    <w:p w:rsidR="000B3E48">
      <w:pPr>
        <w:rPr>
          <w:sz w:val="20"/>
        </w:rPr>
      </w:pPr>
      <w:r>
        <w:rPr>
          <w:sz w:val="20"/>
        </w:rPr>
        <w:t xml:space="preserve">(Continued from previous page)  </w:t>
      </w:r>
      <w:r>
        <w:rPr>
          <w:sz w:val="20"/>
        </w:rPr>
        <w:separator/>
      </w:r>
    </w:p>
  </w:footnote>
  <w:footnote w:type="continuationNotice" w:id="2">
    <w:p w:rsidR="000B3E48"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795B4A">
        <w:t>2897896</w:t>
      </w:r>
      <w:r w:rsidR="0062716E">
        <w:t xml:space="preserve"> (</w:t>
      </w:r>
      <w:r w:rsidR="00DB373D">
        <w:t xml:space="preserve">filed </w:t>
      </w:r>
      <w:r w:rsidR="00795B4A">
        <w:t>Nov</w:t>
      </w:r>
      <w:r w:rsidR="004716DE">
        <w:t xml:space="preserve">. </w:t>
      </w:r>
      <w:r w:rsidR="00795B4A">
        <w:t>5</w:t>
      </w:r>
      <w:r w:rsidR="004716DE">
        <w:t>, 2018</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B80804" w:rsidR="00B80804">
        <w:rPr>
          <w:i/>
        </w:rPr>
        <w:t>Id.</w:t>
      </w:r>
      <w:r w:rsidRPr="00F86B2C">
        <w:t xml:space="preserve">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15771C">
      <w:pPr>
        <w:pStyle w:val="FootnoteText"/>
      </w:pPr>
      <w:r>
        <w:rPr>
          <w:rStyle w:val="FootnoteReference"/>
        </w:rPr>
        <w:footnoteRef/>
      </w:r>
      <w:r>
        <w:t xml:space="preserve"> </w:t>
      </w:r>
      <w:r w:rsidRPr="0015771C">
        <w:rPr>
          <w:i/>
        </w:rPr>
        <w:t>See</w:t>
      </w:r>
      <w:r>
        <w:t xml:space="preserve"> </w:t>
      </w:r>
      <w:r w:rsidR="00795B4A">
        <w:t>MCI</w:t>
      </w:r>
      <w:r>
        <w:t xml:space="preserve"> Response to Informal Complaint No. </w:t>
      </w:r>
      <w:r w:rsidR="00795B4A">
        <w:t>2897896</w:t>
      </w:r>
      <w:r>
        <w:t xml:space="preserve"> (filed </w:t>
      </w:r>
      <w:r w:rsidR="00795B4A">
        <w:t>Nov</w:t>
      </w:r>
      <w:r w:rsidR="00960E75">
        <w:t>.</w:t>
      </w:r>
      <w:r>
        <w:t xml:space="preserve"> </w:t>
      </w:r>
      <w:r w:rsidR="00795B4A">
        <w:t>7</w:t>
      </w:r>
      <w:r>
        <w:t>, 201</w:t>
      </w:r>
      <w:r w:rsidR="00960E75">
        <w:t>8</w:t>
      </w:r>
      <w:r>
        <w:t>).</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15771C">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sidR="00EC4530">
      <w:rPr>
        <w:b/>
        <w:spacing w:val="-2"/>
      </w:rPr>
      <w:t>-549</w:t>
    </w:r>
  </w:p>
  <w:p w:rsidR="00EC449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EC4530">
      <w:t>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639C9"/>
    <w:rsid w:val="000715F6"/>
    <w:rsid w:val="000B3E48"/>
    <w:rsid w:val="000B7A45"/>
    <w:rsid w:val="000D6FF3"/>
    <w:rsid w:val="000E6D51"/>
    <w:rsid w:val="00102E6F"/>
    <w:rsid w:val="001204B1"/>
    <w:rsid w:val="00120529"/>
    <w:rsid w:val="001328F0"/>
    <w:rsid w:val="00140317"/>
    <w:rsid w:val="001414E3"/>
    <w:rsid w:val="00142D97"/>
    <w:rsid w:val="0015771C"/>
    <w:rsid w:val="00162727"/>
    <w:rsid w:val="001717CE"/>
    <w:rsid w:val="00184B55"/>
    <w:rsid w:val="00190163"/>
    <w:rsid w:val="00195161"/>
    <w:rsid w:val="001A0861"/>
    <w:rsid w:val="001A7A2C"/>
    <w:rsid w:val="001C36B6"/>
    <w:rsid w:val="001C67AE"/>
    <w:rsid w:val="001E4CAB"/>
    <w:rsid w:val="001F2E5C"/>
    <w:rsid w:val="001F4128"/>
    <w:rsid w:val="002137D1"/>
    <w:rsid w:val="0021434E"/>
    <w:rsid w:val="0022397C"/>
    <w:rsid w:val="002354D5"/>
    <w:rsid w:val="002357D3"/>
    <w:rsid w:val="00236AA1"/>
    <w:rsid w:val="00236EDD"/>
    <w:rsid w:val="00237BAA"/>
    <w:rsid w:val="002439C1"/>
    <w:rsid w:val="002479AB"/>
    <w:rsid w:val="00283DF4"/>
    <w:rsid w:val="002A3A9F"/>
    <w:rsid w:val="002A3B0B"/>
    <w:rsid w:val="002C332E"/>
    <w:rsid w:val="002F4B88"/>
    <w:rsid w:val="00310BAA"/>
    <w:rsid w:val="00313EF3"/>
    <w:rsid w:val="003427C1"/>
    <w:rsid w:val="00353700"/>
    <w:rsid w:val="00360D54"/>
    <w:rsid w:val="00385691"/>
    <w:rsid w:val="003A1EBA"/>
    <w:rsid w:val="003A2174"/>
    <w:rsid w:val="003C5092"/>
    <w:rsid w:val="003E5B69"/>
    <w:rsid w:val="003F7602"/>
    <w:rsid w:val="003F7D44"/>
    <w:rsid w:val="00422B9B"/>
    <w:rsid w:val="00454DF3"/>
    <w:rsid w:val="004716DE"/>
    <w:rsid w:val="0047594E"/>
    <w:rsid w:val="004914A3"/>
    <w:rsid w:val="004A1686"/>
    <w:rsid w:val="004C3D84"/>
    <w:rsid w:val="004C7040"/>
    <w:rsid w:val="00510F6C"/>
    <w:rsid w:val="005265B9"/>
    <w:rsid w:val="005561FD"/>
    <w:rsid w:val="00563A90"/>
    <w:rsid w:val="00566D7F"/>
    <w:rsid w:val="005772B2"/>
    <w:rsid w:val="00586E06"/>
    <w:rsid w:val="005A6A46"/>
    <w:rsid w:val="005B2F11"/>
    <w:rsid w:val="005B386B"/>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B4A"/>
    <w:rsid w:val="00795CE2"/>
    <w:rsid w:val="007B65C8"/>
    <w:rsid w:val="007B67D3"/>
    <w:rsid w:val="007D2B0E"/>
    <w:rsid w:val="007D7FBB"/>
    <w:rsid w:val="007E0B90"/>
    <w:rsid w:val="007E5AF2"/>
    <w:rsid w:val="008101C7"/>
    <w:rsid w:val="00816066"/>
    <w:rsid w:val="0083033B"/>
    <w:rsid w:val="00830B40"/>
    <w:rsid w:val="00831E67"/>
    <w:rsid w:val="00861745"/>
    <w:rsid w:val="00870845"/>
    <w:rsid w:val="00876880"/>
    <w:rsid w:val="008C3E40"/>
    <w:rsid w:val="008E6C8C"/>
    <w:rsid w:val="008F1B97"/>
    <w:rsid w:val="008F47DB"/>
    <w:rsid w:val="008F4E04"/>
    <w:rsid w:val="00901A56"/>
    <w:rsid w:val="00916312"/>
    <w:rsid w:val="0092465E"/>
    <w:rsid w:val="00927544"/>
    <w:rsid w:val="00941EA5"/>
    <w:rsid w:val="00960E7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45CE5"/>
    <w:rsid w:val="00A574EA"/>
    <w:rsid w:val="00A6088E"/>
    <w:rsid w:val="00A728EC"/>
    <w:rsid w:val="00A75410"/>
    <w:rsid w:val="00A75458"/>
    <w:rsid w:val="00A841B1"/>
    <w:rsid w:val="00A958AD"/>
    <w:rsid w:val="00AA548C"/>
    <w:rsid w:val="00AD1E1E"/>
    <w:rsid w:val="00AD583F"/>
    <w:rsid w:val="00AE2D7C"/>
    <w:rsid w:val="00B0254C"/>
    <w:rsid w:val="00B030B5"/>
    <w:rsid w:val="00B035BD"/>
    <w:rsid w:val="00B25D8D"/>
    <w:rsid w:val="00B329ED"/>
    <w:rsid w:val="00B33104"/>
    <w:rsid w:val="00B46EF1"/>
    <w:rsid w:val="00B46FCC"/>
    <w:rsid w:val="00B76B5C"/>
    <w:rsid w:val="00B80804"/>
    <w:rsid w:val="00BA0244"/>
    <w:rsid w:val="00BC643E"/>
    <w:rsid w:val="00BD2451"/>
    <w:rsid w:val="00C04D95"/>
    <w:rsid w:val="00C12167"/>
    <w:rsid w:val="00C335BA"/>
    <w:rsid w:val="00C3654F"/>
    <w:rsid w:val="00C403BC"/>
    <w:rsid w:val="00C447BD"/>
    <w:rsid w:val="00C50C6D"/>
    <w:rsid w:val="00C5129C"/>
    <w:rsid w:val="00C51549"/>
    <w:rsid w:val="00C53380"/>
    <w:rsid w:val="00C81A17"/>
    <w:rsid w:val="00C81F64"/>
    <w:rsid w:val="00CA575D"/>
    <w:rsid w:val="00CB11F0"/>
    <w:rsid w:val="00CB1F6D"/>
    <w:rsid w:val="00CD65A9"/>
    <w:rsid w:val="00CD6BB8"/>
    <w:rsid w:val="00CF10D8"/>
    <w:rsid w:val="00CF40EC"/>
    <w:rsid w:val="00D042D4"/>
    <w:rsid w:val="00D07B67"/>
    <w:rsid w:val="00D12F96"/>
    <w:rsid w:val="00D20C3C"/>
    <w:rsid w:val="00D31805"/>
    <w:rsid w:val="00D32700"/>
    <w:rsid w:val="00D612CA"/>
    <w:rsid w:val="00D67F06"/>
    <w:rsid w:val="00D74200"/>
    <w:rsid w:val="00D7613F"/>
    <w:rsid w:val="00D820D6"/>
    <w:rsid w:val="00D8360E"/>
    <w:rsid w:val="00D85AC6"/>
    <w:rsid w:val="00D97666"/>
    <w:rsid w:val="00DB373D"/>
    <w:rsid w:val="00DB40D9"/>
    <w:rsid w:val="00DB4EAF"/>
    <w:rsid w:val="00DD26EF"/>
    <w:rsid w:val="00DD5275"/>
    <w:rsid w:val="00DE04F2"/>
    <w:rsid w:val="00DE1F08"/>
    <w:rsid w:val="00E0746D"/>
    <w:rsid w:val="00E12641"/>
    <w:rsid w:val="00E12DF2"/>
    <w:rsid w:val="00E35C29"/>
    <w:rsid w:val="00E5178C"/>
    <w:rsid w:val="00E54D57"/>
    <w:rsid w:val="00E62B5D"/>
    <w:rsid w:val="00E67930"/>
    <w:rsid w:val="00E84E6A"/>
    <w:rsid w:val="00E961F6"/>
    <w:rsid w:val="00EA795E"/>
    <w:rsid w:val="00EB38E9"/>
    <w:rsid w:val="00EC408A"/>
    <w:rsid w:val="00EC4494"/>
    <w:rsid w:val="00EC4530"/>
    <w:rsid w:val="00EC75FC"/>
    <w:rsid w:val="00EF15C3"/>
    <w:rsid w:val="00F416D5"/>
    <w:rsid w:val="00F47D49"/>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422D6E-7A7D-403E-8B12-CC4DC924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