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952320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1550C63" w14:textId="77777777">
      <w:pPr>
        <w:pStyle w:val="StyleBoldCentered"/>
      </w:pPr>
      <w:r>
        <w:t>F</w:t>
      </w:r>
      <w:r>
        <w:rPr>
          <w:caps w:val="0"/>
        </w:rPr>
        <w:t>ederal Communications Commission</w:t>
      </w:r>
    </w:p>
    <w:p w:rsidR="004C2EE3" w:rsidP="00096D8C" w14:paraId="36C8D209" w14:textId="77777777">
      <w:pPr>
        <w:pStyle w:val="StyleBoldCentered"/>
      </w:pPr>
      <w:r>
        <w:rPr>
          <w:caps w:val="0"/>
        </w:rPr>
        <w:t>Washington, D.C. 20554</w:t>
      </w:r>
    </w:p>
    <w:p w:rsidR="004C2EE3" w:rsidP="0070224F" w14:paraId="512E7338" w14:textId="77777777"/>
    <w:p w:rsidR="004C2EE3" w:rsidP="0070224F" w14:paraId="7E070960" w14:textId="77777777"/>
    <w:tbl>
      <w:tblPr>
        <w:tblW w:w="0" w:type="auto"/>
        <w:tblLayout w:type="fixed"/>
        <w:tblLook w:val="0000"/>
      </w:tblPr>
      <w:tblGrid>
        <w:gridCol w:w="4698"/>
        <w:gridCol w:w="630"/>
        <w:gridCol w:w="4248"/>
      </w:tblGrid>
      <w:tr w14:paraId="4E0EF9FF" w14:textId="77777777">
        <w:tblPrEx>
          <w:tblW w:w="0" w:type="auto"/>
          <w:tblLayout w:type="fixed"/>
          <w:tblLook w:val="0000"/>
        </w:tblPrEx>
        <w:tc>
          <w:tcPr>
            <w:tcW w:w="4698" w:type="dxa"/>
          </w:tcPr>
          <w:p w:rsidR="004C2EE3" w14:paraId="6EFFA680" w14:textId="77777777">
            <w:pPr>
              <w:tabs>
                <w:tab w:val="center" w:pos="4680"/>
              </w:tabs>
              <w:suppressAutoHyphens/>
              <w:rPr>
                <w:spacing w:val="-2"/>
              </w:rPr>
            </w:pPr>
            <w:r>
              <w:rPr>
                <w:spacing w:val="-2"/>
              </w:rPr>
              <w:t>In the Matter of</w:t>
            </w:r>
          </w:p>
          <w:p w:rsidR="004C2EE3" w14:paraId="60A37BCD" w14:textId="77777777">
            <w:pPr>
              <w:tabs>
                <w:tab w:val="center" w:pos="4680"/>
              </w:tabs>
              <w:suppressAutoHyphens/>
              <w:rPr>
                <w:spacing w:val="-2"/>
              </w:rPr>
            </w:pPr>
          </w:p>
          <w:p w:rsidR="007F584B" w:rsidP="007F584B" w14:paraId="7AD158B0" w14:textId="77777777">
            <w:pPr>
              <w:widowControl/>
              <w:tabs>
                <w:tab w:val="center" w:pos="4680"/>
              </w:tabs>
              <w:suppressAutoHyphens/>
              <w:rPr>
                <w:snapToGrid/>
                <w:spacing w:val="-2"/>
              </w:rPr>
            </w:pPr>
            <w:r>
              <w:rPr>
                <w:spacing w:val="-2"/>
              </w:rPr>
              <w:t>Implementation of Sections 716 and 717 of the Communications Act of 1934, as Enacted by the Twenty-First Century Communications and Video Accessibility Act of 2010</w:t>
            </w:r>
          </w:p>
          <w:p w:rsidR="007F584B" w:rsidP="007F584B" w14:paraId="4C444362" w14:textId="77777777">
            <w:pPr>
              <w:widowControl/>
              <w:tabs>
                <w:tab w:val="center" w:pos="4680"/>
              </w:tabs>
              <w:suppressAutoHyphens/>
              <w:rPr>
                <w:snapToGrid/>
                <w:spacing w:val="-2"/>
              </w:rPr>
            </w:pPr>
          </w:p>
          <w:p w:rsidR="007F584B" w:rsidP="007F584B" w14:paraId="71D9F2B8" w14:textId="77777777">
            <w:pPr>
              <w:widowControl/>
              <w:tabs>
                <w:tab w:val="center" w:pos="4680"/>
              </w:tabs>
              <w:suppressAutoHyphens/>
              <w:rPr>
                <w:snapToGrid/>
                <w:spacing w:val="-2"/>
              </w:rPr>
            </w:pPr>
            <w:r>
              <w:rPr>
                <w:spacing w:val="-2"/>
              </w:rPr>
              <w:t xml:space="preserve">Coalition of E-Reader Manufacturers’ </w:t>
            </w:r>
          </w:p>
          <w:p w:rsidR="004C2EE3" w:rsidRPr="007115F7" w:rsidP="007F584B" w14:paraId="5141812B" w14:textId="77777777">
            <w:pPr>
              <w:tabs>
                <w:tab w:val="center" w:pos="4680"/>
              </w:tabs>
              <w:suppressAutoHyphens/>
              <w:rPr>
                <w:spacing w:val="-2"/>
              </w:rPr>
            </w:pPr>
            <w:r>
              <w:rPr>
                <w:spacing w:val="-2"/>
              </w:rPr>
              <w:t>Petition for Class Waiver of Sections 716 and 717 of the Communications Act and Part 14 of the Commission’s Rules Requiring Access to Advanced Communications Services (ACS) and Equipment by People with Disabilities</w:t>
            </w:r>
          </w:p>
        </w:tc>
        <w:tc>
          <w:tcPr>
            <w:tcW w:w="630" w:type="dxa"/>
          </w:tcPr>
          <w:p w:rsidR="004C2EE3" w:rsidRPr="007F584B" w14:paraId="59052011" w14:textId="77777777">
            <w:pPr>
              <w:tabs>
                <w:tab w:val="center" w:pos="4680"/>
              </w:tabs>
              <w:suppressAutoHyphens/>
              <w:rPr>
                <w:b/>
                <w:spacing w:val="-2"/>
              </w:rPr>
            </w:pPr>
            <w:r w:rsidRPr="007F584B">
              <w:rPr>
                <w:b/>
                <w:spacing w:val="-2"/>
              </w:rPr>
              <w:t>)</w:t>
            </w:r>
          </w:p>
          <w:p w:rsidR="004C2EE3" w:rsidRPr="007F584B" w14:paraId="34AC1706" w14:textId="77777777">
            <w:pPr>
              <w:tabs>
                <w:tab w:val="center" w:pos="4680"/>
              </w:tabs>
              <w:suppressAutoHyphens/>
              <w:rPr>
                <w:b/>
                <w:spacing w:val="-2"/>
              </w:rPr>
            </w:pPr>
            <w:r w:rsidRPr="007F584B">
              <w:rPr>
                <w:b/>
                <w:spacing w:val="-2"/>
              </w:rPr>
              <w:t>)</w:t>
            </w:r>
          </w:p>
          <w:p w:rsidR="004C2EE3" w:rsidRPr="007F584B" w14:paraId="48FC1BC5" w14:textId="77777777">
            <w:pPr>
              <w:tabs>
                <w:tab w:val="center" w:pos="4680"/>
              </w:tabs>
              <w:suppressAutoHyphens/>
              <w:rPr>
                <w:b/>
                <w:spacing w:val="-2"/>
              </w:rPr>
            </w:pPr>
            <w:r w:rsidRPr="007F584B">
              <w:rPr>
                <w:b/>
                <w:spacing w:val="-2"/>
              </w:rPr>
              <w:t>)</w:t>
            </w:r>
          </w:p>
          <w:p w:rsidR="004C2EE3" w:rsidRPr="007F584B" w14:paraId="0AC21F33" w14:textId="77777777">
            <w:pPr>
              <w:tabs>
                <w:tab w:val="center" w:pos="4680"/>
              </w:tabs>
              <w:suppressAutoHyphens/>
              <w:rPr>
                <w:b/>
                <w:spacing w:val="-2"/>
              </w:rPr>
            </w:pPr>
            <w:r w:rsidRPr="007F584B">
              <w:rPr>
                <w:b/>
                <w:spacing w:val="-2"/>
              </w:rPr>
              <w:t>)</w:t>
            </w:r>
          </w:p>
          <w:p w:rsidR="004C2EE3" w:rsidRPr="007F584B" w14:paraId="543397B5" w14:textId="77777777">
            <w:pPr>
              <w:tabs>
                <w:tab w:val="center" w:pos="4680"/>
              </w:tabs>
              <w:suppressAutoHyphens/>
              <w:rPr>
                <w:b/>
                <w:spacing w:val="-2"/>
              </w:rPr>
            </w:pPr>
            <w:r w:rsidRPr="007F584B">
              <w:rPr>
                <w:b/>
                <w:spacing w:val="-2"/>
              </w:rPr>
              <w:t>)</w:t>
            </w:r>
          </w:p>
          <w:p w:rsidR="004C2EE3" w:rsidRPr="007F584B" w14:paraId="5A4FCCB9" w14:textId="77777777">
            <w:pPr>
              <w:tabs>
                <w:tab w:val="center" w:pos="4680"/>
              </w:tabs>
              <w:suppressAutoHyphens/>
              <w:rPr>
                <w:b/>
                <w:spacing w:val="-2"/>
              </w:rPr>
            </w:pPr>
            <w:r w:rsidRPr="007F584B">
              <w:rPr>
                <w:b/>
                <w:spacing w:val="-2"/>
              </w:rPr>
              <w:t>)</w:t>
            </w:r>
          </w:p>
          <w:p w:rsidR="004C2EE3" w:rsidRPr="007F584B" w14:paraId="426DCA78" w14:textId="77777777">
            <w:pPr>
              <w:tabs>
                <w:tab w:val="center" w:pos="4680"/>
              </w:tabs>
              <w:suppressAutoHyphens/>
              <w:rPr>
                <w:b/>
                <w:spacing w:val="-2"/>
              </w:rPr>
            </w:pPr>
            <w:r w:rsidRPr="007F584B">
              <w:rPr>
                <w:b/>
                <w:spacing w:val="-2"/>
              </w:rPr>
              <w:t>)</w:t>
            </w:r>
          </w:p>
          <w:p w:rsidR="004C2EE3" w:rsidRPr="007F584B" w14:paraId="08FD41B4" w14:textId="77777777">
            <w:pPr>
              <w:tabs>
                <w:tab w:val="center" w:pos="4680"/>
              </w:tabs>
              <w:suppressAutoHyphens/>
              <w:rPr>
                <w:b/>
                <w:spacing w:val="-2"/>
              </w:rPr>
            </w:pPr>
            <w:r w:rsidRPr="007F584B">
              <w:rPr>
                <w:b/>
                <w:spacing w:val="-2"/>
              </w:rPr>
              <w:t>)</w:t>
            </w:r>
          </w:p>
          <w:p w:rsidR="004C2EE3" w:rsidRPr="007F584B" w14:paraId="76CE3D47" w14:textId="77777777">
            <w:pPr>
              <w:tabs>
                <w:tab w:val="center" w:pos="4680"/>
              </w:tabs>
              <w:suppressAutoHyphens/>
              <w:rPr>
                <w:b/>
                <w:spacing w:val="-2"/>
              </w:rPr>
            </w:pPr>
            <w:r w:rsidRPr="007F584B">
              <w:rPr>
                <w:b/>
                <w:spacing w:val="-2"/>
              </w:rPr>
              <w:t>)</w:t>
            </w:r>
          </w:p>
          <w:p w:rsidR="007F584B" w:rsidRPr="007F584B" w14:paraId="6111B10C" w14:textId="77777777">
            <w:pPr>
              <w:tabs>
                <w:tab w:val="center" w:pos="4680"/>
              </w:tabs>
              <w:suppressAutoHyphens/>
              <w:rPr>
                <w:b/>
                <w:spacing w:val="-2"/>
              </w:rPr>
            </w:pPr>
            <w:r w:rsidRPr="007F584B">
              <w:rPr>
                <w:b/>
                <w:spacing w:val="-2"/>
              </w:rPr>
              <w:t>)</w:t>
            </w:r>
          </w:p>
          <w:p w:rsidR="007F584B" w:rsidRPr="007F584B" w14:paraId="7EC1F4B2" w14:textId="77777777">
            <w:pPr>
              <w:tabs>
                <w:tab w:val="center" w:pos="4680"/>
              </w:tabs>
              <w:suppressAutoHyphens/>
              <w:rPr>
                <w:b/>
                <w:spacing w:val="-2"/>
              </w:rPr>
            </w:pPr>
            <w:r w:rsidRPr="007F584B">
              <w:rPr>
                <w:b/>
                <w:spacing w:val="-2"/>
              </w:rPr>
              <w:t>)</w:t>
            </w:r>
          </w:p>
          <w:p w:rsidR="007F584B" w:rsidRPr="007F584B" w14:paraId="71D53A9C" w14:textId="77777777">
            <w:pPr>
              <w:tabs>
                <w:tab w:val="center" w:pos="4680"/>
              </w:tabs>
              <w:suppressAutoHyphens/>
              <w:rPr>
                <w:b/>
                <w:spacing w:val="-2"/>
              </w:rPr>
            </w:pPr>
            <w:r w:rsidRPr="007F584B">
              <w:rPr>
                <w:b/>
                <w:spacing w:val="-2"/>
              </w:rPr>
              <w:t>)</w:t>
            </w:r>
          </w:p>
          <w:p w:rsidR="007F584B" w:rsidRPr="007F584B" w14:paraId="1C366CE2" w14:textId="77777777">
            <w:pPr>
              <w:tabs>
                <w:tab w:val="center" w:pos="4680"/>
              </w:tabs>
              <w:suppressAutoHyphens/>
              <w:rPr>
                <w:b/>
                <w:spacing w:val="-2"/>
              </w:rPr>
            </w:pPr>
            <w:r w:rsidRPr="007F584B">
              <w:rPr>
                <w:b/>
                <w:spacing w:val="-2"/>
              </w:rPr>
              <w:t>)</w:t>
            </w:r>
          </w:p>
        </w:tc>
        <w:tc>
          <w:tcPr>
            <w:tcW w:w="4248" w:type="dxa"/>
          </w:tcPr>
          <w:p w:rsidR="004C2EE3" w14:paraId="6EFBD777" w14:textId="77777777">
            <w:pPr>
              <w:tabs>
                <w:tab w:val="center" w:pos="4680"/>
              </w:tabs>
              <w:suppressAutoHyphens/>
              <w:rPr>
                <w:spacing w:val="-2"/>
              </w:rPr>
            </w:pPr>
          </w:p>
          <w:p w:rsidR="004C2EE3" w14:paraId="4E85E75E" w14:textId="77777777">
            <w:pPr>
              <w:pStyle w:val="TOAHeading"/>
              <w:tabs>
                <w:tab w:val="center" w:pos="4680"/>
                <w:tab w:val="clear" w:pos="9360"/>
              </w:tabs>
              <w:rPr>
                <w:spacing w:val="-2"/>
              </w:rPr>
            </w:pPr>
          </w:p>
          <w:p w:rsidR="004C2EE3" w14:paraId="0209D3CC" w14:textId="77777777">
            <w:pPr>
              <w:tabs>
                <w:tab w:val="center" w:pos="4680"/>
              </w:tabs>
              <w:suppressAutoHyphens/>
              <w:rPr>
                <w:spacing w:val="-2"/>
              </w:rPr>
            </w:pPr>
            <w:r>
              <w:rPr>
                <w:spacing w:val="-2"/>
              </w:rPr>
              <w:t>CG Docket No. 10-213</w:t>
            </w:r>
          </w:p>
        </w:tc>
      </w:tr>
    </w:tbl>
    <w:p w:rsidR="007F584B" w:rsidRPr="007115F7" w:rsidP="007F584B" w14:paraId="2F999105" w14:textId="77777777">
      <w:pPr>
        <w:tabs>
          <w:tab w:val="center" w:pos="4680"/>
        </w:tabs>
        <w:suppressAutoHyphens/>
        <w:rPr>
          <w:spacing w:val="-2"/>
        </w:rPr>
      </w:pPr>
    </w:p>
    <w:p w:rsidR="004C2EE3" w:rsidP="0070224F" w14:paraId="315D2E15" w14:textId="77777777"/>
    <w:p w:rsidR="00841AB1" w:rsidP="00F021FA" w14:paraId="5EBD971F" w14:textId="77777777">
      <w:pPr>
        <w:pStyle w:val="StyleBoldCentered"/>
      </w:pPr>
      <w:r>
        <w:t>ORDER</w:t>
      </w:r>
    </w:p>
    <w:p w:rsidR="004C2EE3" w14:paraId="2A5B62A5" w14:textId="77777777">
      <w:pPr>
        <w:tabs>
          <w:tab w:val="left" w:pos="-720"/>
        </w:tabs>
        <w:suppressAutoHyphens/>
        <w:spacing w:line="227" w:lineRule="auto"/>
        <w:rPr>
          <w:spacing w:val="-2"/>
        </w:rPr>
      </w:pPr>
    </w:p>
    <w:p w:rsidR="004C2EE3" w:rsidP="00133F79" w14:paraId="0EE41A61" w14:textId="5ADFF67B">
      <w:pPr>
        <w:tabs>
          <w:tab w:val="left" w:pos="720"/>
          <w:tab w:val="right" w:pos="9360"/>
        </w:tabs>
        <w:suppressAutoHyphens/>
        <w:spacing w:line="227" w:lineRule="auto"/>
        <w:rPr>
          <w:spacing w:val="-2"/>
        </w:rPr>
      </w:pPr>
      <w:r>
        <w:rPr>
          <w:b/>
          <w:spacing w:val="-2"/>
        </w:rPr>
        <w:t xml:space="preserve">Adopted:  </w:t>
      </w:r>
      <w:r w:rsidR="002D2B75">
        <w:rPr>
          <w:b/>
          <w:spacing w:val="-2"/>
        </w:rPr>
        <w:t xml:space="preserve">February </w:t>
      </w:r>
      <w:r w:rsidRPr="001D6A38" w:rsidR="00CA65BE">
        <w:rPr>
          <w:b/>
          <w:spacing w:val="-2"/>
        </w:rPr>
        <w:t>07</w:t>
      </w:r>
      <w:r w:rsidRPr="001D6A38" w:rsidR="002D2B75">
        <w:rPr>
          <w:b/>
          <w:spacing w:val="-2"/>
        </w:rPr>
        <w:t>,</w:t>
      </w:r>
      <w:r w:rsidR="002D2B75">
        <w:rPr>
          <w:b/>
          <w:spacing w:val="-2"/>
        </w:rPr>
        <w:t xml:space="preserve">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D2B75">
        <w:rPr>
          <w:b/>
          <w:spacing w:val="-2"/>
        </w:rPr>
        <w:t xml:space="preserve">February </w:t>
      </w:r>
      <w:r w:rsidRPr="001D6A38" w:rsidR="001D6A38">
        <w:rPr>
          <w:b/>
          <w:spacing w:val="-2"/>
        </w:rPr>
        <w:t>07</w:t>
      </w:r>
      <w:r w:rsidR="002D2B75">
        <w:rPr>
          <w:b/>
          <w:spacing w:val="-2"/>
        </w:rPr>
        <w:t>, 2019</w:t>
      </w:r>
    </w:p>
    <w:p w:rsidR="00822CE0" w14:paraId="5FD4A4D2" w14:textId="77777777"/>
    <w:p w:rsidR="004C2EE3" w14:paraId="7BC40538" w14:textId="77777777">
      <w:pPr>
        <w:rPr>
          <w:spacing w:val="-2"/>
        </w:rPr>
      </w:pPr>
      <w:r>
        <w:t xml:space="preserve">By </w:t>
      </w:r>
      <w:r w:rsidR="004E4A22">
        <w:t>the</w:t>
      </w:r>
      <w:r w:rsidR="002A2D2E">
        <w:t xml:space="preserve"> </w:t>
      </w:r>
      <w:r w:rsidR="002D2B75">
        <w:rPr>
          <w:spacing w:val="-2"/>
        </w:rPr>
        <w:t>Chief, Consumer and Governmental Affairs Bureau</w:t>
      </w:r>
      <w:r>
        <w:rPr>
          <w:spacing w:val="-2"/>
        </w:rPr>
        <w:t>:</w:t>
      </w:r>
    </w:p>
    <w:p w:rsidR="00822CE0" w14:paraId="2A093BFE" w14:textId="77777777">
      <w:pPr>
        <w:rPr>
          <w:spacing w:val="-2"/>
        </w:rPr>
      </w:pPr>
    </w:p>
    <w:p w:rsidR="002D2B75" w:rsidP="00547B01" w14:paraId="3F4F427C" w14:textId="77777777">
      <w:pPr>
        <w:pStyle w:val="ParaNum"/>
        <w:numPr>
          <w:ilvl w:val="0"/>
          <w:numId w:val="7"/>
        </w:numPr>
        <w:tabs>
          <w:tab w:val="clear" w:pos="1080"/>
          <w:tab w:val="num" w:pos="1440"/>
        </w:tabs>
      </w:pPr>
      <w:r>
        <w:t xml:space="preserve">In this Order, the Consumer and Governmental Affairs Bureau (CGB or Bureau) of the Federal Communications Commission (FCC or Commission) grants </w:t>
      </w:r>
      <w:r w:rsidR="00B13F6E">
        <w:t>the Motion for Extension of Time filed on behalf of the Coalition of E-Reader Manufacture</w:t>
      </w:r>
      <w:r w:rsidR="00BD16B6">
        <w:t>r</w:t>
      </w:r>
      <w:r w:rsidR="00B13F6E">
        <w:t>s (the Coalition).</w:t>
      </w:r>
      <w:r>
        <w:rPr>
          <w:rStyle w:val="FootnoteReference"/>
        </w:rPr>
        <w:footnoteReference w:id="3"/>
      </w:r>
    </w:p>
    <w:p w:rsidR="000349FD" w:rsidP="00647E77" w14:paraId="68264F6D" w14:textId="77777777">
      <w:pPr>
        <w:pStyle w:val="ParaNum"/>
        <w:keepNext/>
        <w:widowControl/>
        <w:numPr>
          <w:ilvl w:val="0"/>
          <w:numId w:val="7"/>
        </w:numPr>
        <w:tabs>
          <w:tab w:val="clear" w:pos="1080"/>
          <w:tab w:val="num" w:pos="1440"/>
        </w:tabs>
      </w:pPr>
      <w:r w:rsidRPr="00884524">
        <w:t xml:space="preserve">Section 716 of the </w:t>
      </w:r>
      <w:r>
        <w:t xml:space="preserve">Communications </w:t>
      </w:r>
      <w:r w:rsidRPr="00884524">
        <w:t xml:space="preserve">Act, as </w:t>
      </w:r>
      <w:r>
        <w:t>amended</w:t>
      </w:r>
      <w:r w:rsidRPr="00884524">
        <w:t xml:space="preserve">, requires that providers of </w:t>
      </w:r>
      <w:r>
        <w:t>advanced communications</w:t>
      </w:r>
      <w:r w:rsidR="00250C5E">
        <w:t xml:space="preserve"> services (</w:t>
      </w:r>
      <w:r w:rsidRPr="00884524">
        <w:t>ACS</w:t>
      </w:r>
      <w:r w:rsidR="00250C5E">
        <w:t>)</w:t>
      </w:r>
      <w:r w:rsidRPr="00884524">
        <w:t xml:space="preserve"> and manufacturers of equipment used for ACS make their services and products accessible to individuals with disabilities, unless </w:t>
      </w:r>
      <w:r w:rsidR="00250C5E">
        <w:t xml:space="preserve">doing so is </w:t>
      </w:r>
      <w:r w:rsidRPr="00884524">
        <w:t>not achievable.</w:t>
      </w:r>
      <w:r>
        <w:rPr>
          <w:vertAlign w:val="superscript"/>
        </w:rPr>
        <w:footnoteReference w:id="4"/>
      </w:r>
      <w:r w:rsidRPr="00884524">
        <w:t xml:space="preserve">  </w:t>
      </w:r>
      <w:r w:rsidR="00250C5E">
        <w:t>The Commission may grant waivers of the ACS requirements for multipurpose equipment or services or classes of multipurpose equipment or services that are capable of accessing ACS but are nonetheless designed primarily for purposes other than use of ACS.</w:t>
      </w:r>
      <w:r>
        <w:rPr>
          <w:rStyle w:val="FootnoteReference"/>
        </w:rPr>
        <w:footnoteReference w:id="5"/>
      </w:r>
      <w:r w:rsidR="00250C5E">
        <w:t xml:space="preserve">  </w:t>
      </w:r>
      <w:r w:rsidRPr="000B1C01" w:rsidR="000B1C01">
        <w:t xml:space="preserve">On January 28, 2014, the Bureau granted a </w:t>
      </w:r>
      <w:r w:rsidR="004F4AD4">
        <w:t xml:space="preserve">one-year </w:t>
      </w:r>
      <w:r w:rsidRPr="000B1C01" w:rsidR="000B1C01">
        <w:t xml:space="preserve">waiver of the </w:t>
      </w:r>
      <w:r w:rsidRPr="00940C27" w:rsidR="000B1C01">
        <w:t>Commission’s ACS accessibility rules</w:t>
      </w:r>
      <w:r w:rsidR="000B1C01">
        <w:t xml:space="preserve"> </w:t>
      </w:r>
      <w:r w:rsidRPr="000B1C01" w:rsidR="000B1C01">
        <w:t xml:space="preserve">for a defined class of basic e-readers </w:t>
      </w:r>
      <w:r w:rsidR="004F4AD4">
        <w:t xml:space="preserve">that are </w:t>
      </w:r>
      <w:r w:rsidRPr="00940C27" w:rsidR="004F4AD4">
        <w:t xml:space="preserve">capable </w:t>
      </w:r>
      <w:r w:rsidRPr="00940C27" w:rsidR="004F4AD4">
        <w:t>of accessing ACS,</w:t>
      </w:r>
      <w:r w:rsidR="004F4AD4">
        <w:t xml:space="preserve"> but are </w:t>
      </w:r>
      <w:r w:rsidRPr="00940C27" w:rsidR="004F4AD4">
        <w:t>designed primarily for reading text-based digital works</w:t>
      </w:r>
      <w:r w:rsidRPr="000B1C01" w:rsidR="004F4AD4">
        <w:t xml:space="preserve"> </w:t>
      </w:r>
      <w:r w:rsidRPr="000B1C01" w:rsidR="000B1C01">
        <w:t>that the Bureau determined were not designed primarily or co-primarily for ACS.</w:t>
      </w:r>
      <w:r>
        <w:rPr>
          <w:vertAlign w:val="superscript"/>
        </w:rPr>
        <w:footnoteReference w:id="6"/>
      </w:r>
      <w:r w:rsidRPr="000B1C01" w:rsidR="000B1C01">
        <w:t xml:space="preserve">  </w:t>
      </w:r>
      <w:r w:rsidR="004F4AD4">
        <w:t xml:space="preserve">In </w:t>
      </w:r>
      <w:r w:rsidR="000B1C01">
        <w:t>2015, the Bureau extended the waiver for one more year.</w:t>
      </w:r>
      <w:r>
        <w:rPr>
          <w:rStyle w:val="FootnoteReference"/>
        </w:rPr>
        <w:footnoteReference w:id="7"/>
      </w:r>
      <w:r w:rsidR="000B1C01">
        <w:t xml:space="preserve">  </w:t>
      </w:r>
      <w:r w:rsidR="00940C27">
        <w:t xml:space="preserve">In 2016, the Bureau granted an indefinite extension of the </w:t>
      </w:r>
      <w:r w:rsidRPr="00940C27" w:rsidR="00940C27">
        <w:t>waiver</w:t>
      </w:r>
      <w:r w:rsidR="00940C27">
        <w:t xml:space="preserve"> </w:t>
      </w:r>
      <w:r w:rsidR="004F4AD4">
        <w:t xml:space="preserve">for </w:t>
      </w:r>
      <w:r w:rsidR="000B1C01">
        <w:t>this</w:t>
      </w:r>
      <w:r w:rsidR="00940C27">
        <w:t xml:space="preserve"> </w:t>
      </w:r>
      <w:r w:rsidRPr="00940C27" w:rsidR="00940C27">
        <w:t xml:space="preserve">class of </w:t>
      </w:r>
      <w:r w:rsidR="008F15B3">
        <w:t xml:space="preserve">basic </w:t>
      </w:r>
      <w:r w:rsidRPr="00940C27" w:rsidR="00940C27">
        <w:t>e-readers</w:t>
      </w:r>
      <w:r w:rsidR="008F15B3">
        <w:t>.</w:t>
      </w:r>
      <w:r>
        <w:rPr>
          <w:rStyle w:val="FootnoteReference"/>
        </w:rPr>
        <w:footnoteReference w:id="8"/>
      </w:r>
      <w:r w:rsidRPr="00940C27" w:rsidR="00940C27">
        <w:t xml:space="preserve"> </w:t>
      </w:r>
      <w:r w:rsidR="008F15B3">
        <w:t xml:space="preserve"> </w:t>
      </w:r>
    </w:p>
    <w:p w:rsidR="000349FD" w:rsidP="00647E77" w14:paraId="090DD74E" w14:textId="306D3210">
      <w:pPr>
        <w:pStyle w:val="ParaNum"/>
        <w:keepNext/>
        <w:widowControl/>
        <w:numPr>
          <w:ilvl w:val="0"/>
          <w:numId w:val="7"/>
        </w:numPr>
        <w:tabs>
          <w:tab w:val="clear" w:pos="1080"/>
          <w:tab w:val="num" w:pos="1440"/>
        </w:tabs>
      </w:pPr>
      <w:r>
        <w:t xml:space="preserve">In the </w:t>
      </w:r>
      <w:r w:rsidRPr="000349FD">
        <w:rPr>
          <w:i/>
        </w:rPr>
        <w:t>2016 E-Reader Waiver Order</w:t>
      </w:r>
      <w:r>
        <w:t>, t</w:t>
      </w:r>
      <w:r w:rsidR="008F15B3">
        <w:t>he Bureau</w:t>
      </w:r>
      <w:r w:rsidR="00C6530A">
        <w:t xml:space="preserve"> also</w:t>
      </w:r>
      <w:r w:rsidR="008F15B3">
        <w:t xml:space="preserve"> </w:t>
      </w:r>
      <w:r w:rsidR="003F6990">
        <w:t xml:space="preserve">required </w:t>
      </w:r>
      <w:r w:rsidR="00EF5312">
        <w:t xml:space="preserve">the Coalition to submit a report three years after the release of </w:t>
      </w:r>
      <w:r>
        <w:t xml:space="preserve">the order </w:t>
      </w:r>
      <w:r w:rsidR="00EF5312">
        <w:t xml:space="preserve">(or by February 1, 2019) </w:t>
      </w:r>
      <w:r w:rsidRPr="00EF5312" w:rsidR="00EF5312">
        <w:t>on</w:t>
      </w:r>
      <w:r w:rsidR="002F1771">
        <w:t>, among other things,</w:t>
      </w:r>
      <w:r w:rsidRPr="00EF5312" w:rsidR="00EF5312">
        <w:t xml:space="preserve"> the design, </w:t>
      </w:r>
      <w:r w:rsidR="002F1771">
        <w:t xml:space="preserve">technological development, </w:t>
      </w:r>
      <w:r w:rsidRPr="00EF5312" w:rsidR="00EF5312">
        <w:t xml:space="preserve">marketing, and </w:t>
      </w:r>
      <w:r w:rsidR="002F1771">
        <w:t xml:space="preserve">consumer </w:t>
      </w:r>
      <w:r w:rsidRPr="00EF5312" w:rsidR="00EF5312">
        <w:t xml:space="preserve">use </w:t>
      </w:r>
      <w:r w:rsidR="002F1771">
        <w:t xml:space="preserve">trends </w:t>
      </w:r>
      <w:r w:rsidRPr="00EF5312" w:rsidR="00EF5312">
        <w:t>of</w:t>
      </w:r>
      <w:r w:rsidR="00EF5312">
        <w:t xml:space="preserve"> </w:t>
      </w:r>
      <w:r w:rsidRPr="00EF5312" w:rsidR="00EF5312">
        <w:t>basic e-readers.</w:t>
      </w:r>
      <w:r>
        <w:rPr>
          <w:rStyle w:val="FootnoteReference"/>
        </w:rPr>
        <w:footnoteReference w:id="9"/>
      </w:r>
      <w:r w:rsidRPr="002F1771" w:rsidR="002F1771">
        <w:t xml:space="preserve"> </w:t>
      </w:r>
      <w:r w:rsidR="002F1771">
        <w:t xml:space="preserve"> The report </w:t>
      </w:r>
      <w:r>
        <w:t xml:space="preserve">requirement is intended to </w:t>
      </w:r>
      <w:r w:rsidR="002F1771">
        <w:t xml:space="preserve">assist </w:t>
      </w:r>
      <w:r w:rsidRPr="002F1771" w:rsidR="002F1771">
        <w:t>the Bureau to determine whether conditions have changed such that ACS has become a primary or co-primary purpose of basic e-readers and whether the Bureau should re-open this proceeding to make any appropriate adjustments to the waiver or, if warranted, terminate the waiver</w:t>
      </w:r>
      <w:r w:rsidR="002F1771">
        <w:t>.</w:t>
      </w:r>
      <w:r>
        <w:rPr>
          <w:rStyle w:val="FootnoteReference"/>
        </w:rPr>
        <w:footnoteReference w:id="10"/>
      </w:r>
    </w:p>
    <w:p w:rsidR="00327911" w:rsidRPr="00327911" w:rsidP="00647E77" w14:paraId="7B3903EE" w14:textId="1E85AB6B">
      <w:pPr>
        <w:pStyle w:val="ParaNum"/>
        <w:keepNext/>
        <w:widowControl/>
        <w:numPr>
          <w:ilvl w:val="0"/>
          <w:numId w:val="7"/>
        </w:numPr>
        <w:tabs>
          <w:tab w:val="clear" w:pos="1080"/>
          <w:tab w:val="num" w:pos="1440"/>
        </w:tabs>
      </w:pPr>
      <w:r w:rsidRPr="00327911">
        <w:t>Section 1.46 of the Commission’s rules provides that “[i]t is the policy of the</w:t>
      </w:r>
      <w:r w:rsidR="00736466">
        <w:t xml:space="preserve"> </w:t>
      </w:r>
      <w:r w:rsidRPr="00327911">
        <w:t>Commission that extensions of time are not routinely granted.”</w:t>
      </w:r>
      <w:r>
        <w:rPr>
          <w:rStyle w:val="FootnoteReference"/>
        </w:rPr>
        <w:footnoteReference w:id="11"/>
      </w:r>
      <w:r w:rsidRPr="00327911">
        <w:t xml:space="preserve"> </w:t>
      </w:r>
      <w:r w:rsidR="00736466">
        <w:t xml:space="preserve"> </w:t>
      </w:r>
      <w:r w:rsidR="007745A6">
        <w:t>Further, it is the responsibility of persons subject to the Commission’s rules to familiarize themselves with those regulations and to ensure that required filings and reports are submitted by applicable deadlines.</w:t>
      </w:r>
      <w:r>
        <w:rPr>
          <w:rStyle w:val="FootnoteReference"/>
        </w:rPr>
        <w:footnoteReference w:id="12"/>
      </w:r>
      <w:r w:rsidR="007745A6">
        <w:t xml:space="preserve">  In this instance, however, w</w:t>
      </w:r>
      <w:r w:rsidRPr="00327911">
        <w:t xml:space="preserve">e find that </w:t>
      </w:r>
      <w:r w:rsidR="00F166F0">
        <w:t>extending</w:t>
      </w:r>
      <w:r w:rsidRPr="00327911">
        <w:t xml:space="preserve"> the deadline </w:t>
      </w:r>
      <w:r w:rsidR="00736466">
        <w:t xml:space="preserve">as requested, </w:t>
      </w:r>
      <w:r w:rsidRPr="00327911">
        <w:t xml:space="preserve">until </w:t>
      </w:r>
      <w:r w:rsidR="00736466">
        <w:t>March 5, 2019</w:t>
      </w:r>
      <w:r w:rsidR="00F166F0">
        <w:t>,</w:t>
      </w:r>
      <w:r>
        <w:rPr>
          <w:rStyle w:val="FootnoteReference"/>
        </w:rPr>
        <w:footnoteReference w:id="13"/>
      </w:r>
      <w:r w:rsidRPr="00327911">
        <w:t xml:space="preserve"> will</w:t>
      </w:r>
      <w:r w:rsidR="00736466">
        <w:t xml:space="preserve"> provide the Coalition with the </w:t>
      </w:r>
      <w:r w:rsidRPr="00736466" w:rsidR="00736466">
        <w:t xml:space="preserve">additional time </w:t>
      </w:r>
      <w:r w:rsidR="00736466">
        <w:t xml:space="preserve">it needs </w:t>
      </w:r>
      <w:r w:rsidR="00442F8D">
        <w:t xml:space="preserve">and has requested </w:t>
      </w:r>
      <w:r w:rsidRPr="00736466" w:rsidR="00736466">
        <w:t>to gather the information required for the report</w:t>
      </w:r>
      <w:r w:rsidR="00442F8D">
        <w:t xml:space="preserve">, which will </w:t>
      </w:r>
      <w:r w:rsidRPr="00736466" w:rsidR="00736466">
        <w:t>best assist the Bureau</w:t>
      </w:r>
      <w:r w:rsidR="00736466">
        <w:t xml:space="preserve"> in making its determination</w:t>
      </w:r>
      <w:r w:rsidR="00442F8D">
        <w:t>,</w:t>
      </w:r>
      <w:r w:rsidR="00736466">
        <w:t xml:space="preserve"> and </w:t>
      </w:r>
      <w:r w:rsidR="00442F8D">
        <w:t xml:space="preserve">will </w:t>
      </w:r>
      <w:r w:rsidR="00736466">
        <w:t xml:space="preserve">ensure </w:t>
      </w:r>
      <w:r w:rsidR="00442F8D">
        <w:t xml:space="preserve">the </w:t>
      </w:r>
      <w:r w:rsidR="00736466">
        <w:t>development of a complete record</w:t>
      </w:r>
      <w:r w:rsidR="00442F8D">
        <w:t xml:space="preserve">, which will </w:t>
      </w:r>
      <w:r w:rsidR="00736466">
        <w:t>serve the public interest.</w:t>
      </w:r>
      <w:r>
        <w:rPr>
          <w:rStyle w:val="FootnoteReference"/>
        </w:rPr>
        <w:footnoteReference w:id="14"/>
      </w:r>
      <w:r w:rsidR="00736466">
        <w:t xml:space="preserve">  </w:t>
      </w:r>
    </w:p>
    <w:p w:rsidR="00327911" w:rsidP="00680A5F" w14:paraId="5558A8F0" w14:textId="31AC1BE0">
      <w:pPr>
        <w:pStyle w:val="ParaNum"/>
        <w:keepNext/>
        <w:widowControl/>
        <w:tabs>
          <w:tab w:val="clear" w:pos="1080"/>
          <w:tab w:val="num" w:pos="1440"/>
        </w:tabs>
      </w:pPr>
      <w:r w:rsidRPr="00327911">
        <w:t xml:space="preserve">Accordingly, IT IS ORDERED, pursuant to section 1.46 of the Commission’s rules, 47 CFR § 1.46, that </w:t>
      </w:r>
      <w:r w:rsidR="00F166F0">
        <w:t>the Coalition’</w:t>
      </w:r>
      <w:r w:rsidRPr="00327911">
        <w:t>s Motion for Extension of</w:t>
      </w:r>
      <w:r w:rsidR="00F166F0">
        <w:t xml:space="preserve"> </w:t>
      </w:r>
      <w:r w:rsidRPr="00327911">
        <w:t xml:space="preserve">Time filed on </w:t>
      </w:r>
      <w:r w:rsidR="00F166F0">
        <w:t xml:space="preserve">February 1, 2019, </w:t>
      </w:r>
      <w:r w:rsidRPr="00327911">
        <w:t xml:space="preserve">IS GRANTED, and the deadline for filing the </w:t>
      </w:r>
      <w:r w:rsidR="00F166F0">
        <w:t xml:space="preserve">required report </w:t>
      </w:r>
      <w:r w:rsidRPr="00327911">
        <w:t>is extended until</w:t>
      </w:r>
      <w:r w:rsidR="00F166F0">
        <w:t xml:space="preserve"> March 5, 2019</w:t>
      </w:r>
      <w:r w:rsidRPr="00327911">
        <w:t>.</w:t>
      </w:r>
    </w:p>
    <w:p w:rsidR="00442F8D" w:rsidP="00647E77" w14:paraId="4555D32F" w14:textId="77777777">
      <w:pPr>
        <w:pStyle w:val="ParaNum"/>
        <w:tabs>
          <w:tab w:val="clear" w:pos="1080"/>
          <w:tab w:val="num" w:pos="1440"/>
        </w:tabs>
      </w:pPr>
      <w:r w:rsidRPr="00442F8D">
        <w:t>IT IS FURTHER ORDERED, that this Order SHALL BE EFFECTIVE upon release.</w:t>
      </w:r>
    </w:p>
    <w:p w:rsidR="00F166F0" w:rsidRPr="00F166F0" w:rsidP="00647E77" w14:paraId="08937D4E" w14:textId="77777777">
      <w:pPr>
        <w:pStyle w:val="ParaNum"/>
        <w:tabs>
          <w:tab w:val="clear" w:pos="1080"/>
          <w:tab w:val="num" w:pos="1440"/>
        </w:tabs>
      </w:pPr>
      <w:r w:rsidRPr="00F166F0">
        <w:t>To request materials in accessible formats for people with disabilities (Braille, large print,</w:t>
      </w:r>
      <w:r w:rsidR="00647E77">
        <w:t xml:space="preserve"> </w:t>
      </w:r>
      <w:r w:rsidRPr="00F166F0">
        <w:t>electronic files, audio format), send an e-mail to fcc504@fcc.gov or call the Consumer and Governmental</w:t>
      </w:r>
      <w:r w:rsidR="00647E77">
        <w:t xml:space="preserve"> </w:t>
      </w:r>
      <w:r w:rsidRPr="00F166F0">
        <w:t>Affairs Bureau at 202-418-0530 (voice), 202-418-0432 (TTY).</w:t>
      </w:r>
    </w:p>
    <w:p w:rsidR="00F166F0" w:rsidRPr="00F166F0" w:rsidP="00647E77" w14:paraId="1D3ADAE7" w14:textId="77777777">
      <w:pPr>
        <w:pStyle w:val="ParaNum"/>
        <w:numPr>
          <w:ilvl w:val="0"/>
          <w:numId w:val="0"/>
        </w:numPr>
        <w:spacing w:after="0"/>
        <w:ind w:left="4680"/>
      </w:pPr>
      <w:r w:rsidRPr="00F166F0">
        <w:t>FEDERAL COMMUNICATIONS COMMISSION</w:t>
      </w:r>
    </w:p>
    <w:p w:rsidR="00647E77" w:rsidP="00647E77" w14:paraId="75EC80EB" w14:textId="77777777">
      <w:pPr>
        <w:pStyle w:val="ParaNum"/>
        <w:numPr>
          <w:ilvl w:val="0"/>
          <w:numId w:val="0"/>
        </w:numPr>
        <w:spacing w:after="0"/>
        <w:ind w:left="4680"/>
      </w:pPr>
    </w:p>
    <w:p w:rsidR="00647E77" w:rsidP="00647E77" w14:paraId="0D1AAFA2" w14:textId="77777777">
      <w:pPr>
        <w:pStyle w:val="ParaNum"/>
        <w:numPr>
          <w:ilvl w:val="0"/>
          <w:numId w:val="0"/>
        </w:numPr>
        <w:spacing w:after="0"/>
        <w:ind w:left="4680"/>
      </w:pPr>
    </w:p>
    <w:p w:rsidR="00647E77" w:rsidP="00647E77" w14:paraId="53D0A1DB" w14:textId="77777777">
      <w:pPr>
        <w:pStyle w:val="ParaNum"/>
        <w:numPr>
          <w:ilvl w:val="0"/>
          <w:numId w:val="0"/>
        </w:numPr>
        <w:spacing w:after="0"/>
        <w:ind w:left="4680"/>
      </w:pPr>
    </w:p>
    <w:p w:rsidR="00F166F0" w:rsidRPr="00F166F0" w:rsidP="00647E77" w14:paraId="05DE3DC2" w14:textId="77777777">
      <w:pPr>
        <w:pStyle w:val="ParaNum"/>
        <w:numPr>
          <w:ilvl w:val="0"/>
          <w:numId w:val="0"/>
        </w:numPr>
        <w:spacing w:after="0"/>
        <w:ind w:left="4680"/>
      </w:pPr>
      <w:r>
        <w:t>Patrick Webre</w:t>
      </w:r>
      <w:r w:rsidR="00442F8D">
        <w:t xml:space="preserve">, </w:t>
      </w:r>
      <w:r w:rsidRPr="00F166F0">
        <w:t>Chief</w:t>
      </w:r>
    </w:p>
    <w:p w:rsidR="00647E77" w:rsidP="00647E77" w14:paraId="39F3DDDF" w14:textId="77777777">
      <w:pPr>
        <w:pStyle w:val="ParaNum"/>
        <w:numPr>
          <w:ilvl w:val="0"/>
          <w:numId w:val="0"/>
        </w:numPr>
        <w:spacing w:after="0"/>
        <w:ind w:left="4680"/>
      </w:pPr>
      <w:r w:rsidRPr="00F166F0">
        <w:t>Consumer and Governmental Affairs Bureau</w:t>
      </w:r>
    </w:p>
    <w:p w:rsidR="002D2B75" w:rsidRPr="002D2B75" w:rsidP="00647E77" w14:paraId="5B9375CC" w14:textId="77777777">
      <w:pPr>
        <w:pStyle w:val="ParaNum"/>
        <w:numPr>
          <w:ilvl w:val="0"/>
          <w:numId w:val="0"/>
        </w:numPr>
      </w:pPr>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60E8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BC98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77F578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B4EEBB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DDE2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6AEF" w14:paraId="31CD24D0" w14:textId="77777777">
      <w:r>
        <w:separator/>
      </w:r>
    </w:p>
  </w:footnote>
  <w:footnote w:type="continuationSeparator" w:id="1">
    <w:p w:rsidR="00296AEF" w:rsidP="00C721AC" w14:paraId="69EDF393" w14:textId="77777777">
      <w:pPr>
        <w:spacing w:before="120"/>
        <w:rPr>
          <w:sz w:val="20"/>
        </w:rPr>
      </w:pPr>
      <w:r>
        <w:rPr>
          <w:sz w:val="20"/>
        </w:rPr>
        <w:t xml:space="preserve">(Continued from previous page)  </w:t>
      </w:r>
      <w:r>
        <w:rPr>
          <w:sz w:val="20"/>
        </w:rPr>
        <w:separator/>
      </w:r>
    </w:p>
  </w:footnote>
  <w:footnote w:type="continuationNotice" w:id="2">
    <w:p w:rsidR="00296AEF" w:rsidP="00C721AC" w14:paraId="4C25C461" w14:textId="77777777">
      <w:pPr>
        <w:jc w:val="right"/>
        <w:rPr>
          <w:sz w:val="20"/>
        </w:rPr>
      </w:pPr>
      <w:r>
        <w:rPr>
          <w:sz w:val="20"/>
        </w:rPr>
        <w:t>(continued….)</w:t>
      </w:r>
    </w:p>
  </w:footnote>
  <w:footnote w:id="3">
    <w:p w:rsidR="003425F1" w14:paraId="616E8666" w14:textId="77777777">
      <w:pPr>
        <w:pStyle w:val="FootnoteText"/>
      </w:pPr>
      <w:r>
        <w:rPr>
          <w:rStyle w:val="FootnoteReference"/>
        </w:rPr>
        <w:footnoteRef/>
      </w:r>
      <w:r>
        <w:t xml:space="preserve"> Motion for Extension of Time, CG Docket No. 10-213 (filed Feb. 1, 2019) (</w:t>
      </w:r>
      <w:r w:rsidR="002F1771">
        <w:t>Coalition Motion</w:t>
      </w:r>
      <w:r>
        <w:t xml:space="preserve">).  </w:t>
      </w:r>
      <w:r w:rsidRPr="003425F1">
        <w:t>The Coalition consists of Amazon.com, Inc., Kobo, Inc., and Sony Electronics Inc.</w:t>
      </w:r>
      <w:r>
        <w:t xml:space="preserve"> </w:t>
      </w:r>
    </w:p>
  </w:footnote>
  <w:footnote w:id="4">
    <w:p w:rsidR="00884524" w:rsidP="00884524" w14:paraId="6826EC2A" w14:textId="77777777">
      <w:pPr>
        <w:pStyle w:val="FootnoteText"/>
      </w:pPr>
      <w:r>
        <w:rPr>
          <w:rStyle w:val="FootnoteReference"/>
        </w:rPr>
        <w:footnoteRef/>
      </w:r>
      <w:r>
        <w:t xml:space="preserve"> 47 U.S.C. § 617</w:t>
      </w:r>
      <w:r w:rsidR="00250C5E">
        <w:t>(a)(1), (b)(1)</w:t>
      </w:r>
      <w:r>
        <w:t>.</w:t>
      </w:r>
      <w:r w:rsidRPr="00984E0E">
        <w:t xml:space="preserve"> </w:t>
      </w:r>
      <w:r>
        <w:t xml:space="preserve"> ACS is defined as interconnected voice over Internet protocol (VoIP) service; non-interconnected VoIP service; electronic message service, such as e-mail, instant messaging, and SMS text messaging; and interoperable video conferencing service.  </w:t>
      </w:r>
      <w:r>
        <w:rPr>
          <w:i/>
        </w:rPr>
        <w:t xml:space="preserve">Id. </w:t>
      </w:r>
      <w:r>
        <w:t>§ 153(1); 47 CFR § 14.10(c).</w:t>
      </w:r>
    </w:p>
  </w:footnote>
  <w:footnote w:id="5">
    <w:p w:rsidR="00250C5E" w:rsidRPr="008F56D7" w:rsidP="00250C5E" w14:paraId="383F03CA" w14:textId="77777777">
      <w:pPr>
        <w:pStyle w:val="FootnoteText"/>
      </w:pPr>
      <w:r>
        <w:rPr>
          <w:rStyle w:val="FootnoteReference"/>
        </w:rPr>
        <w:footnoteRef/>
      </w:r>
      <w:r>
        <w:t xml:space="preserve"> 47 U.S.C. § 617(h)(1); 47 CFR § 14.5; </w:t>
      </w:r>
      <w:r>
        <w:rPr>
          <w:i/>
        </w:rPr>
        <w:t>see also</w:t>
      </w:r>
      <w:r>
        <w:t xml:space="preserve"> </w:t>
      </w:r>
      <w:r w:rsidRPr="00250C5E">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250C5E">
        <w:t>, Report and Order and Further Notice of Proposed Rulemaking, 26 FCC Rcd 14557</w:t>
      </w:r>
      <w:r>
        <w:t>,</w:t>
      </w:r>
      <w:r w:rsidRPr="00250C5E">
        <w:t xml:space="preserve"> </w:t>
      </w:r>
      <w:r>
        <w:t>14634, para. 181</w:t>
      </w:r>
      <w:r w:rsidRPr="00250C5E">
        <w:t xml:space="preserve"> (2011) (</w:t>
      </w:r>
      <w:r w:rsidRPr="00250C5E">
        <w:rPr>
          <w:i/>
        </w:rPr>
        <w:t>ACS Report and Order</w:t>
      </w:r>
      <w:r w:rsidRPr="00250C5E">
        <w:t>)</w:t>
      </w:r>
      <w:r>
        <w:t xml:space="preserve">.  </w:t>
      </w:r>
      <w:r w:rsidRPr="004828AF" w:rsidR="003F6990">
        <w:rPr>
          <w:szCs w:val="22"/>
        </w:rPr>
        <w:t>In instances where equipment and services may have multiple primary or co-primary purposes, waivers may not be warranted</w:t>
      </w:r>
      <w:r w:rsidR="003F6990">
        <w:rPr>
          <w:szCs w:val="22"/>
        </w:rPr>
        <w:t>, depending on the circumstances</w:t>
      </w:r>
      <w:r w:rsidRPr="004828AF" w:rsidR="003F6990">
        <w:rPr>
          <w:szCs w:val="22"/>
        </w:rPr>
        <w:t>.</w:t>
      </w:r>
      <w:r w:rsidR="003F6990">
        <w:rPr>
          <w:szCs w:val="22"/>
        </w:rPr>
        <w:t xml:space="preserve">  </w:t>
      </w:r>
      <w:r w:rsidRPr="003F6990" w:rsidR="003F6990">
        <w:rPr>
          <w:i/>
          <w:szCs w:val="22"/>
        </w:rPr>
        <w:t>ACS Report and Order</w:t>
      </w:r>
      <w:r w:rsidRPr="003F6990" w:rsidR="003F6990">
        <w:rPr>
          <w:szCs w:val="22"/>
        </w:rPr>
        <w:t>, 26 FCC Rcd at 14635, para. 184</w:t>
      </w:r>
      <w:r w:rsidR="003F6990">
        <w:rPr>
          <w:szCs w:val="22"/>
        </w:rPr>
        <w:t>.</w:t>
      </w:r>
      <w:r w:rsidRPr="003F6990" w:rsidR="003F6990">
        <w:rPr>
          <w:szCs w:val="22"/>
        </w:rPr>
        <w:t xml:space="preserve"> </w:t>
      </w:r>
      <w:r w:rsidR="003F6990">
        <w:rPr>
          <w:szCs w:val="22"/>
        </w:rPr>
        <w:t xml:space="preserve"> </w:t>
      </w:r>
      <w:r>
        <w:t xml:space="preserve">The Commission delegated to CGB the authority to act upon all such waiver requests.  </w:t>
      </w:r>
      <w:r>
        <w:rPr>
          <w:i/>
        </w:rPr>
        <w:t>ACS Report and Order</w:t>
      </w:r>
      <w:r>
        <w:t>, 26 FCC Rcd at 14566, 14640-41, paras. 19, 197.</w:t>
      </w:r>
    </w:p>
  </w:footnote>
  <w:footnote w:id="6">
    <w:p w:rsidR="000B1C01" w:rsidRPr="009242CD" w:rsidP="000B1C01" w14:paraId="4B6341E1" w14:textId="77777777">
      <w:pPr>
        <w:pStyle w:val="FootnoteText"/>
      </w:pPr>
      <w:r>
        <w:rPr>
          <w:rStyle w:val="FootnoteReference"/>
        </w:rPr>
        <w:footnoteRef/>
      </w:r>
      <w:r>
        <w:t xml:space="preserve"> </w:t>
      </w:r>
      <w:r>
        <w:rPr>
          <w:i/>
        </w:rPr>
        <w:t>Implementation of Sections 716 and 717 of the Communications Act of 1934, as Enacted by the Twenty-First Century Communications and Video Accessibility Act of 2010; Coalition of E-Reader Manufacturers’ Petition for Class Waiver of Sections 716 and 717 of the Communications Act and Part 14 of the Commission’s Rules Requiring Access to Advanced Communications Services (ACS) and Equipment by People with Disabilities</w:t>
      </w:r>
      <w:r>
        <w:t xml:space="preserve">, Order, 29 FCC Rcd 674, </w:t>
      </w:r>
      <w:r w:rsidR="004F4AD4">
        <w:t xml:space="preserve">682-83, </w:t>
      </w:r>
      <w:r>
        <w:t xml:space="preserve">686, 691, paras. </w:t>
      </w:r>
      <w:r w:rsidR="004F4AD4">
        <w:t xml:space="preserve">15, </w:t>
      </w:r>
      <w:r>
        <w:t>18, 25 (CGB 2014) (</w:t>
      </w:r>
      <w:r w:rsidR="00C6530A">
        <w:rPr>
          <w:i/>
        </w:rPr>
        <w:t xml:space="preserve">2014 </w:t>
      </w:r>
      <w:r>
        <w:rPr>
          <w:i/>
        </w:rPr>
        <w:t>E-Reader Waiver Order</w:t>
      </w:r>
      <w:r>
        <w:t>).</w:t>
      </w:r>
    </w:p>
  </w:footnote>
  <w:footnote w:id="7">
    <w:p w:rsidR="000B1C01" w:rsidRPr="009242CD" w:rsidP="000B1C01" w14:paraId="39E336F8" w14:textId="77777777">
      <w:pPr>
        <w:pStyle w:val="FootnoteText"/>
      </w:pPr>
      <w:r>
        <w:rPr>
          <w:rStyle w:val="FootnoteReference"/>
        </w:rPr>
        <w:footnoteRef/>
      </w:r>
      <w:r>
        <w:t xml:space="preserve"> </w:t>
      </w:r>
      <w:r>
        <w:rPr>
          <w:i/>
        </w:rPr>
        <w:t>Implementation of Sections 716 and 717 of the Communications Act of 1934, as Enacted by the Twenty-First Century Communications and Video Accessibility Act of 2010; Coalition of E-Reader Manufacturers’ Petition for Class Waiver of Sections 716 and 717 of the Communications Act and Part 14 of the Commission’s Rules Requiring Access to Advanced Communications Services (ACS) and Equipment by People with Disabilities</w:t>
      </w:r>
      <w:r>
        <w:t>, Order, 30 FCC Rcd 396, 404, para. 18 (CGB 2015) (</w:t>
      </w:r>
      <w:r w:rsidR="00C6530A">
        <w:rPr>
          <w:i/>
        </w:rPr>
        <w:t xml:space="preserve">2015 </w:t>
      </w:r>
      <w:r>
        <w:rPr>
          <w:i/>
        </w:rPr>
        <w:t>E-Reader Waiver Order</w:t>
      </w:r>
      <w:r>
        <w:t>).</w:t>
      </w:r>
    </w:p>
  </w:footnote>
  <w:footnote w:id="8">
    <w:p w:rsidR="00940C27" w14:paraId="5CC0A6F4" w14:textId="77777777">
      <w:pPr>
        <w:pStyle w:val="FootnoteText"/>
      </w:pPr>
      <w:r>
        <w:rPr>
          <w:rStyle w:val="FootnoteReference"/>
        </w:rPr>
        <w:footnoteRef/>
      </w:r>
      <w:r>
        <w:t xml:space="preserve"> </w:t>
      </w:r>
      <w:r w:rsidRPr="008F15B3" w:rsidR="008F15B3">
        <w:rPr>
          <w:i/>
        </w:rPr>
        <w:t>Implementation of Sections 716 and 717 of the Communications Act of 1934, as Enacted by the Twenty-First Century Communications and Video Accessibility Act of 2010; Coalition of E-Reader Manufacturers’ Petition for Class Waiver of Sections 716 and 717 of the Communications Act and Part 14 of the Commission’s Rules Requiring Access to Advanced Communications Services (ACS) and Equipment by People with Disabilities</w:t>
      </w:r>
      <w:r w:rsidRPr="008F15B3" w:rsidR="008F15B3">
        <w:t xml:space="preserve">, Order, </w:t>
      </w:r>
      <w:r w:rsidR="008F15B3">
        <w:t>31</w:t>
      </w:r>
      <w:r w:rsidRPr="008F15B3" w:rsidR="008F15B3">
        <w:t xml:space="preserve"> FCC Rcd </w:t>
      </w:r>
      <w:r w:rsidR="008F15B3">
        <w:t>858</w:t>
      </w:r>
      <w:r w:rsidRPr="008F15B3" w:rsidR="008F15B3">
        <w:t xml:space="preserve"> (CGB 201</w:t>
      </w:r>
      <w:r w:rsidR="008F15B3">
        <w:t>6</w:t>
      </w:r>
      <w:r w:rsidRPr="008F15B3" w:rsidR="008F15B3">
        <w:t>) (</w:t>
      </w:r>
      <w:r w:rsidR="008F15B3">
        <w:rPr>
          <w:i/>
        </w:rPr>
        <w:t xml:space="preserve">2016 </w:t>
      </w:r>
      <w:r w:rsidRPr="008F15B3" w:rsidR="008F15B3">
        <w:rPr>
          <w:i/>
        </w:rPr>
        <w:t>E-Reader Waiver Order</w:t>
      </w:r>
      <w:r w:rsidRPr="008F15B3" w:rsidR="008F15B3">
        <w:t>).</w:t>
      </w:r>
    </w:p>
  </w:footnote>
  <w:footnote w:id="9">
    <w:p w:rsidR="00EF5312" w:rsidRPr="00EF5312" w14:paraId="65D1B6D4" w14:textId="77777777">
      <w:pPr>
        <w:pStyle w:val="FootnoteText"/>
      </w:pPr>
      <w:r>
        <w:rPr>
          <w:rStyle w:val="FootnoteReference"/>
        </w:rPr>
        <w:footnoteRef/>
      </w:r>
      <w:r>
        <w:t xml:space="preserve"> </w:t>
      </w:r>
      <w:r w:rsidRPr="00EF5312">
        <w:rPr>
          <w:i/>
        </w:rPr>
        <w:t>2016 E-Reader Waiver Order</w:t>
      </w:r>
      <w:r>
        <w:t xml:space="preserve">, 31 FCC Rcd at 865, </w:t>
      </w:r>
      <w:r w:rsidR="00FD4DB6">
        <w:t>8</w:t>
      </w:r>
      <w:r>
        <w:t>71</w:t>
      </w:r>
      <w:r w:rsidR="00FD4DB6">
        <w:t>-87</w:t>
      </w:r>
      <w:r>
        <w:t>2, paras. 17,</w:t>
      </w:r>
      <w:r w:rsidR="002F1771">
        <w:t xml:space="preserve"> 31, 35.</w:t>
      </w:r>
      <w:r>
        <w:t xml:space="preserve"> </w:t>
      </w:r>
    </w:p>
  </w:footnote>
  <w:footnote w:id="10">
    <w:p w:rsidR="00FD4DB6" w:rsidRPr="00FD4DB6" w14:paraId="395FDB34" w14:textId="77777777">
      <w:pPr>
        <w:pStyle w:val="FootnoteText"/>
      </w:pPr>
      <w:r>
        <w:rPr>
          <w:rStyle w:val="FootnoteReference"/>
        </w:rPr>
        <w:footnoteRef/>
      </w:r>
      <w:r>
        <w:t xml:space="preserve"> </w:t>
      </w:r>
      <w:r>
        <w:rPr>
          <w:i/>
        </w:rPr>
        <w:t>Id.</w:t>
      </w:r>
      <w:r>
        <w:t>, 31 FCC Rcd at 865, 872, paras. 17, 32.</w:t>
      </w:r>
    </w:p>
  </w:footnote>
  <w:footnote w:id="11">
    <w:p w:rsidR="00736466" w14:paraId="2D691ADB" w14:textId="77777777">
      <w:pPr>
        <w:pStyle w:val="FootnoteText"/>
      </w:pPr>
      <w:r>
        <w:rPr>
          <w:rStyle w:val="FootnoteReference"/>
        </w:rPr>
        <w:footnoteRef/>
      </w:r>
      <w:r>
        <w:t xml:space="preserve"> 47 CFR § 1.46.</w:t>
      </w:r>
    </w:p>
  </w:footnote>
  <w:footnote w:id="12">
    <w:p w:rsidR="007745A6" w14:paraId="3438098B" w14:textId="77777777">
      <w:pPr>
        <w:pStyle w:val="FootnoteText"/>
      </w:pPr>
      <w:r>
        <w:rPr>
          <w:rStyle w:val="FootnoteReference"/>
        </w:rPr>
        <w:footnoteRef/>
      </w:r>
      <w:r>
        <w:t xml:space="preserve"> </w:t>
      </w:r>
      <w:r w:rsidRPr="007745A6">
        <w:rPr>
          <w:i/>
        </w:rPr>
        <w:t>See, e.g.</w:t>
      </w:r>
      <w:r>
        <w:t>,</w:t>
      </w:r>
      <w:r w:rsidRPr="007745A6">
        <w:rPr>
          <w:i/>
          <w:iCs/>
          <w:snapToGrid w:val="0"/>
          <w:kern w:val="28"/>
          <w:sz w:val="22"/>
        </w:rPr>
        <w:t xml:space="preserve"> </w:t>
      </w:r>
      <w:r w:rsidRPr="007745A6">
        <w:rPr>
          <w:i/>
          <w:iCs/>
        </w:rPr>
        <w:t>Universal Service Contribution Methodology</w:t>
      </w:r>
      <w:r w:rsidRPr="007745A6">
        <w:rPr>
          <w:iCs/>
        </w:rPr>
        <w:t>;</w:t>
      </w:r>
      <w:r w:rsidRPr="007745A6">
        <w:rPr>
          <w:i/>
          <w:iCs/>
        </w:rPr>
        <w:t xml:space="preserve"> Federal-State Joint Board on Universal Service</w:t>
      </w:r>
      <w:r w:rsidRPr="007745A6">
        <w:rPr>
          <w:iCs/>
        </w:rPr>
        <w:t>;</w:t>
      </w:r>
      <w:r w:rsidRPr="007745A6">
        <w:rPr>
          <w:i/>
          <w:iCs/>
        </w:rPr>
        <w:t xml:space="preserve"> Requests for Review of Decisions of Universal Service Administrator by Airband Communications, Inc. et al.</w:t>
      </w:r>
      <w:r w:rsidRPr="007745A6">
        <w:t>, Order, 25 FCC Rcd 10861, 10864, para. 7 (WCB 2010)</w:t>
      </w:r>
      <w:r>
        <w:t xml:space="preserve">. </w:t>
      </w:r>
    </w:p>
  </w:footnote>
  <w:footnote w:id="13">
    <w:p w:rsidR="00F166F0" w14:paraId="64D2E5FF" w14:textId="468A7652">
      <w:pPr>
        <w:pStyle w:val="FootnoteText"/>
      </w:pPr>
      <w:r>
        <w:rPr>
          <w:rStyle w:val="FootnoteReference"/>
        </w:rPr>
        <w:footnoteRef/>
      </w:r>
      <w:r>
        <w:t xml:space="preserve"> </w:t>
      </w:r>
      <w:r w:rsidR="00A621E2">
        <w:t xml:space="preserve">Independently of </w:t>
      </w:r>
      <w:r w:rsidRPr="00F166F0" w:rsidR="002D2B75">
        <w:t xml:space="preserve">the Coalition’s Motion for </w:t>
      </w:r>
      <w:r w:rsidR="00386A5E">
        <w:t xml:space="preserve">an </w:t>
      </w:r>
      <w:r w:rsidRPr="00F166F0" w:rsidR="002D2B75">
        <w:t xml:space="preserve">extension of time, the deadline for the submission of the report had been extended until February 8, 2019, as a result of the </w:t>
      </w:r>
      <w:r w:rsidRPr="00F166F0">
        <w:t>recent lapse in funding in January 2019, during which time the Commission suspended most operations</w:t>
      </w:r>
      <w:r>
        <w:t xml:space="preserve">.  </w:t>
      </w:r>
      <w:r w:rsidRPr="00F166F0">
        <w:rPr>
          <w:i/>
        </w:rPr>
        <w:t>See Revisions to Filing and Other Deadlines Following Resumption of Normal Commission Operations</w:t>
      </w:r>
      <w:r w:rsidRPr="00F166F0">
        <w:t>, Public Notice, DA 16-29 (rel. Jan. 29, 2019) (extending the deadline for filings that would otherwise be required to be filed between January 8 and February 7 to February 8, 2019).</w:t>
      </w:r>
    </w:p>
  </w:footnote>
  <w:footnote w:id="14">
    <w:p w:rsidR="00736466" w14:paraId="09CE52F0" w14:textId="77777777">
      <w:pPr>
        <w:pStyle w:val="FootnoteText"/>
      </w:pPr>
      <w:r>
        <w:rPr>
          <w:rStyle w:val="FootnoteReference"/>
        </w:rPr>
        <w:footnoteRef/>
      </w:r>
      <w:r>
        <w:t xml:space="preserve"> Coalition Motion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2B2415" w14:textId="4C80AB49">
    <w:pPr>
      <w:pStyle w:val="Header"/>
      <w:rPr>
        <w:b w:val="0"/>
      </w:rPr>
    </w:pPr>
    <w:r>
      <w:tab/>
      <w:t>Federal Communications Commission</w:t>
    </w:r>
    <w:r>
      <w:tab/>
    </w:r>
    <w:r w:rsidR="00442F8D">
      <w:t>DA 19-</w:t>
    </w:r>
    <w:r w:rsidRPr="00531648" w:rsidR="00531648">
      <w:t>54</w:t>
    </w:r>
  </w:p>
  <w:p w:rsidR="00D25FB5" w14:paraId="501417A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DDCAD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AAB848" w14:textId="06AF07D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1560">
      <w:rPr>
        <w:spacing w:val="-2"/>
      </w:rPr>
      <w:t>DA 19</w:t>
    </w:r>
    <w:r w:rsidRPr="00531648" w:rsidR="00931560">
      <w:rPr>
        <w:spacing w:val="-2"/>
      </w:rPr>
      <w:t>-</w:t>
    </w:r>
    <w:r w:rsidRPr="00531648" w:rsidR="00192F26">
      <w:rPr>
        <w:spacing w:val="-2"/>
      </w:rPr>
      <w:t>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536037"/>
    <w:multiLevelType w:val="hybridMultilevel"/>
    <w:tmpl w:val="21DA14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num>
  <w:num w:numId="12">
    <w:abstractNumId w:val="5"/>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60"/>
    <w:rsid w:val="000349FD"/>
    <w:rsid w:val="00036039"/>
    <w:rsid w:val="00037F90"/>
    <w:rsid w:val="000875BF"/>
    <w:rsid w:val="00096D8C"/>
    <w:rsid w:val="000B1C01"/>
    <w:rsid w:val="000C0B65"/>
    <w:rsid w:val="000E05FE"/>
    <w:rsid w:val="000E3D42"/>
    <w:rsid w:val="00122BD5"/>
    <w:rsid w:val="00133F79"/>
    <w:rsid w:val="00192F26"/>
    <w:rsid w:val="00194A66"/>
    <w:rsid w:val="001D6A38"/>
    <w:rsid w:val="001D6BCF"/>
    <w:rsid w:val="001E01CA"/>
    <w:rsid w:val="00250C5E"/>
    <w:rsid w:val="00275CF5"/>
    <w:rsid w:val="0028301F"/>
    <w:rsid w:val="00285017"/>
    <w:rsid w:val="00296AEF"/>
    <w:rsid w:val="002A2D2E"/>
    <w:rsid w:val="002C00E8"/>
    <w:rsid w:val="002C1395"/>
    <w:rsid w:val="002D2B75"/>
    <w:rsid w:val="002F1771"/>
    <w:rsid w:val="00327911"/>
    <w:rsid w:val="003425F1"/>
    <w:rsid w:val="00343749"/>
    <w:rsid w:val="003660ED"/>
    <w:rsid w:val="00386A5E"/>
    <w:rsid w:val="003B0550"/>
    <w:rsid w:val="003B694F"/>
    <w:rsid w:val="003F171C"/>
    <w:rsid w:val="003F6990"/>
    <w:rsid w:val="00412FC5"/>
    <w:rsid w:val="00422276"/>
    <w:rsid w:val="004242F1"/>
    <w:rsid w:val="00442F8D"/>
    <w:rsid w:val="00445A00"/>
    <w:rsid w:val="00451B0F"/>
    <w:rsid w:val="004828AF"/>
    <w:rsid w:val="0048741A"/>
    <w:rsid w:val="004A43DA"/>
    <w:rsid w:val="004C2EE3"/>
    <w:rsid w:val="004E4A22"/>
    <w:rsid w:val="004F4AD4"/>
    <w:rsid w:val="00511968"/>
    <w:rsid w:val="00531648"/>
    <w:rsid w:val="00547B01"/>
    <w:rsid w:val="0055614C"/>
    <w:rsid w:val="00566D06"/>
    <w:rsid w:val="005E14C2"/>
    <w:rsid w:val="00607BA5"/>
    <w:rsid w:val="0061180A"/>
    <w:rsid w:val="00626EB6"/>
    <w:rsid w:val="00647E77"/>
    <w:rsid w:val="00650A70"/>
    <w:rsid w:val="00655D03"/>
    <w:rsid w:val="00680A5F"/>
    <w:rsid w:val="00683388"/>
    <w:rsid w:val="00683F84"/>
    <w:rsid w:val="006A6A81"/>
    <w:rsid w:val="006D7D57"/>
    <w:rsid w:val="006F7393"/>
    <w:rsid w:val="0070224F"/>
    <w:rsid w:val="007115F7"/>
    <w:rsid w:val="00736466"/>
    <w:rsid w:val="007745A6"/>
    <w:rsid w:val="00785689"/>
    <w:rsid w:val="0079754B"/>
    <w:rsid w:val="007A1E6D"/>
    <w:rsid w:val="007B0EB2"/>
    <w:rsid w:val="007F584B"/>
    <w:rsid w:val="00803A70"/>
    <w:rsid w:val="00810B6F"/>
    <w:rsid w:val="00822CE0"/>
    <w:rsid w:val="00841AB1"/>
    <w:rsid w:val="00884524"/>
    <w:rsid w:val="008C68F1"/>
    <w:rsid w:val="008F15B3"/>
    <w:rsid w:val="008F56D7"/>
    <w:rsid w:val="00921803"/>
    <w:rsid w:val="009242CD"/>
    <w:rsid w:val="00926503"/>
    <w:rsid w:val="00931560"/>
    <w:rsid w:val="00940C27"/>
    <w:rsid w:val="009726D8"/>
    <w:rsid w:val="00984E0E"/>
    <w:rsid w:val="009D7308"/>
    <w:rsid w:val="009F76DB"/>
    <w:rsid w:val="00A32C3B"/>
    <w:rsid w:val="00A45F4F"/>
    <w:rsid w:val="00A600A9"/>
    <w:rsid w:val="00A621E2"/>
    <w:rsid w:val="00AA55B7"/>
    <w:rsid w:val="00AA5B9E"/>
    <w:rsid w:val="00AB2407"/>
    <w:rsid w:val="00AB53DF"/>
    <w:rsid w:val="00B07E5C"/>
    <w:rsid w:val="00B13F6E"/>
    <w:rsid w:val="00B811F7"/>
    <w:rsid w:val="00BA5DC6"/>
    <w:rsid w:val="00BA6196"/>
    <w:rsid w:val="00BC6D8C"/>
    <w:rsid w:val="00BD16B6"/>
    <w:rsid w:val="00C34006"/>
    <w:rsid w:val="00C36B4C"/>
    <w:rsid w:val="00C426B1"/>
    <w:rsid w:val="00C6530A"/>
    <w:rsid w:val="00C66160"/>
    <w:rsid w:val="00C721AC"/>
    <w:rsid w:val="00C90D6A"/>
    <w:rsid w:val="00CA247E"/>
    <w:rsid w:val="00CA65B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11B9"/>
    <w:rsid w:val="00EE6488"/>
    <w:rsid w:val="00EF5312"/>
    <w:rsid w:val="00F021FA"/>
    <w:rsid w:val="00F166F0"/>
    <w:rsid w:val="00F62E97"/>
    <w:rsid w:val="00F64209"/>
    <w:rsid w:val="00F93BF5"/>
    <w:rsid w:val="00FD4D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A961EC9-99B7-4D83-B671-42023A20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1"/>
    <w:rsid w:val="000B1C01"/>
    <w:rPr>
      <w:rFonts w:ascii="Tahoma" w:hAnsi="Tahoma" w:cs="Tahoma"/>
      <w:sz w:val="16"/>
      <w:szCs w:val="16"/>
    </w:rPr>
  </w:style>
  <w:style w:type="character" w:customStyle="1" w:styleId="BalloonTextChar">
    <w:name w:val="Balloon Text Char"/>
    <w:rsid w:val="000B1C01"/>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link w:val="FootnoteText"/>
    <w:locked/>
    <w:rsid w:val="000B1C01"/>
  </w:style>
  <w:style w:type="character" w:customStyle="1" w:styleId="ParaNumChar1">
    <w:name w:val="ParaNum Char1"/>
    <w:link w:val="ParaNum"/>
    <w:rsid w:val="000B1C01"/>
    <w:rPr>
      <w:snapToGrid w:val="0"/>
      <w:kern w:val="28"/>
      <w:sz w:val="22"/>
    </w:rPr>
  </w:style>
  <w:style w:type="character" w:customStyle="1" w:styleId="BalloonTextChar1">
    <w:name w:val="Balloon Text Char1"/>
    <w:link w:val="BalloonText"/>
    <w:rsid w:val="000B1C01"/>
    <w:rPr>
      <w:rFonts w:ascii="Tahoma" w:hAnsi="Tahoma" w:cs="Tahoma"/>
      <w:snapToGrid w:val="0"/>
      <w:kern w:val="28"/>
      <w:sz w:val="16"/>
      <w:szCs w:val="16"/>
    </w:rPr>
  </w:style>
  <w:style w:type="character" w:styleId="CommentReference">
    <w:name w:val="annotation reference"/>
    <w:rsid w:val="00E911B9"/>
    <w:rPr>
      <w:sz w:val="16"/>
      <w:szCs w:val="16"/>
    </w:rPr>
  </w:style>
  <w:style w:type="paragraph" w:styleId="CommentText">
    <w:name w:val="annotation text"/>
    <w:basedOn w:val="Normal"/>
    <w:link w:val="CommentTextChar"/>
    <w:rsid w:val="00E911B9"/>
    <w:rPr>
      <w:sz w:val="20"/>
    </w:rPr>
  </w:style>
  <w:style w:type="character" w:customStyle="1" w:styleId="CommentTextChar">
    <w:name w:val="Comment Text Char"/>
    <w:link w:val="CommentText"/>
    <w:rsid w:val="00E911B9"/>
    <w:rPr>
      <w:snapToGrid w:val="0"/>
      <w:kern w:val="28"/>
    </w:rPr>
  </w:style>
  <w:style w:type="paragraph" w:styleId="CommentSubject">
    <w:name w:val="annotation subject"/>
    <w:basedOn w:val="CommentText"/>
    <w:next w:val="CommentText"/>
    <w:link w:val="CommentSubjectChar"/>
    <w:rsid w:val="00E911B9"/>
    <w:rPr>
      <w:b/>
      <w:bCs/>
    </w:rPr>
  </w:style>
  <w:style w:type="character" w:customStyle="1" w:styleId="CommentSubjectChar">
    <w:name w:val="Comment Subject Char"/>
    <w:link w:val="CommentSubject"/>
    <w:rsid w:val="00E911B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