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894088" w14:paraId="24CA73C5" w14:textId="77777777">
      <w:pPr>
        <w:jc w:val="center"/>
        <w:rPr>
          <w:sz w:val="24"/>
        </w:rPr>
      </w:pPr>
      <w:bookmarkStart w:id="0" w:name="_GoBack"/>
      <w:bookmarkEnd w:id="0"/>
    </w:p>
    <w:p w:rsidR="00013A8B" w:rsidRPr="00B20363" w:rsidP="00013A8B" w14:paraId="05C807D7" w14:textId="2035A38D">
      <w:pPr>
        <w:jc w:val="right"/>
        <w:rPr>
          <w:b/>
          <w:sz w:val="24"/>
        </w:rPr>
      </w:pPr>
      <w:r>
        <w:rPr>
          <w:b/>
          <w:sz w:val="24"/>
        </w:rPr>
        <w:t>DA 19-</w:t>
      </w:r>
      <w:r w:rsidRPr="00BD3F4F" w:rsidR="00BD3F4F">
        <w:rPr>
          <w:b/>
          <w:sz w:val="24"/>
        </w:rPr>
        <w:t>551</w:t>
      </w:r>
    </w:p>
    <w:p w:rsidR="00013A8B" w:rsidRPr="00B20363" w:rsidP="00013A8B" w14:paraId="65E16A37" w14:textId="1AF902FD">
      <w:pPr>
        <w:spacing w:before="60"/>
        <w:jc w:val="right"/>
        <w:rPr>
          <w:b/>
          <w:sz w:val="24"/>
        </w:rPr>
      </w:pPr>
      <w:r>
        <w:rPr>
          <w:b/>
          <w:sz w:val="24"/>
        </w:rPr>
        <w:t xml:space="preserve">Released:  </w:t>
      </w:r>
      <w:r w:rsidR="0009633D">
        <w:rPr>
          <w:b/>
          <w:sz w:val="24"/>
        </w:rPr>
        <w:t xml:space="preserve">June </w:t>
      </w:r>
      <w:r w:rsidRPr="00031F49" w:rsidR="00031F49">
        <w:rPr>
          <w:b/>
          <w:sz w:val="24"/>
        </w:rPr>
        <w:t>11</w:t>
      </w:r>
      <w:r w:rsidR="0009633D">
        <w:rPr>
          <w:b/>
          <w:sz w:val="24"/>
        </w:rPr>
        <w:t>, 2019</w:t>
      </w:r>
    </w:p>
    <w:p w:rsidR="00013A8B" w:rsidP="00013A8B" w14:paraId="13B4B924" w14:textId="77777777">
      <w:pPr>
        <w:jc w:val="right"/>
        <w:rPr>
          <w:sz w:val="24"/>
        </w:rPr>
      </w:pPr>
    </w:p>
    <w:p w:rsidR="0009633D" w:rsidRPr="00890EA9" w:rsidP="0009633D" w14:paraId="172F68E8" w14:textId="77777777">
      <w:pPr>
        <w:spacing w:after="240"/>
        <w:jc w:val="center"/>
        <w:rPr>
          <w:rFonts w:ascii="Times New Roman Bold" w:hAnsi="Times New Roman Bold"/>
          <w:b/>
          <w:caps/>
          <w:szCs w:val="22"/>
        </w:rPr>
      </w:pPr>
      <w:r>
        <w:rPr>
          <w:rFonts w:ascii="Times New Roman Bold" w:hAnsi="Times New Roman Bold"/>
          <w:b/>
          <w:caps/>
          <w:szCs w:val="22"/>
        </w:rPr>
        <w:t>PUBLIC SAFETY AND HOMELAND SECURITY</w:t>
      </w:r>
      <w:r w:rsidRPr="00890EA9">
        <w:rPr>
          <w:rFonts w:ascii="Times New Roman Bold" w:hAnsi="Times New Roman Bold"/>
          <w:b/>
          <w:caps/>
          <w:szCs w:val="22"/>
        </w:rPr>
        <w:t xml:space="preserve"> BUREAU </w:t>
      </w:r>
      <w:r>
        <w:rPr>
          <w:rFonts w:ascii="Times New Roman Bold" w:hAnsi="Times New Roman Bold"/>
          <w:b/>
          <w:caps/>
          <w:szCs w:val="22"/>
        </w:rPr>
        <w:t>SEEKS AUTHORIZED ALERT ORIGINATORS TO PARTICIPATE IN TESTING OF THE ACCURACY OF THE WIRELESS EMERGENCY ALERT SYSTEM’S GEOGRAPHIC TARGETING CAPABILITY</w:t>
      </w:r>
    </w:p>
    <w:p w:rsidR="0009633D" w:rsidRPr="00890EA9" w:rsidP="0009633D" w14:paraId="10D8430F" w14:textId="77777777">
      <w:pPr>
        <w:jc w:val="center"/>
        <w:rPr>
          <w:b/>
          <w:szCs w:val="22"/>
        </w:rPr>
      </w:pPr>
      <w:bookmarkStart w:id="1" w:name="TOChere"/>
      <w:r>
        <w:rPr>
          <w:b/>
          <w:szCs w:val="22"/>
        </w:rPr>
        <w:t>PS</w:t>
      </w:r>
      <w:r w:rsidRPr="00890EA9">
        <w:rPr>
          <w:b/>
          <w:szCs w:val="22"/>
        </w:rPr>
        <w:t xml:space="preserve"> Docket No</w:t>
      </w:r>
      <w:r>
        <w:rPr>
          <w:b/>
          <w:szCs w:val="22"/>
        </w:rPr>
        <w:t>s</w:t>
      </w:r>
      <w:r w:rsidRPr="00890EA9">
        <w:rPr>
          <w:b/>
          <w:szCs w:val="22"/>
        </w:rPr>
        <w:t xml:space="preserve">. </w:t>
      </w:r>
      <w:r>
        <w:rPr>
          <w:b/>
          <w:szCs w:val="22"/>
        </w:rPr>
        <w:t>15</w:t>
      </w:r>
      <w:r w:rsidRPr="00890EA9">
        <w:rPr>
          <w:b/>
          <w:szCs w:val="22"/>
        </w:rPr>
        <w:t>-</w:t>
      </w:r>
      <w:r>
        <w:rPr>
          <w:b/>
          <w:szCs w:val="22"/>
        </w:rPr>
        <w:t>91 and 1</w:t>
      </w:r>
      <w:r w:rsidRPr="00890EA9">
        <w:rPr>
          <w:b/>
          <w:szCs w:val="22"/>
        </w:rPr>
        <w:t>5-</w:t>
      </w:r>
      <w:r>
        <w:rPr>
          <w:b/>
          <w:szCs w:val="22"/>
        </w:rPr>
        <w:t>94</w:t>
      </w:r>
    </w:p>
    <w:p w:rsidR="0009633D" w:rsidRPr="00890EA9" w:rsidP="0009633D" w14:paraId="53914175" w14:textId="77777777">
      <w:pPr>
        <w:jc w:val="center"/>
        <w:rPr>
          <w:szCs w:val="22"/>
        </w:rPr>
      </w:pPr>
    </w:p>
    <w:p w:rsidR="0009633D" w:rsidRPr="00890EA9" w:rsidP="0009633D" w14:paraId="06890963" w14:textId="102B2511">
      <w:pPr>
        <w:rPr>
          <w:b/>
          <w:szCs w:val="22"/>
        </w:rPr>
      </w:pPr>
      <w:bookmarkStart w:id="2" w:name="_Hlk7516906"/>
      <w:r>
        <w:rPr>
          <w:b/>
          <w:szCs w:val="22"/>
        </w:rPr>
        <w:t>Filing</w:t>
      </w:r>
      <w:r w:rsidRPr="00890EA9">
        <w:rPr>
          <w:b/>
          <w:szCs w:val="22"/>
        </w:rPr>
        <w:t xml:space="preserve"> Date: </w:t>
      </w:r>
      <w:r w:rsidR="00BD3F4F">
        <w:rPr>
          <w:b/>
          <w:szCs w:val="22"/>
        </w:rPr>
        <w:t xml:space="preserve"> July 11, 2019</w:t>
      </w:r>
    </w:p>
    <w:bookmarkEnd w:id="2"/>
    <w:p w:rsidR="0009633D" w:rsidP="0009633D" w14:paraId="5239D34F" w14:textId="77777777"/>
    <w:p w:rsidR="0009633D" w:rsidP="0009633D" w14:paraId="0F6C6E52" w14:textId="2417642A">
      <w:pPr>
        <w:autoSpaceDE w:val="0"/>
        <w:autoSpaceDN w:val="0"/>
        <w:adjustRightInd w:val="0"/>
        <w:spacing w:after="120"/>
        <w:ind w:firstLine="720"/>
      </w:pPr>
      <w:r>
        <w:t>The Public Safety and Homeland Security Bureau (</w:t>
      </w:r>
      <w:r w:rsidR="007B2778">
        <w:t>Bureau</w:t>
      </w:r>
      <w:r>
        <w:t xml:space="preserve">) </w:t>
      </w:r>
      <w:bookmarkStart w:id="3" w:name="_Hlk9954681"/>
      <w:r>
        <w:t xml:space="preserve">seeks entities authorized by the Federal Emergency Management Agency (FEMA) to send alerts using the Integrated Public Alert and Warning System (IPAWS) to </w:t>
      </w:r>
      <w:r w:rsidR="007B2778">
        <w:t xml:space="preserve">participate in </w:t>
      </w:r>
      <w:r>
        <w:t xml:space="preserve">an upcoming </w:t>
      </w:r>
      <w:r w:rsidR="007B2778">
        <w:t xml:space="preserve">targeted </w:t>
      </w:r>
      <w:r>
        <w:t>test of the Wireless Emergency Alert (WEA) system</w:t>
      </w:r>
      <w:bookmarkEnd w:id="3"/>
      <w:r>
        <w:t>.</w:t>
      </w:r>
      <w:r>
        <w:rPr>
          <w:rStyle w:val="FootnoteReference"/>
        </w:rPr>
        <w:footnoteReference w:id="3"/>
      </w:r>
      <w:r>
        <w:t xml:space="preserve">  </w:t>
      </w:r>
    </w:p>
    <w:p w:rsidR="0009633D" w:rsidP="0009633D" w14:paraId="4DD0F37D" w14:textId="5053E8B8">
      <w:pPr>
        <w:autoSpaceDE w:val="0"/>
        <w:autoSpaceDN w:val="0"/>
        <w:adjustRightInd w:val="0"/>
        <w:spacing w:after="120"/>
        <w:ind w:firstLine="720"/>
      </w:pPr>
      <w:r>
        <w:t>The Bureau seeks to better understand WEA performance, particularly with respect to</w:t>
      </w:r>
      <w:r w:rsidR="00904414">
        <w:t xml:space="preserve"> </w:t>
      </w:r>
      <w:r>
        <w:t>the accuracy of Participating C</w:t>
      </w:r>
      <w:r w:rsidR="0060120F">
        <w:t xml:space="preserve">ommercial </w:t>
      </w:r>
      <w:r>
        <w:t>M</w:t>
      </w:r>
      <w:r w:rsidR="0060120F">
        <w:t xml:space="preserve">obile </w:t>
      </w:r>
      <w:r>
        <w:t>S</w:t>
      </w:r>
      <w:r w:rsidR="0060120F">
        <w:t>ervice</w:t>
      </w:r>
      <w:r>
        <w:t xml:space="preserve"> </w:t>
      </w:r>
      <w:r w:rsidR="006E3D73">
        <w:t xml:space="preserve">(CMS) </w:t>
      </w:r>
      <w:r>
        <w:t>Providers’</w:t>
      </w:r>
      <w:r>
        <w:rPr>
          <w:rStyle w:val="FootnoteReference"/>
        </w:rPr>
        <w:footnoteReference w:id="4"/>
      </w:r>
      <w:r>
        <w:t xml:space="preserve"> </w:t>
      </w:r>
      <w:r w:rsidR="00BD3F4F">
        <w:t>geographic targeting (geo-targeting)</w:t>
      </w:r>
      <w:r>
        <w:t xml:space="preserve"> capabilities.  </w:t>
      </w:r>
      <w:r>
        <w:t>The Commission’s enhanced geo</w:t>
      </w:r>
      <w:r w:rsidR="00BD3F4F">
        <w:t>-</w:t>
      </w:r>
      <w:r>
        <w:t>targeting requirement will become effective on November 30, 2019.</w:t>
      </w:r>
      <w:r>
        <w:rPr>
          <w:rStyle w:val="FootnoteReference"/>
        </w:rPr>
        <w:footnoteReference w:id="5"/>
      </w:r>
      <w:r>
        <w:t xml:space="preserve">  After that date, Participating CMS Providers will be required to match the target area specified by the alert originator (</w:t>
      </w:r>
      <w:r>
        <w:rPr>
          <w:i/>
        </w:rPr>
        <w:t>i.e.</w:t>
      </w:r>
      <w:r>
        <w:t>,</w:t>
      </w:r>
      <w:r w:rsidRPr="00980DF4">
        <w:t xml:space="preserve"> deliver an Alert Message to 100</w:t>
      </w:r>
      <w:r>
        <w:t>%</w:t>
      </w:r>
      <w:r w:rsidRPr="00980DF4">
        <w:t xml:space="preserve"> of the </w:t>
      </w:r>
      <w:r>
        <w:t>geographic</w:t>
      </w:r>
      <w:r w:rsidRPr="00980DF4">
        <w:t xml:space="preserve"> area </w:t>
      </w:r>
      <w:r>
        <w:t xml:space="preserve">that the alert originator targets </w:t>
      </w:r>
      <w:r w:rsidRPr="00980DF4">
        <w:t xml:space="preserve">with no more than </w:t>
      </w:r>
      <w:r>
        <w:t xml:space="preserve">a </w:t>
      </w:r>
      <w:r w:rsidRPr="00980DF4">
        <w:t>0.1 mile overshoot</w:t>
      </w:r>
      <w:r>
        <w:t>).</w:t>
      </w:r>
      <w:r>
        <w:rPr>
          <w:rStyle w:val="FootnoteReference"/>
        </w:rPr>
        <w:footnoteReference w:id="6"/>
      </w:r>
      <w:r>
        <w:t xml:space="preserve">  </w:t>
      </w:r>
      <w:r w:rsidR="004E77F3">
        <w:t>Accordingly</w:t>
      </w:r>
      <w:r>
        <w:t xml:space="preserve">, </w:t>
      </w:r>
      <w:r w:rsidR="007B2778">
        <w:t xml:space="preserve">the Bureau seeks </w:t>
      </w:r>
      <w:r w:rsidR="004E77F3">
        <w:t xml:space="preserve">to </w:t>
      </w:r>
      <w:r w:rsidR="004E77F3">
        <w:t xml:space="preserve">partner with alert originator(s) </w:t>
      </w:r>
      <w:r>
        <w:t xml:space="preserve">to test these capabilities in late 2019 and/or early 2020.  </w:t>
      </w:r>
      <w:r w:rsidR="007B2778">
        <w:t xml:space="preserve">The Bureau </w:t>
      </w:r>
      <w:r>
        <w:t xml:space="preserve">will select </w:t>
      </w:r>
      <w:r w:rsidR="006B47B7">
        <w:t>one or more</w:t>
      </w:r>
      <w:r w:rsidR="007B2778">
        <w:t xml:space="preserve"> alert originator</w:t>
      </w:r>
      <w:r w:rsidR="00C62E95">
        <w:t>s</w:t>
      </w:r>
      <w:r>
        <w:t xml:space="preserve"> based on criteria that include:</w:t>
      </w:r>
    </w:p>
    <w:p w:rsidR="0009633D" w:rsidP="0009633D" w14:paraId="6419E8FC" w14:textId="663BB632">
      <w:pPr>
        <w:pStyle w:val="ListParagraph"/>
        <w:numPr>
          <w:ilvl w:val="0"/>
          <w:numId w:val="9"/>
        </w:numPr>
        <w:autoSpaceDE w:val="0"/>
        <w:autoSpaceDN w:val="0"/>
        <w:adjustRightInd w:val="0"/>
      </w:pPr>
      <w:r>
        <w:t xml:space="preserve">The </w:t>
      </w:r>
      <w:r w:rsidR="00904414">
        <w:t xml:space="preserve">alert originator’s </w:t>
      </w:r>
      <w:r>
        <w:t xml:space="preserve">demonstrated ability to organize a large group of test participants that are customers of </w:t>
      </w:r>
      <w:r w:rsidRPr="00532724">
        <w:t>the several Participating CMS Providers that serve their jurisdiction</w:t>
      </w:r>
      <w:r>
        <w:t xml:space="preserve"> and that will accurately report their test results;</w:t>
      </w:r>
    </w:p>
    <w:p w:rsidR="0009633D" w:rsidP="0009633D" w14:paraId="510BFEF0" w14:textId="5FFB8648">
      <w:pPr>
        <w:pStyle w:val="ListParagraph"/>
        <w:numPr>
          <w:ilvl w:val="0"/>
          <w:numId w:val="9"/>
        </w:numPr>
        <w:autoSpaceDE w:val="0"/>
        <w:autoSpaceDN w:val="0"/>
        <w:adjustRightInd w:val="0"/>
      </w:pPr>
      <w:r>
        <w:t xml:space="preserve">The </w:t>
      </w:r>
      <w:r w:rsidR="00904414">
        <w:t xml:space="preserve">alert originator’s </w:t>
      </w:r>
      <w:r>
        <w:t>demonstrated ability to organize a large group of test participants that can be positioned in geographically diverse locations</w:t>
      </w:r>
      <w:r w:rsidR="00E75F61">
        <w:t xml:space="preserve"> </w:t>
      </w:r>
      <w:r>
        <w:t>throughout its jurisdiction;</w:t>
      </w:r>
    </w:p>
    <w:p w:rsidR="0009633D" w:rsidP="0009633D" w14:paraId="54400C89" w14:textId="4F5B6600">
      <w:pPr>
        <w:pStyle w:val="ListParagraph"/>
        <w:numPr>
          <w:ilvl w:val="0"/>
          <w:numId w:val="9"/>
        </w:numPr>
        <w:autoSpaceDE w:val="0"/>
        <w:autoSpaceDN w:val="0"/>
        <w:adjustRightInd w:val="0"/>
      </w:pPr>
      <w:r>
        <w:t xml:space="preserve">The </w:t>
      </w:r>
      <w:r w:rsidR="00426DC6">
        <w:t xml:space="preserve">alert originator’s </w:t>
      </w:r>
      <w:r>
        <w:t>demonstrated ability to conduct a public outreach campaign that ensures public awareness about a WEA test;</w:t>
      </w:r>
    </w:p>
    <w:p w:rsidR="0009633D" w:rsidP="0009633D" w14:paraId="382DCB52" w14:textId="0064F2C8">
      <w:pPr>
        <w:pStyle w:val="ListParagraph"/>
        <w:numPr>
          <w:ilvl w:val="0"/>
          <w:numId w:val="9"/>
        </w:numPr>
        <w:autoSpaceDE w:val="0"/>
        <w:autoSpaceDN w:val="0"/>
        <w:adjustRightInd w:val="0"/>
      </w:pPr>
      <w:r>
        <w:t xml:space="preserve">The </w:t>
      </w:r>
      <w:r w:rsidR="00426DC6">
        <w:t xml:space="preserve">alert originator’s </w:t>
      </w:r>
      <w:r>
        <w:t>ability to send a State/Local WEA Test message;</w:t>
      </w:r>
      <w:r>
        <w:rPr>
          <w:rStyle w:val="FootnoteReference"/>
        </w:rPr>
        <w:footnoteReference w:id="7"/>
      </w:r>
      <w:r>
        <w:t xml:space="preserve"> and</w:t>
      </w:r>
    </w:p>
    <w:p w:rsidR="0009633D" w:rsidP="0009633D" w14:paraId="4FDDE3AD" w14:textId="3BC2A1E5">
      <w:pPr>
        <w:pStyle w:val="ListParagraph"/>
        <w:numPr>
          <w:ilvl w:val="0"/>
          <w:numId w:val="9"/>
        </w:numPr>
        <w:autoSpaceDE w:val="0"/>
        <w:autoSpaceDN w:val="0"/>
        <w:adjustRightInd w:val="0"/>
      </w:pPr>
      <w:r>
        <w:t xml:space="preserve">The </w:t>
      </w:r>
      <w:r w:rsidR="00426DC6">
        <w:t xml:space="preserve">alert originator’s </w:t>
      </w:r>
      <w:r>
        <w:t>demonstrated expertise in data analysis.</w:t>
      </w:r>
    </w:p>
    <w:p w:rsidR="0009633D" w:rsidP="0009633D" w14:paraId="0E744A5A" w14:textId="77777777">
      <w:pPr>
        <w:autoSpaceDE w:val="0"/>
        <w:autoSpaceDN w:val="0"/>
        <w:adjustRightInd w:val="0"/>
      </w:pPr>
      <w:bookmarkStart w:id="4" w:name="_Hlk5192248"/>
    </w:p>
    <w:p w:rsidR="0009633D" w:rsidRPr="00590A9E" w:rsidP="0009633D" w14:paraId="1E5524C1" w14:textId="47A54E04">
      <w:pPr>
        <w:autoSpaceDE w:val="0"/>
        <w:autoSpaceDN w:val="0"/>
        <w:adjustRightInd w:val="0"/>
      </w:pPr>
      <w:r>
        <w:t xml:space="preserve">Interested </w:t>
      </w:r>
      <w:r w:rsidR="00E415FD">
        <w:t xml:space="preserve">alert originators </w:t>
      </w:r>
      <w:r>
        <w:t>should submit a</w:t>
      </w:r>
      <w:r w:rsidR="007B2778">
        <w:t>n expression of interest in</w:t>
      </w:r>
      <w:r>
        <w:t xml:space="preserve"> </w:t>
      </w:r>
      <w:r>
        <w:rPr>
          <w:iCs/>
          <w:szCs w:val="22"/>
        </w:rPr>
        <w:t xml:space="preserve">PS Docket Nos. 15-91 and 15-94 </w:t>
      </w:r>
      <w:r>
        <w:t xml:space="preserve">that identifies </w:t>
      </w:r>
      <w:r w:rsidR="007B2778">
        <w:t>how they meet</w:t>
      </w:r>
      <w:r>
        <w:t xml:space="preserve"> these criteria</w:t>
      </w:r>
      <w:r w:rsidR="00C5471A">
        <w:t>, as well as any additional information that may be relevant to our consideration of potential alerting partner(s)</w:t>
      </w:r>
      <w:r>
        <w:t>.</w:t>
      </w:r>
      <w:r>
        <w:rPr>
          <w:rStyle w:val="FootnoteReference"/>
        </w:rPr>
        <w:footnoteReference w:id="8"/>
      </w:r>
      <w:r>
        <w:t xml:space="preserve">  </w:t>
      </w:r>
      <w:r w:rsidR="007B2778">
        <w:t xml:space="preserve">The Bureau </w:t>
      </w:r>
      <w:r>
        <w:t xml:space="preserve">will work with </w:t>
      </w:r>
      <w:r w:rsidR="007B2778">
        <w:t xml:space="preserve">the </w:t>
      </w:r>
      <w:r>
        <w:t xml:space="preserve">selected </w:t>
      </w:r>
      <w:r w:rsidR="00426DC6">
        <w:t>alert originator(s)</w:t>
      </w:r>
      <w:r>
        <w:t xml:space="preserve"> to define the parameters of the test and the roles and responsibilities of test </w:t>
      </w:r>
      <w:r w:rsidR="007B2778">
        <w:t xml:space="preserve">developers and </w:t>
      </w:r>
      <w:r>
        <w:t xml:space="preserve">participants.  The </w:t>
      </w:r>
      <w:r w:rsidR="007B2778">
        <w:t xml:space="preserve">Bureau </w:t>
      </w:r>
      <w:r>
        <w:t xml:space="preserve">will not require any Participating CMS Provider to gather, analyze or submit data related to their performance in </w:t>
      </w:r>
      <w:r w:rsidR="00C5471A">
        <w:t xml:space="preserve">connection with any upcoming </w:t>
      </w:r>
      <w:r>
        <w:t>test.</w:t>
      </w:r>
      <w:r>
        <w:rPr>
          <w:rStyle w:val="FootnoteReference"/>
        </w:rPr>
        <w:footnoteReference w:id="9"/>
      </w:r>
      <w:r>
        <w:t xml:space="preserve"> </w:t>
      </w:r>
      <w:r w:rsidRPr="00590A9E">
        <w:t xml:space="preserve"> </w:t>
      </w:r>
    </w:p>
    <w:bookmarkEnd w:id="4"/>
    <w:p w:rsidR="0009633D" w:rsidP="0009633D" w14:paraId="436FD395" w14:textId="77777777">
      <w:pPr>
        <w:autoSpaceDE w:val="0"/>
        <w:autoSpaceDN w:val="0"/>
        <w:adjustRightInd w:val="0"/>
        <w:rPr>
          <w:szCs w:val="22"/>
        </w:rPr>
      </w:pPr>
    </w:p>
    <w:p w:rsidR="0009633D" w:rsidP="0009633D" w14:paraId="3414E24E" w14:textId="6296E356">
      <w:pPr>
        <w:ind w:firstLine="720"/>
        <w:rPr>
          <w:szCs w:val="22"/>
        </w:rPr>
      </w:pPr>
      <w:r>
        <w:rPr>
          <w:b/>
          <w:szCs w:val="22"/>
        </w:rPr>
        <w:t xml:space="preserve">Filing Procedures.  </w:t>
      </w:r>
      <w:r w:rsidRPr="00E073F2">
        <w:rPr>
          <w:szCs w:val="22"/>
        </w:rPr>
        <w:t>Pursuant to Sections 1.415 and 1.419 of the Commission’s rules</w:t>
      </w:r>
      <w:r>
        <w:rPr>
          <w:szCs w:val="22"/>
        </w:rPr>
        <w:t>,</w:t>
      </w:r>
      <w:r>
        <w:rPr>
          <w:rStyle w:val="FootnoteReference"/>
          <w:szCs w:val="22"/>
        </w:rPr>
        <w:footnoteReference w:id="10"/>
      </w:r>
      <w:r w:rsidRPr="00E073F2">
        <w:rPr>
          <w:szCs w:val="22"/>
        </w:rPr>
        <w:t xml:space="preserve"> interested parties may file comments </w:t>
      </w:r>
      <w:r>
        <w:rPr>
          <w:szCs w:val="22"/>
        </w:rPr>
        <w:t>on or before the date indicated on the first page of this document.</w:t>
      </w:r>
      <w:r w:rsidRPr="000D7702">
        <w:rPr>
          <w:szCs w:val="22"/>
        </w:rPr>
        <w:t xml:space="preserve">  </w:t>
      </w:r>
      <w:r w:rsidRPr="000D7702">
        <w:rPr>
          <w:iCs/>
          <w:szCs w:val="22"/>
        </w:rPr>
        <w:t>All filings mus</w:t>
      </w:r>
      <w:r>
        <w:rPr>
          <w:iCs/>
          <w:szCs w:val="22"/>
        </w:rPr>
        <w:t>t reference PS Docket Nos. 15-91 and 15-94</w:t>
      </w:r>
      <w:r w:rsidRPr="000D7702">
        <w:rPr>
          <w:iCs/>
          <w:szCs w:val="22"/>
        </w:rPr>
        <w:t xml:space="preserve">.  </w:t>
      </w:r>
    </w:p>
    <w:p w:rsidR="0009633D" w:rsidRPr="000D7702" w:rsidP="0009633D" w14:paraId="203AA8BF" w14:textId="77777777">
      <w:pPr>
        <w:ind w:firstLine="720"/>
        <w:rPr>
          <w:szCs w:val="22"/>
        </w:rPr>
      </w:pPr>
    </w:p>
    <w:p w:rsidR="0009633D" w:rsidRPr="000D7702" w:rsidP="0009633D" w14:paraId="05687C22" w14:textId="77777777">
      <w:pPr>
        <w:numPr>
          <w:ilvl w:val="0"/>
          <w:numId w:val="7"/>
        </w:numPr>
        <w:spacing w:after="120"/>
        <w:rPr>
          <w:szCs w:val="22"/>
        </w:rPr>
      </w:pPr>
      <w:r w:rsidRPr="000D7702">
        <w:rPr>
          <w:szCs w:val="22"/>
        </w:rPr>
        <w:t xml:space="preserve">Electronic Filers:  Comments may be filed electronically using the Internet by accessing the Commission’s Electronic Comment Filing System (ECFS):  </w:t>
      </w:r>
      <w:hyperlink r:id="rId5" w:history="1">
        <w:r w:rsidRPr="000D7702">
          <w:rPr>
            <w:color w:val="0000FF"/>
            <w:szCs w:val="22"/>
            <w:u w:val="single"/>
          </w:rPr>
          <w:t>https://www.fcc.gov/ecfs/</w:t>
        </w:r>
      </w:hyperlink>
      <w:r w:rsidRPr="000D7702">
        <w:rPr>
          <w:szCs w:val="22"/>
        </w:rPr>
        <w:t>.</w:t>
      </w:r>
      <w:r>
        <w:rPr>
          <w:szCs w:val="22"/>
          <w:vertAlign w:val="superscript"/>
        </w:rPr>
        <w:footnoteReference w:id="11"/>
      </w:r>
      <w:r w:rsidRPr="000D7702">
        <w:rPr>
          <w:szCs w:val="22"/>
        </w:rPr>
        <w:t xml:space="preserve">   </w:t>
      </w:r>
    </w:p>
    <w:p w:rsidR="0009633D" w:rsidRPr="004B65E4" w:rsidP="0009633D" w14:paraId="146EE88A" w14:textId="77777777">
      <w:pPr>
        <w:widowControl/>
        <w:numPr>
          <w:ilvl w:val="0"/>
          <w:numId w:val="8"/>
        </w:numPr>
        <w:tabs>
          <w:tab w:val="num" w:pos="270"/>
        </w:tabs>
        <w:spacing w:after="120"/>
      </w:pPr>
      <w:r w:rsidRPr="000D7702">
        <w:rPr>
          <w:szCs w:val="22"/>
        </w:rPr>
        <w:t>Paper Filers:  Parties who choose to file by paper must file an original and one copy of each filing.</w:t>
      </w:r>
      <w:r>
        <w:rPr>
          <w:szCs w:val="22"/>
        </w:rPr>
        <w:t xml:space="preserve">  </w:t>
      </w:r>
      <w:r w:rsidRPr="004B65E4">
        <w:t>If more than one docket or rulemaking number appears in the caption of this proceeding, filers must submit two additional copies for each additional docket or rulemaking number.</w:t>
      </w:r>
    </w:p>
    <w:p w:rsidR="0009633D" w:rsidRPr="000D7702" w:rsidP="0009633D" w14:paraId="7DDBB4D8"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9633D" w:rsidRPr="000D7702" w:rsidP="0009633D" w14:paraId="70B5C3F1"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09633D" w:rsidRPr="000D7702" w:rsidP="0009633D" w14:paraId="082AEFF6"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426DC6" w:rsidRPr="006270FF" w:rsidP="006E3D73" w14:paraId="0E05920A" w14:textId="77A2E012">
      <w:pPr>
        <w:numPr>
          <w:ilvl w:val="1"/>
          <w:numId w:val="7"/>
        </w:numPr>
        <w:spacing w:after="120"/>
        <w:rPr>
          <w:szCs w:val="22"/>
        </w:rPr>
      </w:pPr>
      <w:r w:rsidRPr="000D7702">
        <w:rPr>
          <w:szCs w:val="22"/>
        </w:rPr>
        <w:t>U.S. Postal Service first-class, Express, and Priority mail must be addressed to 445 12th Street, SW, Washington DC  20554.</w:t>
      </w:r>
      <w:bookmarkStart w:id="5" w:name="_Hlk7453058"/>
    </w:p>
    <w:p w:rsidR="0009633D" w:rsidRPr="000D7702" w:rsidP="0009633D" w14:paraId="45A89C47" w14:textId="292BBD30">
      <w:pPr>
        <w:spacing w:after="120"/>
        <w:ind w:firstLine="720"/>
        <w:rPr>
          <w:szCs w:val="22"/>
        </w:rPr>
      </w:pPr>
      <w:r>
        <w:rPr>
          <w:b/>
          <w:szCs w:val="22"/>
        </w:rPr>
        <w:t>“Permit-but-disclose” proceeding</w:t>
      </w:r>
      <w:r w:rsidRPr="000D7702">
        <w:rPr>
          <w:szCs w:val="22"/>
        </w:rPr>
        <w:t xml:space="preserve">.  The proceeding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szCs w:val="22"/>
          <w:vertAlign w:val="superscript"/>
        </w:rPr>
        <w:footnoteReference w:id="12"/>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bookmarkEnd w:id="5"/>
    <w:p w:rsidR="0009633D" w:rsidRPr="000D7702" w:rsidP="0009633D" w14:paraId="7080286E"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09633D" w:rsidP="0009633D" w14:paraId="7F9BFF97" w14:textId="77777777">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Pr>
          <w:szCs w:val="22"/>
        </w:rPr>
        <w:t>James Wiley, Cybersecurity and Communications Reliability Division,</w:t>
      </w:r>
      <w:r w:rsidRPr="001411E5">
        <w:rPr>
          <w:szCs w:val="22"/>
        </w:rPr>
        <w:t xml:space="preserve"> </w:t>
      </w:r>
      <w:r>
        <w:rPr>
          <w:szCs w:val="22"/>
        </w:rPr>
        <w:t>Public Safety and Homeland Security Bureau</w:t>
      </w:r>
      <w:r w:rsidRPr="001411E5">
        <w:rPr>
          <w:szCs w:val="22"/>
        </w:rPr>
        <w:t>, at (202) 418-</w:t>
      </w:r>
      <w:r>
        <w:rPr>
          <w:szCs w:val="22"/>
        </w:rPr>
        <w:t>1678</w:t>
      </w:r>
      <w:r w:rsidRPr="001411E5">
        <w:rPr>
          <w:szCs w:val="22"/>
        </w:rPr>
        <w:t xml:space="preserve"> or </w:t>
      </w:r>
      <w:hyperlink r:id="rId7" w:history="1">
        <w:r w:rsidRPr="00454821">
          <w:rPr>
            <w:rStyle w:val="Hyperlink"/>
            <w:szCs w:val="22"/>
          </w:rPr>
          <w:t>James.Wiley@fcc.gov</w:t>
        </w:r>
      </w:hyperlink>
      <w:r w:rsidRPr="001411E5">
        <w:rPr>
          <w:szCs w:val="22"/>
        </w:rPr>
        <w:t>.</w:t>
      </w:r>
    </w:p>
    <w:p w:rsidR="0009633D" w:rsidP="0009633D" w14:paraId="1EA938F9" w14:textId="77777777">
      <w:pPr>
        <w:widowControl/>
      </w:pPr>
    </w:p>
    <w:p w:rsidR="0009633D" w:rsidP="0009633D" w14:paraId="5CFB5856" w14:textId="77777777">
      <w:pPr>
        <w:widowControl/>
        <w:jc w:val="center"/>
        <w:rPr>
          <w:b/>
        </w:rPr>
      </w:pPr>
    </w:p>
    <w:p w:rsidR="0009633D" w:rsidRPr="00B316C8" w:rsidP="0009633D" w14:paraId="3178B7B4" w14:textId="77777777">
      <w:pPr>
        <w:widowControl/>
        <w:jc w:val="center"/>
        <w:rPr>
          <w:b/>
        </w:rPr>
      </w:pPr>
      <w:r w:rsidRPr="00B316C8">
        <w:rPr>
          <w:b/>
        </w:rPr>
        <w:t>-FCC-</w:t>
      </w:r>
    </w:p>
    <w:p w:rsidR="0009633D" w:rsidP="0009633D" w14:paraId="7F2C53C5" w14:textId="77777777">
      <w:pPr>
        <w:jc w:val="right"/>
        <w:rPr>
          <w:b/>
          <w:szCs w:val="22"/>
        </w:rPr>
      </w:pPr>
    </w:p>
    <w:p w:rsidR="0009633D" w:rsidRPr="00930ECF" w:rsidP="0009633D" w14:paraId="6296B589" w14:textId="77777777">
      <w:pPr>
        <w:rPr>
          <w:sz w:val="24"/>
        </w:rPr>
      </w:pPr>
    </w:p>
    <w:p w:rsidR="00F96F63" w:rsidRPr="00930ECF" w:rsidP="00F96F63" w14:paraId="4ABF241B" w14:textId="77777777">
      <w:pPr>
        <w:rPr>
          <w:sz w:val="24"/>
        </w:rPr>
      </w:pPr>
    </w:p>
    <w:bookmarkEnd w:id="1"/>
    <w:p w:rsidR="00930ECF" w:rsidRPr="00930ECF" w:rsidP="00F96F63" w14:paraId="1E582B2D"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E550C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FBB3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BBC2D7" w14:textId="77777777">
    <w:pPr>
      <w:pStyle w:val="Footer"/>
      <w:jc w:val="center"/>
    </w:pPr>
    <w:r>
      <w:fldChar w:fldCharType="begin"/>
    </w:r>
    <w:r>
      <w:instrText xml:space="preserve"> PAGE   \* MERGEFORMAT </w:instrText>
    </w:r>
    <w:r>
      <w:fldChar w:fldCharType="separate"/>
    </w:r>
    <w:r w:rsidR="007B277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3160B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150" w14:paraId="266F0D8C" w14:textId="77777777">
      <w:r>
        <w:separator/>
      </w:r>
    </w:p>
  </w:footnote>
  <w:footnote w:type="continuationSeparator" w:id="1">
    <w:p w:rsidR="00012150" w14:paraId="550DA7BB" w14:textId="77777777">
      <w:pPr>
        <w:rPr>
          <w:sz w:val="20"/>
        </w:rPr>
      </w:pPr>
      <w:r>
        <w:rPr>
          <w:sz w:val="20"/>
        </w:rPr>
        <w:t xml:space="preserve">(Continued from previous page)  </w:t>
      </w:r>
      <w:r>
        <w:rPr>
          <w:sz w:val="20"/>
        </w:rPr>
        <w:separator/>
      </w:r>
    </w:p>
  </w:footnote>
  <w:footnote w:type="continuationNotice" w:id="2">
    <w:p w:rsidR="00012150" w:rsidP="00910F12" w14:paraId="7E8E0632" w14:textId="77777777">
      <w:pPr>
        <w:jc w:val="right"/>
        <w:rPr>
          <w:sz w:val="20"/>
        </w:rPr>
      </w:pPr>
      <w:r>
        <w:rPr>
          <w:sz w:val="20"/>
        </w:rPr>
        <w:t>(continued….)</w:t>
      </w:r>
    </w:p>
  </w:footnote>
  <w:footnote w:id="3">
    <w:p w:rsidR="0009633D" w:rsidRPr="001C6883" w:rsidP="0009633D" w14:paraId="608357E9" w14:textId="77777777">
      <w:pPr>
        <w:pStyle w:val="FootnoteText"/>
      </w:pPr>
      <w:r>
        <w:rPr>
          <w:rStyle w:val="FootnoteReference"/>
        </w:rPr>
        <w:footnoteRef/>
      </w:r>
      <w:r>
        <w:t xml:space="preserve"> </w:t>
      </w:r>
      <w:r>
        <w:rPr>
          <w:i/>
        </w:rPr>
        <w:t xml:space="preserve">See </w:t>
      </w:r>
      <w:r>
        <w:t xml:space="preserve">FEMA, </w:t>
      </w:r>
      <w:r w:rsidRPr="006E1BA8">
        <w:rPr>
          <w:i/>
        </w:rPr>
        <w:t>Alerting Authorities</w:t>
      </w:r>
      <w:r>
        <w:t xml:space="preserve">, </w:t>
      </w:r>
      <w:hyperlink r:id="rId1" w:history="1">
        <w:r w:rsidRPr="00454821">
          <w:rPr>
            <w:rStyle w:val="Hyperlink"/>
          </w:rPr>
          <w:t>https://www.fema.gov/alerting-authorities</w:t>
        </w:r>
      </w:hyperlink>
      <w:r>
        <w:t xml:space="preserve"> (last visited May 22, 2019) (stating that there are “</w:t>
      </w:r>
      <w:r w:rsidRPr="001C6883">
        <w:t>more than 1,100</w:t>
      </w:r>
      <w:r>
        <w:t xml:space="preserve"> </w:t>
      </w:r>
      <w:r w:rsidRPr="001C6883">
        <w:t>federal, state, local, tribal, and territorial</w:t>
      </w:r>
      <w:r>
        <w:t xml:space="preserve"> </w:t>
      </w:r>
      <w:r w:rsidRPr="001C6883">
        <w:t>authorities</w:t>
      </w:r>
      <w:r>
        <w:t xml:space="preserve"> </w:t>
      </w:r>
      <w:r w:rsidRPr="001C6883">
        <w:t>that can use IPAWS to issue critical public alerts and warnings, and many more authorities that are in the process of obtaining the ability to issue alerts and warnings using IPAWS</w:t>
      </w:r>
      <w:r>
        <w:t>.”).</w:t>
      </w:r>
    </w:p>
  </w:footnote>
  <w:footnote w:id="4">
    <w:p w:rsidR="0087304F" w:rsidRPr="006E3D73" w14:paraId="22897FA0" w14:textId="42F1B3BD">
      <w:pPr>
        <w:pStyle w:val="FootnoteText"/>
      </w:pPr>
      <w:r>
        <w:rPr>
          <w:rStyle w:val="FootnoteReference"/>
        </w:rPr>
        <w:footnoteRef/>
      </w:r>
      <w:r>
        <w:t xml:space="preserve"> </w:t>
      </w:r>
      <w:r w:rsidR="006E3D73">
        <w:rPr>
          <w:i/>
        </w:rPr>
        <w:t>See</w:t>
      </w:r>
      <w:r w:rsidR="006E3D73">
        <w:t xml:space="preserve"> 47 CFR § 10.10(d) (“</w:t>
      </w:r>
      <w:r w:rsidRPr="006E3D73" w:rsidR="006E3D73">
        <w:t xml:space="preserve">A Commercial Mobile Service Provider (or CMS Provider) is an FCC licensee providing commercial mobile service as defined in section 332(d)(1) of the Communications Act of 1934 (47 U.S.C. 332(d)(1)). </w:t>
      </w:r>
      <w:r w:rsidR="00852B99">
        <w:t xml:space="preserve"> </w:t>
      </w:r>
      <w:r w:rsidRPr="006E3D73" w:rsidR="006E3D73">
        <w:t>Section 332(d)(1) defines the term commercial mobile service as any mobile service (as defined in 47 U.S.C. 153) that is provided for profit and makes interconnected service available to the public or to such classes of eligible users as to be effectively available to a substantial portion of the public, as specified by regulation by the Commission.</w:t>
      </w:r>
      <w:r w:rsidR="006E3D73">
        <w:t>”).</w:t>
      </w:r>
    </w:p>
  </w:footnote>
  <w:footnote w:id="5">
    <w:p w:rsidR="0009633D" w:rsidP="0009633D" w14:paraId="29D078A9" w14:textId="77777777">
      <w:pPr>
        <w:pStyle w:val="FootnoteText"/>
      </w:pPr>
      <w:r>
        <w:rPr>
          <w:rStyle w:val="FootnoteReference"/>
        </w:rPr>
        <w:footnoteRef/>
      </w:r>
      <w:r>
        <w:t xml:space="preserve"> </w:t>
      </w:r>
      <w:r>
        <w:rPr>
          <w:i/>
        </w:rPr>
        <w:t xml:space="preserve">See </w:t>
      </w:r>
      <w:r>
        <w:t xml:space="preserve">FCC, Wireless Emergency Alerts; Emergency Alert System; Correction, </w:t>
      </w:r>
      <w:r w:rsidRPr="0028065A">
        <w:t>83 F</w:t>
      </w:r>
      <w:r>
        <w:t xml:space="preserve">ed. </w:t>
      </w:r>
      <w:r w:rsidRPr="0028065A">
        <w:t>R</w:t>
      </w:r>
      <w:r>
        <w:t>eg.</w:t>
      </w:r>
      <w:r w:rsidRPr="0028065A">
        <w:t xml:space="preserve"> 10800</w:t>
      </w:r>
      <w:r>
        <w:t xml:space="preserve"> (Apr. 30, 2018).</w:t>
      </w:r>
    </w:p>
  </w:footnote>
  <w:footnote w:id="6">
    <w:p w:rsidR="0009633D" w:rsidP="0009633D" w14:paraId="3DB1BE44" w14:textId="350F5786">
      <w:pPr>
        <w:pStyle w:val="FootnoteText"/>
      </w:pPr>
      <w:r>
        <w:rPr>
          <w:rStyle w:val="FootnoteReference"/>
        </w:rPr>
        <w:footnoteRef/>
      </w:r>
      <w:r>
        <w:t xml:space="preserve"> </w:t>
      </w:r>
      <w:r>
        <w:rPr>
          <w:i/>
        </w:rPr>
        <w:t>See</w:t>
      </w:r>
      <w:r>
        <w:t xml:space="preserve"> </w:t>
      </w:r>
      <w:r w:rsidRPr="00E41D0A">
        <w:rPr>
          <w:i/>
        </w:rPr>
        <w:t>Wireless Emergency Alerts; Amendments to Part 11 of the Commission's Rules Regarding the Emergency Alert System</w:t>
      </w:r>
      <w:r w:rsidRPr="00E41D0A">
        <w:t xml:space="preserve">, </w:t>
      </w:r>
      <w:r w:rsidRPr="00A2399E">
        <w:t>PS Docket Nos. 15-91 and 15-94</w:t>
      </w:r>
      <w:r>
        <w:t xml:space="preserve">, Second </w:t>
      </w:r>
      <w:r w:rsidRPr="00E41D0A">
        <w:t xml:space="preserve">Report </w:t>
      </w:r>
      <w:r>
        <w:t xml:space="preserve">and Order </w:t>
      </w:r>
      <w:r w:rsidRPr="00E41D0A">
        <w:t xml:space="preserve">and </w:t>
      </w:r>
      <w:r>
        <w:t xml:space="preserve">Second </w:t>
      </w:r>
      <w:r w:rsidRPr="00E41D0A">
        <w:t xml:space="preserve">Order </w:t>
      </w:r>
      <w:r>
        <w:t>on Reconsideration</w:t>
      </w:r>
      <w:r w:rsidRPr="00E41D0A">
        <w:t xml:space="preserve">, </w:t>
      </w:r>
      <w:r w:rsidRPr="0028065A">
        <w:t>33 FCC Rcd 1320</w:t>
      </w:r>
      <w:r>
        <w:t>, 1324-25, para. 6 (2018)</w:t>
      </w:r>
      <w:r w:rsidR="0054208E">
        <w:t xml:space="preserve">; </w:t>
      </w:r>
      <w:r w:rsidR="0054208E">
        <w:rPr>
          <w:i/>
        </w:rPr>
        <w:t>see also</w:t>
      </w:r>
      <w:r w:rsidR="0054208E">
        <w:t xml:space="preserve"> FCC, Wireless Emergency Alerts; Emergency Alert System, 83 </w:t>
      </w:r>
      <w:r w:rsidR="00852B99">
        <w:t>F</w:t>
      </w:r>
      <w:r w:rsidR="0054208E">
        <w:t>ed. Reg. 8623 (Feb. 28</w:t>
      </w:r>
      <w:r w:rsidR="00852B99">
        <w:t>,</w:t>
      </w:r>
      <w:r w:rsidR="0054208E">
        <w:t xml:space="preserve"> 2018) </w:t>
      </w:r>
      <w:r w:rsidR="006E3D73">
        <w:t>(“</w:t>
      </w:r>
      <w:r w:rsidRPr="006E3D73" w:rsidR="006E3D73">
        <w:t xml:space="preserve">A Participating CMS Provider will determine which of its network facilities, elements, and locations will be used to geographically target Alert Messages. </w:t>
      </w:r>
      <w:r w:rsidR="00852B99">
        <w:t xml:space="preserve"> </w:t>
      </w:r>
      <w:r w:rsidRPr="006E3D73" w:rsidR="006E3D73">
        <w:t xml:space="preserve">A Participating CMS Provider must deliver any Alert Message that is specified by a circle or polygon to an area that matches the specified circle or polygon. </w:t>
      </w:r>
      <w:r w:rsidR="00852B99">
        <w:t xml:space="preserve"> </w:t>
      </w:r>
      <w:r w:rsidRPr="006E3D73" w:rsidR="006E3D73">
        <w:t>A Participating CMS Provider is considered to have matched the target area when they deliver an Alert Message to 100</w:t>
      </w:r>
      <w:r w:rsidR="00852B99">
        <w:t xml:space="preserve">% </w:t>
      </w:r>
      <w:r w:rsidRPr="006E3D73" w:rsidR="006E3D73">
        <w:t xml:space="preserve">of the target area with no more than 0.1 of a mile overshoot. </w:t>
      </w:r>
      <w:r w:rsidR="00852B99">
        <w:t xml:space="preserve"> </w:t>
      </w:r>
      <w:r w:rsidRPr="006E3D73" w:rsidR="006E3D73">
        <w:t xml:space="preserve">If some or all of a Participating CMS Provider's network infrastructure is technically incapable of matching the specified target area, then that Participating CMS Provider must deliver the Alert Message to an area that best approximates the specified target area on and only on those aspects of its network infrastructure that are incapable of matching the target area. </w:t>
      </w:r>
      <w:r w:rsidR="00852B99">
        <w:t xml:space="preserve"> </w:t>
      </w:r>
      <w:r w:rsidRPr="006E3D73" w:rsidR="006E3D73">
        <w:t>A Participating CMS Provider's network infrastructure may be considered technically incapable of matching the target area in limited circumstances, including when the target area is outside of the Participating CMS Provider's network coverage area, when mobile devices have location services disabled, and when legacy networks or devices cannot be updated to support this functionality.</w:t>
      </w:r>
      <w:r w:rsidR="006E3D73">
        <w:t>”).</w:t>
      </w:r>
    </w:p>
  </w:footnote>
  <w:footnote w:id="7">
    <w:p w:rsidR="0009633D" w:rsidP="0009633D" w14:paraId="66DD0C7E" w14:textId="77777777">
      <w:pPr>
        <w:pStyle w:val="FootnoteText"/>
      </w:pPr>
      <w:r>
        <w:rPr>
          <w:rStyle w:val="FootnoteReference"/>
        </w:rPr>
        <w:footnoteRef/>
      </w:r>
      <w:r>
        <w:t xml:space="preserve"> </w:t>
      </w:r>
      <w:r>
        <w:rPr>
          <w:i/>
        </w:rPr>
        <w:t xml:space="preserve">See </w:t>
      </w:r>
      <w:r>
        <w:t>47 CFR</w:t>
      </w:r>
      <w:r w:rsidRPr="00A97C16">
        <w:t xml:space="preserve"> § 10.</w:t>
      </w:r>
      <w:r>
        <w:t>350(c).</w:t>
      </w:r>
    </w:p>
  </w:footnote>
  <w:footnote w:id="8">
    <w:p w:rsidR="000A3E2B" w:rsidRPr="006E3D73" w14:paraId="2BAECCF7" w14:textId="3C9962AE">
      <w:pPr>
        <w:pStyle w:val="FootnoteText"/>
        <w:rPr>
          <w:u w:val="single"/>
        </w:rPr>
      </w:pPr>
      <w:r>
        <w:rPr>
          <w:rStyle w:val="FootnoteReference"/>
        </w:rPr>
        <w:footnoteRef/>
      </w:r>
      <w:r>
        <w:t xml:space="preserve"> If there are specific portions of the submission that an interested alert originator believes should not be made routinely available for public inspection because of reasons of public safety, </w:t>
      </w:r>
      <w:r w:rsidR="00AA0425">
        <w:t>i</w:t>
      </w:r>
      <w:r>
        <w:t xml:space="preserve">t may request confidential treatment for those portions pursuant to section 0.459 of the Commission’s rules. </w:t>
      </w:r>
      <w:r w:rsidR="006E3D73">
        <w:t xml:space="preserve"> </w:t>
      </w:r>
      <w:r w:rsidRPr="008F1401" w:rsidR="006E3D73">
        <w:t xml:space="preserve">47 CFR </w:t>
      </w:r>
      <w:r w:rsidRPr="00A97C16" w:rsidR="006E3D73">
        <w:t>§</w:t>
      </w:r>
      <w:r w:rsidR="006E3D73">
        <w:t xml:space="preserve"> 0.459.</w:t>
      </w:r>
    </w:p>
  </w:footnote>
  <w:footnote w:id="9">
    <w:p w:rsidR="0009633D" w:rsidRPr="00C147D3" w:rsidP="0009633D" w14:paraId="49353D27" w14:textId="6A7A774F">
      <w:pPr>
        <w:pStyle w:val="FootnoteText"/>
      </w:pPr>
      <w:r>
        <w:rPr>
          <w:rStyle w:val="FootnoteReference"/>
        </w:rPr>
        <w:footnoteRef/>
      </w:r>
      <w:r>
        <w:t xml:space="preserve"> I</w:t>
      </w:r>
      <w:r w:rsidRPr="00590A9E">
        <w:t>n 2016</w:t>
      </w:r>
      <w:r>
        <w:t>,</w:t>
      </w:r>
      <w:r w:rsidRPr="00590A9E">
        <w:t xml:space="preserve"> the Commission issued an FNRPM seeking comment on the data that </w:t>
      </w:r>
      <w:r>
        <w:t>Participating CMS P</w:t>
      </w:r>
      <w:r w:rsidRPr="00590A9E">
        <w:t xml:space="preserve">roviders would be required to gather in order to </w:t>
      </w:r>
      <w:r>
        <w:t>generate</w:t>
      </w:r>
      <w:r w:rsidRPr="00590A9E">
        <w:t xml:space="preserve"> statistically significant </w:t>
      </w:r>
      <w:r>
        <w:t>findings</w:t>
      </w:r>
      <w:r w:rsidRPr="00590A9E">
        <w:t xml:space="preserve"> on the accuracy of WEA geo-targeting</w:t>
      </w:r>
      <w:r>
        <w:t xml:space="preserve"> </w:t>
      </w:r>
      <w:r w:rsidRPr="00590A9E">
        <w:t>and</w:t>
      </w:r>
      <w:r>
        <w:t>,</w:t>
      </w:r>
      <w:r w:rsidRPr="00590A9E">
        <w:t xml:space="preserve"> in 2018, it issued an FNPRM seeking comment on how stakeholders could report </w:t>
      </w:r>
      <w:r>
        <w:t xml:space="preserve">on </w:t>
      </w:r>
      <w:r w:rsidRPr="00590A9E">
        <w:t>WEA performance</w:t>
      </w:r>
      <w:r>
        <w:t xml:space="preserve">.  </w:t>
      </w:r>
      <w:r>
        <w:rPr>
          <w:i/>
        </w:rPr>
        <w:t>See</w:t>
      </w:r>
      <w:r>
        <w:t xml:space="preserve"> </w:t>
      </w:r>
      <w:r w:rsidRPr="00E41D0A">
        <w:rPr>
          <w:i/>
        </w:rPr>
        <w:t>Wireless Emergency Alerts; Amendments to Part 11 of the Commission's Rules Regarding the Emergency Alert System</w:t>
      </w:r>
      <w:r w:rsidRPr="00E41D0A">
        <w:t xml:space="preserve">, </w:t>
      </w:r>
      <w:r w:rsidRPr="00A2399E">
        <w:t>PS Docket Nos. 15-91 and 15-94</w:t>
      </w:r>
      <w:r>
        <w:t xml:space="preserve">, </w:t>
      </w:r>
      <w:r w:rsidRPr="00E41D0A">
        <w:t xml:space="preserve">Report and Order and </w:t>
      </w:r>
      <w:r>
        <w:t>Further Notice of Proposed Rulemaking</w:t>
      </w:r>
      <w:r w:rsidRPr="00E41D0A">
        <w:t>, 30 FCC Rcd 11112, at 11211, para. 165 (2016)</w:t>
      </w:r>
      <w:r>
        <w:t>;</w:t>
      </w:r>
      <w:r w:rsidRPr="000D5D2B">
        <w:rPr>
          <w:i/>
        </w:rPr>
        <w:t xml:space="preserve"> Amendment of Part 11 of the Commission’s Rules Regarding the Emergency Alert System;</w:t>
      </w:r>
      <w:r w:rsidRPr="000D5D2B">
        <w:t xml:space="preserve"> </w:t>
      </w:r>
      <w:r w:rsidRPr="000D5D2B">
        <w:rPr>
          <w:i/>
        </w:rPr>
        <w:t>Wireless Emergency Alerts</w:t>
      </w:r>
      <w:r w:rsidRPr="000D5D2B">
        <w:t xml:space="preserve">, </w:t>
      </w:r>
      <w:r w:rsidRPr="00A2399E">
        <w:t>PS Docket Nos. 15-91 and 15-94</w:t>
      </w:r>
      <w:r>
        <w:t xml:space="preserve">, </w:t>
      </w:r>
      <w:r w:rsidRPr="000D5D2B">
        <w:t xml:space="preserve">Report and Order and Notice of Proposed Rulemaking, </w:t>
      </w:r>
      <w:r w:rsidRPr="0009633D">
        <w:rPr>
          <w:color w:val="000000"/>
        </w:rPr>
        <w:t>33 FCC Rcd 7086</w:t>
      </w:r>
      <w:r w:rsidRPr="0009633D">
        <w:rPr>
          <w:i/>
          <w:color w:val="000000"/>
        </w:rPr>
        <w:t xml:space="preserve">, </w:t>
      </w:r>
      <w:r w:rsidRPr="0009633D">
        <w:rPr>
          <w:color w:val="000000"/>
        </w:rPr>
        <w:t xml:space="preserve">at 8001-02, paras. 46-49 (2018) (focusing a subset of the questions on geo-targeting performance).  These issues remain pending. </w:t>
      </w:r>
    </w:p>
  </w:footnote>
  <w:footnote w:id="10">
    <w:p w:rsidR="0009633D" w:rsidP="0009633D" w14:paraId="1A77D2EB" w14:textId="77777777">
      <w:pPr>
        <w:pStyle w:val="FootnoteText"/>
      </w:pPr>
      <w:r>
        <w:rPr>
          <w:rStyle w:val="FootnoteReference"/>
        </w:rPr>
        <w:footnoteRef/>
      </w:r>
      <w:r>
        <w:t xml:space="preserve"> 47 CFR §§ 1.415, 1.419.</w:t>
      </w:r>
    </w:p>
  </w:footnote>
  <w:footnote w:id="11">
    <w:p w:rsidR="0009633D" w:rsidRPr="00801F23" w:rsidP="0009633D" w14:paraId="01E33B5F"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12">
    <w:p w:rsidR="0009633D" w:rsidRPr="00801F23" w:rsidP="0009633D" w14:paraId="05694F42"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3710672" w14:textId="3469E124">
    <w:pPr>
      <w:tabs>
        <w:tab w:val="center" w:pos="4680"/>
        <w:tab w:val="right" w:pos="9360"/>
      </w:tabs>
    </w:pPr>
    <w:r w:rsidRPr="009838BC">
      <w:rPr>
        <w:b/>
      </w:rPr>
      <w:tab/>
      <w:t>Federal Communications Commission</w:t>
    </w:r>
    <w:r w:rsidRPr="009838BC">
      <w:rPr>
        <w:b/>
      </w:rPr>
      <w:tab/>
    </w:r>
    <w:r w:rsidR="00852B99">
      <w:rPr>
        <w:b/>
      </w:rPr>
      <w:t>DA 19-551</w:t>
    </w:r>
  </w:p>
  <w:p w:rsidR="009838BC" w:rsidRPr="009838BC" w:rsidP="009838BC" w14:paraId="4210F6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FBF9BC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BF5C00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AB12479" w14:textId="77777777">
                    <w:pPr>
                      <w:rPr>
                        <w:rFonts w:ascii="Arial" w:hAnsi="Arial"/>
                        <w:b/>
                      </w:rPr>
                    </w:pPr>
                    <w:r>
                      <w:rPr>
                        <w:rFonts w:ascii="Arial" w:hAnsi="Arial"/>
                        <w:b/>
                      </w:rPr>
                      <w:t>Federal Communications Commission</w:t>
                    </w:r>
                  </w:p>
                  <w:p w:rsidR="009838BC" w:rsidP="009838BC" w14:paraId="38D1104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76A85E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1672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DD51CC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A0ABEF4" w14:textId="77777777">
                    <w:pPr>
                      <w:spacing w:before="40"/>
                      <w:jc w:val="right"/>
                      <w:rPr>
                        <w:rFonts w:ascii="Arial" w:hAnsi="Arial"/>
                        <w:b/>
                        <w:sz w:val="16"/>
                      </w:rPr>
                    </w:pPr>
                    <w:r>
                      <w:rPr>
                        <w:rFonts w:ascii="Arial" w:hAnsi="Arial"/>
                        <w:b/>
                        <w:sz w:val="16"/>
                      </w:rPr>
                      <w:t>News Media Information 202 / 418-0500</w:t>
                    </w:r>
                  </w:p>
                  <w:p w:rsidR="009838BC" w:rsidP="009838BC" w14:paraId="094C980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5A71AC25" w14:textId="77777777">
                    <w:pPr>
                      <w:jc w:val="right"/>
                    </w:pPr>
                    <w:r>
                      <w:rPr>
                        <w:rFonts w:ascii="Arial" w:hAnsi="Arial"/>
                        <w:b/>
                        <w:sz w:val="16"/>
                      </w:rPr>
                      <w:t>TTY: 1-888-835-5322</w:t>
                    </w:r>
                  </w:p>
                </w:txbxContent>
              </v:textbox>
            </v:shape>
          </w:pict>
        </mc:Fallback>
      </mc:AlternateContent>
    </w:r>
  </w:p>
  <w:p w:rsidR="006F7393" w:rsidRPr="009838BC" w:rsidP="009838BC" w14:paraId="63BD82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DB009F"/>
    <w:multiLevelType w:val="hybridMultilevel"/>
    <w:tmpl w:val="A88C9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424DCD"/>
    <w:multiLevelType w:val="hybridMultilevel"/>
    <w:tmpl w:val="B7B40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3D"/>
    <w:rsid w:val="000072CE"/>
    <w:rsid w:val="00012150"/>
    <w:rsid w:val="00013A8B"/>
    <w:rsid w:val="00021445"/>
    <w:rsid w:val="00031F49"/>
    <w:rsid w:val="00036039"/>
    <w:rsid w:val="00037F90"/>
    <w:rsid w:val="00047EC2"/>
    <w:rsid w:val="000875BF"/>
    <w:rsid w:val="0009633D"/>
    <w:rsid w:val="00096D8C"/>
    <w:rsid w:val="000A3E2B"/>
    <w:rsid w:val="000C0B65"/>
    <w:rsid w:val="000D5D2B"/>
    <w:rsid w:val="000D7702"/>
    <w:rsid w:val="000E3D42"/>
    <w:rsid w:val="000E5884"/>
    <w:rsid w:val="000F7C93"/>
    <w:rsid w:val="001136AE"/>
    <w:rsid w:val="00122BD5"/>
    <w:rsid w:val="001411E5"/>
    <w:rsid w:val="00153BD6"/>
    <w:rsid w:val="001959A4"/>
    <w:rsid w:val="001979D9"/>
    <w:rsid w:val="001C6883"/>
    <w:rsid w:val="001D6BCF"/>
    <w:rsid w:val="001E01CA"/>
    <w:rsid w:val="00202D99"/>
    <w:rsid w:val="002060D9"/>
    <w:rsid w:val="00226822"/>
    <w:rsid w:val="00260594"/>
    <w:rsid w:val="0028065A"/>
    <w:rsid w:val="00285017"/>
    <w:rsid w:val="002A2D2E"/>
    <w:rsid w:val="002E1C95"/>
    <w:rsid w:val="003046FA"/>
    <w:rsid w:val="00343749"/>
    <w:rsid w:val="00357D50"/>
    <w:rsid w:val="00387621"/>
    <w:rsid w:val="00391A31"/>
    <w:rsid w:val="003925DC"/>
    <w:rsid w:val="003B0550"/>
    <w:rsid w:val="003B694F"/>
    <w:rsid w:val="003F171C"/>
    <w:rsid w:val="00412FC5"/>
    <w:rsid w:val="00422276"/>
    <w:rsid w:val="004242F1"/>
    <w:rsid w:val="00426DC6"/>
    <w:rsid w:val="00442BA5"/>
    <w:rsid w:val="00445A00"/>
    <w:rsid w:val="00451B0F"/>
    <w:rsid w:val="00454821"/>
    <w:rsid w:val="0046125F"/>
    <w:rsid w:val="00487524"/>
    <w:rsid w:val="00496106"/>
    <w:rsid w:val="004B65E4"/>
    <w:rsid w:val="004C12D0"/>
    <w:rsid w:val="004C2EE3"/>
    <w:rsid w:val="004E4A22"/>
    <w:rsid w:val="004E77F3"/>
    <w:rsid w:val="00511968"/>
    <w:rsid w:val="00532724"/>
    <w:rsid w:val="0054208E"/>
    <w:rsid w:val="0055614C"/>
    <w:rsid w:val="00590A9E"/>
    <w:rsid w:val="005E7EE6"/>
    <w:rsid w:val="0060120F"/>
    <w:rsid w:val="00607BA5"/>
    <w:rsid w:val="006233CC"/>
    <w:rsid w:val="00626EB6"/>
    <w:rsid w:val="006270FF"/>
    <w:rsid w:val="006353A3"/>
    <w:rsid w:val="00655D03"/>
    <w:rsid w:val="00657071"/>
    <w:rsid w:val="00683F84"/>
    <w:rsid w:val="006A00B4"/>
    <w:rsid w:val="006A6A81"/>
    <w:rsid w:val="006B47B7"/>
    <w:rsid w:val="006C7A61"/>
    <w:rsid w:val="006E1BA8"/>
    <w:rsid w:val="006E26AF"/>
    <w:rsid w:val="006E3D73"/>
    <w:rsid w:val="006F351D"/>
    <w:rsid w:val="006F7393"/>
    <w:rsid w:val="0070224F"/>
    <w:rsid w:val="007115F7"/>
    <w:rsid w:val="00785689"/>
    <w:rsid w:val="0079754B"/>
    <w:rsid w:val="007A1E6D"/>
    <w:rsid w:val="007B2778"/>
    <w:rsid w:val="007B538F"/>
    <w:rsid w:val="00801F23"/>
    <w:rsid w:val="00822CE0"/>
    <w:rsid w:val="00837C62"/>
    <w:rsid w:val="00841AB1"/>
    <w:rsid w:val="00852B99"/>
    <w:rsid w:val="0087304F"/>
    <w:rsid w:val="00890EA9"/>
    <w:rsid w:val="00894088"/>
    <w:rsid w:val="008C22FD"/>
    <w:rsid w:val="008F1401"/>
    <w:rsid w:val="00904414"/>
    <w:rsid w:val="00910F12"/>
    <w:rsid w:val="00926503"/>
    <w:rsid w:val="00930ECF"/>
    <w:rsid w:val="00980DF4"/>
    <w:rsid w:val="009838BC"/>
    <w:rsid w:val="009F4EFE"/>
    <w:rsid w:val="00A13ACE"/>
    <w:rsid w:val="00A2399E"/>
    <w:rsid w:val="00A45F4F"/>
    <w:rsid w:val="00A600A9"/>
    <w:rsid w:val="00A866AC"/>
    <w:rsid w:val="00A97C16"/>
    <w:rsid w:val="00AA0425"/>
    <w:rsid w:val="00AA55B7"/>
    <w:rsid w:val="00AA59ED"/>
    <w:rsid w:val="00AA5B9E"/>
    <w:rsid w:val="00AB2407"/>
    <w:rsid w:val="00AB53DF"/>
    <w:rsid w:val="00B07E5C"/>
    <w:rsid w:val="00B20363"/>
    <w:rsid w:val="00B316C8"/>
    <w:rsid w:val="00B326E3"/>
    <w:rsid w:val="00B65D4E"/>
    <w:rsid w:val="00B811F7"/>
    <w:rsid w:val="00BA5DC6"/>
    <w:rsid w:val="00BA6196"/>
    <w:rsid w:val="00BC6D8C"/>
    <w:rsid w:val="00BD3F4F"/>
    <w:rsid w:val="00C147D3"/>
    <w:rsid w:val="00C16AF2"/>
    <w:rsid w:val="00C34006"/>
    <w:rsid w:val="00C42224"/>
    <w:rsid w:val="00C426B1"/>
    <w:rsid w:val="00C5471A"/>
    <w:rsid w:val="00C62E95"/>
    <w:rsid w:val="00C82B6B"/>
    <w:rsid w:val="00C90D6A"/>
    <w:rsid w:val="00CB40FC"/>
    <w:rsid w:val="00CC72B6"/>
    <w:rsid w:val="00D0218D"/>
    <w:rsid w:val="00D216CD"/>
    <w:rsid w:val="00DA2529"/>
    <w:rsid w:val="00DB130A"/>
    <w:rsid w:val="00DC10A1"/>
    <w:rsid w:val="00DC655F"/>
    <w:rsid w:val="00DD7EBD"/>
    <w:rsid w:val="00DF62B6"/>
    <w:rsid w:val="00E07225"/>
    <w:rsid w:val="00E073F2"/>
    <w:rsid w:val="00E155B7"/>
    <w:rsid w:val="00E415FD"/>
    <w:rsid w:val="00E41D0A"/>
    <w:rsid w:val="00E5409F"/>
    <w:rsid w:val="00E75F61"/>
    <w:rsid w:val="00EB1A9E"/>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09633D"/>
  </w:style>
  <w:style w:type="paragraph" w:styleId="ListParagraph">
    <w:name w:val="List Paragraph"/>
    <w:basedOn w:val="Normal"/>
    <w:uiPriority w:val="34"/>
    <w:qFormat/>
    <w:rsid w:val="0009633D"/>
    <w:pPr>
      <w:ind w:left="720"/>
      <w:contextualSpacing/>
    </w:pPr>
  </w:style>
  <w:style w:type="character" w:styleId="CommentReference">
    <w:name w:val="annotation reference"/>
    <w:basedOn w:val="DefaultParagraphFont"/>
    <w:uiPriority w:val="99"/>
    <w:semiHidden/>
    <w:unhideWhenUsed/>
    <w:rsid w:val="007B2778"/>
    <w:rPr>
      <w:sz w:val="16"/>
      <w:szCs w:val="16"/>
    </w:rPr>
  </w:style>
  <w:style w:type="paragraph" w:styleId="CommentText">
    <w:name w:val="annotation text"/>
    <w:basedOn w:val="Normal"/>
    <w:link w:val="CommentTextChar"/>
    <w:uiPriority w:val="99"/>
    <w:semiHidden/>
    <w:unhideWhenUsed/>
    <w:rsid w:val="007B2778"/>
    <w:rPr>
      <w:sz w:val="20"/>
    </w:rPr>
  </w:style>
  <w:style w:type="character" w:customStyle="1" w:styleId="CommentTextChar">
    <w:name w:val="Comment Text Char"/>
    <w:basedOn w:val="DefaultParagraphFont"/>
    <w:link w:val="CommentText"/>
    <w:uiPriority w:val="99"/>
    <w:semiHidden/>
    <w:rsid w:val="007B2778"/>
    <w:rPr>
      <w:snapToGrid w:val="0"/>
      <w:kern w:val="28"/>
    </w:rPr>
  </w:style>
  <w:style w:type="paragraph" w:styleId="CommentSubject">
    <w:name w:val="annotation subject"/>
    <w:basedOn w:val="CommentText"/>
    <w:next w:val="CommentText"/>
    <w:link w:val="CommentSubjectChar"/>
    <w:uiPriority w:val="99"/>
    <w:semiHidden/>
    <w:unhideWhenUsed/>
    <w:rsid w:val="007B2778"/>
    <w:rPr>
      <w:b/>
      <w:bCs/>
    </w:rPr>
  </w:style>
  <w:style w:type="character" w:customStyle="1" w:styleId="CommentSubjectChar">
    <w:name w:val="Comment Subject Char"/>
    <w:basedOn w:val="CommentTextChar"/>
    <w:link w:val="CommentSubject"/>
    <w:uiPriority w:val="99"/>
    <w:semiHidden/>
    <w:rsid w:val="007B2778"/>
    <w:rPr>
      <w:b/>
      <w:bCs/>
      <w:snapToGrid w:val="0"/>
      <w:kern w:val="28"/>
    </w:rPr>
  </w:style>
  <w:style w:type="paragraph" w:styleId="BalloonText">
    <w:name w:val="Balloon Text"/>
    <w:basedOn w:val="Normal"/>
    <w:link w:val="BalloonTextChar"/>
    <w:uiPriority w:val="99"/>
    <w:semiHidden/>
    <w:unhideWhenUsed/>
    <w:rsid w:val="007B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7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ames.Wile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alerting-authoriti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