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43C51" w:rsidRPr="001F3448" w:rsidP="0050052B" w14:paraId="1170D239" w14:textId="77777777">
      <w:pPr>
        <w:spacing w:after="0" w:line="240" w:lineRule="auto"/>
        <w:jc w:val="center"/>
      </w:pPr>
      <w:r w:rsidRPr="001F3448">
        <w:rPr>
          <w:szCs w:val="22"/>
        </w:rPr>
        <w:t>Before</w:t>
      </w:r>
      <w:r w:rsidRPr="001F3448">
        <w:t xml:space="preserve"> the</w:t>
      </w:r>
    </w:p>
    <w:p w:rsidR="00643C51" w:rsidRPr="001F3448" w:rsidP="0050052B" w14:paraId="303D92F9" w14:textId="77777777">
      <w:pPr>
        <w:pStyle w:val="StyleBoldCentered"/>
        <w:rPr>
          <w:rFonts w:ascii="Times New Roman" w:hAnsi="Times New Roman"/>
        </w:rPr>
      </w:pPr>
      <w:r w:rsidRPr="001F3448">
        <w:rPr>
          <w:rFonts w:ascii="Times New Roman" w:hAnsi="Times New Roman"/>
        </w:rPr>
        <w:t>F</w:t>
      </w:r>
      <w:r w:rsidRPr="001F3448">
        <w:rPr>
          <w:rFonts w:ascii="Times New Roman" w:hAnsi="Times New Roman"/>
          <w:caps w:val="0"/>
        </w:rPr>
        <w:t>ederal Communications Commission</w:t>
      </w:r>
    </w:p>
    <w:p w:rsidR="00643C51" w:rsidRPr="001F3448" w:rsidP="0050052B" w14:paraId="315BBD08" w14:textId="63F32046">
      <w:pPr>
        <w:pStyle w:val="StyleBoldCentered"/>
        <w:rPr>
          <w:rFonts w:ascii="Times New Roman" w:hAnsi="Times New Roman"/>
          <w:caps w:val="0"/>
        </w:rPr>
      </w:pPr>
      <w:r w:rsidRPr="001F3448">
        <w:rPr>
          <w:rFonts w:ascii="Times New Roman" w:hAnsi="Times New Roman"/>
          <w:caps w:val="0"/>
        </w:rPr>
        <w:t>Washington, D.C. 20554</w:t>
      </w:r>
    </w:p>
    <w:p w:rsidR="00934A99" w:rsidRPr="00934A99" w:rsidP="00934A99" w14:paraId="012A0E5A" w14:textId="77777777">
      <w:pPr>
        <w:pStyle w:val="StyleBoldCentered"/>
        <w:rPr>
          <w:rFonts w:ascii="Times New Roman" w:hAnsi="Times New Roman"/>
          <w:b w:val="0"/>
        </w:rPr>
      </w:pPr>
    </w:p>
    <w:p w:rsidR="00643C51" w:rsidP="003D29D0" w14:paraId="276FB9B8" w14:textId="77777777">
      <w:pPr>
        <w:spacing w:after="0"/>
      </w:pPr>
    </w:p>
    <w:tbl>
      <w:tblPr>
        <w:tblW w:w="0" w:type="auto"/>
        <w:tblLayout w:type="fixed"/>
        <w:tblLook w:val="0000"/>
      </w:tblPr>
      <w:tblGrid>
        <w:gridCol w:w="4698"/>
        <w:gridCol w:w="630"/>
        <w:gridCol w:w="4248"/>
      </w:tblGrid>
      <w:tr w14:paraId="7C01B589" w14:textId="77777777" w:rsidTr="00F906C4">
        <w:tblPrEx>
          <w:tblW w:w="0" w:type="auto"/>
          <w:tblLayout w:type="fixed"/>
          <w:tblLook w:val="0000"/>
        </w:tblPrEx>
        <w:tc>
          <w:tcPr>
            <w:tcW w:w="4698" w:type="dxa"/>
          </w:tcPr>
          <w:p w:rsidR="00643C51" w:rsidRPr="001F3448" w:rsidP="003D29D0" w14:paraId="04348B35" w14:textId="0C00D756">
            <w:pPr>
              <w:tabs>
                <w:tab w:val="center" w:pos="4680"/>
              </w:tabs>
              <w:suppressAutoHyphens/>
              <w:spacing w:after="0"/>
              <w:rPr>
                <w:b w:val="0"/>
                <w:spacing w:val="-2"/>
              </w:rPr>
            </w:pPr>
            <w:r w:rsidRPr="001F3448">
              <w:rPr>
                <w:b w:val="0"/>
                <w:spacing w:val="-2"/>
              </w:rPr>
              <w:t xml:space="preserve">In the Matter of </w:t>
            </w:r>
          </w:p>
          <w:p w:rsidR="00643C51" w:rsidRPr="001F3448" w:rsidP="003D29D0" w14:paraId="6ECD2F0B" w14:textId="77777777">
            <w:pPr>
              <w:tabs>
                <w:tab w:val="center" w:pos="4680"/>
              </w:tabs>
              <w:suppressAutoHyphens/>
              <w:spacing w:after="0"/>
              <w:rPr>
                <w:b w:val="0"/>
                <w:spacing w:val="-2"/>
              </w:rPr>
            </w:pPr>
          </w:p>
          <w:p w:rsidR="00643C51" w:rsidRPr="001F3448" w:rsidP="003D29D0" w14:paraId="50929B14" w14:textId="3585D61C">
            <w:pPr>
              <w:autoSpaceDE w:val="0"/>
              <w:autoSpaceDN w:val="0"/>
              <w:adjustRightInd w:val="0"/>
              <w:spacing w:after="0"/>
              <w:rPr>
                <w:b w:val="0"/>
                <w:spacing w:val="-2"/>
              </w:rPr>
            </w:pPr>
            <w:r w:rsidRPr="001F3448">
              <w:rPr>
                <w:b w:val="0"/>
                <w:spacing w:val="-2"/>
              </w:rPr>
              <w:t>Amendment of Section 73.622(</w:t>
            </w:r>
            <w:r w:rsidR="0014105C">
              <w:rPr>
                <w:b w:val="0"/>
                <w:spacing w:val="-2"/>
              </w:rPr>
              <w:t>i</w:t>
            </w:r>
            <w:r w:rsidRPr="001F3448">
              <w:rPr>
                <w:b w:val="0"/>
                <w:spacing w:val="-2"/>
              </w:rPr>
              <w:t xml:space="preserve">), </w:t>
            </w:r>
          </w:p>
          <w:p w:rsidR="00643C51" w:rsidP="003D29D0" w14:paraId="23541F44" w14:textId="18073A79">
            <w:pPr>
              <w:autoSpaceDE w:val="0"/>
              <w:autoSpaceDN w:val="0"/>
              <w:adjustRightInd w:val="0"/>
              <w:spacing w:after="0"/>
              <w:rPr>
                <w:b w:val="0"/>
                <w:spacing w:val="-2"/>
              </w:rPr>
            </w:pPr>
            <w:r w:rsidRPr="001F3448">
              <w:rPr>
                <w:b w:val="0"/>
                <w:spacing w:val="-2"/>
              </w:rPr>
              <w:t>Post-Transition Table of DTV Allotments</w:t>
            </w:r>
          </w:p>
          <w:p w:rsidR="00BF1681" w:rsidP="003D29D0" w14:paraId="3FF369DF" w14:textId="3B5672F5">
            <w:pPr>
              <w:autoSpaceDE w:val="0"/>
              <w:autoSpaceDN w:val="0"/>
              <w:adjustRightInd w:val="0"/>
              <w:spacing w:after="0"/>
              <w:rPr>
                <w:b w:val="0"/>
                <w:spacing w:val="-2"/>
              </w:rPr>
            </w:pPr>
            <w:r>
              <w:rPr>
                <w:b w:val="0"/>
                <w:spacing w:val="-2"/>
              </w:rPr>
              <w:t>Station WNLO(TV), Buffalo, New York</w:t>
            </w:r>
          </w:p>
          <w:p w:rsidR="00BF1681" w:rsidP="003D29D0" w14:paraId="7E84E5A2" w14:textId="4B6A86BD">
            <w:pPr>
              <w:autoSpaceDE w:val="0"/>
              <w:autoSpaceDN w:val="0"/>
              <w:adjustRightInd w:val="0"/>
              <w:spacing w:after="0"/>
              <w:rPr>
                <w:b w:val="0"/>
                <w:spacing w:val="-2"/>
              </w:rPr>
            </w:pPr>
          </w:p>
          <w:p w:rsidR="00BF1681" w:rsidP="003D29D0" w14:paraId="50BFE97C" w14:textId="6FCABABA">
            <w:pPr>
              <w:autoSpaceDE w:val="0"/>
              <w:autoSpaceDN w:val="0"/>
              <w:adjustRightInd w:val="0"/>
              <w:spacing w:after="0"/>
              <w:rPr>
                <w:b w:val="0"/>
                <w:spacing w:val="-2"/>
              </w:rPr>
            </w:pPr>
            <w:r>
              <w:rPr>
                <w:b w:val="0"/>
                <w:spacing w:val="-2"/>
              </w:rPr>
              <w:t>Amendment of Section 73.622(</w:t>
            </w:r>
            <w:r>
              <w:rPr>
                <w:b w:val="0"/>
                <w:spacing w:val="-2"/>
              </w:rPr>
              <w:t>i</w:t>
            </w:r>
            <w:r>
              <w:rPr>
                <w:b w:val="0"/>
                <w:spacing w:val="-2"/>
              </w:rPr>
              <w:t>)</w:t>
            </w:r>
          </w:p>
          <w:p w:rsidR="00BF1681" w:rsidP="003D29D0" w14:paraId="4F6A6FE6" w14:textId="5DCABCEC">
            <w:pPr>
              <w:autoSpaceDE w:val="0"/>
              <w:autoSpaceDN w:val="0"/>
              <w:adjustRightInd w:val="0"/>
              <w:spacing w:after="0"/>
              <w:rPr>
                <w:b w:val="0"/>
                <w:spacing w:val="-2"/>
              </w:rPr>
            </w:pPr>
            <w:r>
              <w:rPr>
                <w:b w:val="0"/>
                <w:spacing w:val="-2"/>
              </w:rPr>
              <w:t>Post Transition Table of DTV Allotments</w:t>
            </w:r>
          </w:p>
          <w:p w:rsidR="00BF1681" w:rsidRPr="001F3448" w:rsidP="003D29D0" w14:paraId="4B126A8A" w14:textId="5EE3DED0">
            <w:pPr>
              <w:autoSpaceDE w:val="0"/>
              <w:autoSpaceDN w:val="0"/>
              <w:adjustRightInd w:val="0"/>
              <w:spacing w:after="0"/>
              <w:rPr>
                <w:b w:val="0"/>
                <w:spacing w:val="-2"/>
              </w:rPr>
            </w:pPr>
            <w:r>
              <w:rPr>
                <w:b w:val="0"/>
                <w:spacing w:val="-2"/>
              </w:rPr>
              <w:t>S</w:t>
            </w:r>
            <w:r w:rsidR="00D025BC">
              <w:rPr>
                <w:b w:val="0"/>
                <w:spacing w:val="-2"/>
              </w:rPr>
              <w:t>t</w:t>
            </w:r>
            <w:r>
              <w:rPr>
                <w:b w:val="0"/>
                <w:spacing w:val="-2"/>
              </w:rPr>
              <w:t>ation WUTV(TV), Buffalo, New York</w:t>
            </w:r>
          </w:p>
          <w:p w:rsidR="00643C51" w:rsidRPr="001F3448" w:rsidP="003D29D0" w14:paraId="533429F9" w14:textId="77777777">
            <w:pPr>
              <w:autoSpaceDE w:val="0"/>
              <w:autoSpaceDN w:val="0"/>
              <w:adjustRightInd w:val="0"/>
              <w:spacing w:after="0"/>
              <w:rPr>
                <w:b w:val="0"/>
                <w:spacing w:val="-2"/>
              </w:rPr>
            </w:pPr>
          </w:p>
        </w:tc>
        <w:tc>
          <w:tcPr>
            <w:tcW w:w="630" w:type="dxa"/>
          </w:tcPr>
          <w:p w:rsidR="00643C51" w:rsidRPr="001F3448" w:rsidP="003D29D0" w14:paraId="133B2447" w14:textId="77777777">
            <w:pPr>
              <w:tabs>
                <w:tab w:val="center" w:pos="4680"/>
              </w:tabs>
              <w:suppressAutoHyphens/>
              <w:spacing w:after="0"/>
              <w:rPr>
                <w:b w:val="0"/>
                <w:spacing w:val="-2"/>
              </w:rPr>
            </w:pPr>
            <w:r w:rsidRPr="001F3448">
              <w:rPr>
                <w:b w:val="0"/>
                <w:spacing w:val="-2"/>
              </w:rPr>
              <w:t>)</w:t>
            </w:r>
          </w:p>
          <w:p w:rsidR="00643C51" w:rsidRPr="001F3448" w:rsidP="003D29D0" w14:paraId="5EEB8412" w14:textId="77777777">
            <w:pPr>
              <w:tabs>
                <w:tab w:val="center" w:pos="4680"/>
              </w:tabs>
              <w:suppressAutoHyphens/>
              <w:spacing w:after="0"/>
              <w:rPr>
                <w:b w:val="0"/>
                <w:spacing w:val="-2"/>
              </w:rPr>
            </w:pPr>
            <w:r w:rsidRPr="001F3448">
              <w:rPr>
                <w:b w:val="0"/>
                <w:spacing w:val="-2"/>
              </w:rPr>
              <w:t>)</w:t>
            </w:r>
          </w:p>
          <w:p w:rsidR="00643C51" w:rsidRPr="001F3448" w:rsidP="003D29D0" w14:paraId="0C367CEF" w14:textId="77777777">
            <w:pPr>
              <w:tabs>
                <w:tab w:val="center" w:pos="4680"/>
              </w:tabs>
              <w:suppressAutoHyphens/>
              <w:spacing w:after="0"/>
              <w:rPr>
                <w:b w:val="0"/>
                <w:spacing w:val="-2"/>
              </w:rPr>
            </w:pPr>
            <w:r w:rsidRPr="001F3448">
              <w:rPr>
                <w:b w:val="0"/>
                <w:spacing w:val="-2"/>
              </w:rPr>
              <w:t>)</w:t>
            </w:r>
          </w:p>
          <w:p w:rsidR="00643C51" w:rsidRPr="001F3448" w:rsidP="003D29D0" w14:paraId="2163A0DC" w14:textId="77777777">
            <w:pPr>
              <w:tabs>
                <w:tab w:val="center" w:pos="4680"/>
              </w:tabs>
              <w:suppressAutoHyphens/>
              <w:spacing w:after="0"/>
              <w:rPr>
                <w:b w:val="0"/>
                <w:spacing w:val="-2"/>
              </w:rPr>
            </w:pPr>
            <w:r w:rsidRPr="001F3448">
              <w:rPr>
                <w:b w:val="0"/>
                <w:spacing w:val="-2"/>
              </w:rPr>
              <w:t>)</w:t>
            </w:r>
          </w:p>
          <w:p w:rsidR="00643C51" w:rsidP="003D29D0" w14:paraId="1F524544" w14:textId="77777777">
            <w:pPr>
              <w:tabs>
                <w:tab w:val="center" w:pos="4680"/>
              </w:tabs>
              <w:suppressAutoHyphens/>
              <w:spacing w:after="0"/>
              <w:rPr>
                <w:b w:val="0"/>
                <w:spacing w:val="-2"/>
              </w:rPr>
            </w:pPr>
            <w:r w:rsidRPr="001F3448">
              <w:rPr>
                <w:b w:val="0"/>
                <w:spacing w:val="-2"/>
              </w:rPr>
              <w:t>)</w:t>
            </w:r>
          </w:p>
          <w:p w:rsidR="001C48C0" w:rsidP="003D29D0" w14:paraId="08C670B6" w14:textId="262375E1">
            <w:pPr>
              <w:tabs>
                <w:tab w:val="center" w:pos="4680"/>
              </w:tabs>
              <w:suppressAutoHyphens/>
              <w:spacing w:after="0"/>
              <w:rPr>
                <w:b w:val="0"/>
                <w:spacing w:val="-2"/>
              </w:rPr>
            </w:pPr>
            <w:r>
              <w:rPr>
                <w:b w:val="0"/>
                <w:spacing w:val="-2"/>
              </w:rPr>
              <w:t>)</w:t>
            </w:r>
          </w:p>
          <w:p w:rsidR="001C48C0" w:rsidP="003D29D0" w14:paraId="56093F8A" w14:textId="77777777">
            <w:pPr>
              <w:tabs>
                <w:tab w:val="center" w:pos="4680"/>
              </w:tabs>
              <w:suppressAutoHyphens/>
              <w:spacing w:after="0"/>
              <w:rPr>
                <w:b w:val="0"/>
                <w:spacing w:val="-2"/>
              </w:rPr>
            </w:pPr>
            <w:r>
              <w:rPr>
                <w:b w:val="0"/>
                <w:spacing w:val="-2"/>
              </w:rPr>
              <w:t>)</w:t>
            </w:r>
          </w:p>
          <w:p w:rsidR="00727D52" w:rsidP="003D29D0" w14:paraId="54F60CAF" w14:textId="77777777">
            <w:pPr>
              <w:tabs>
                <w:tab w:val="center" w:pos="4680"/>
              </w:tabs>
              <w:suppressAutoHyphens/>
              <w:spacing w:after="0"/>
              <w:rPr>
                <w:b w:val="0"/>
                <w:spacing w:val="-2"/>
              </w:rPr>
            </w:pPr>
            <w:r>
              <w:rPr>
                <w:b w:val="0"/>
                <w:spacing w:val="-2"/>
              </w:rPr>
              <w:t>)</w:t>
            </w:r>
          </w:p>
          <w:p w:rsidR="00727D52" w:rsidRPr="001F3448" w:rsidP="003D29D0" w14:paraId="6BC61C2A" w14:textId="7E518716">
            <w:pPr>
              <w:tabs>
                <w:tab w:val="center" w:pos="4680"/>
              </w:tabs>
              <w:suppressAutoHyphens/>
              <w:spacing w:after="0"/>
              <w:rPr>
                <w:b w:val="0"/>
                <w:spacing w:val="-2"/>
              </w:rPr>
            </w:pPr>
            <w:r>
              <w:rPr>
                <w:b w:val="0"/>
                <w:spacing w:val="-2"/>
              </w:rPr>
              <w:t>)</w:t>
            </w:r>
          </w:p>
        </w:tc>
        <w:tc>
          <w:tcPr>
            <w:tcW w:w="4248" w:type="dxa"/>
          </w:tcPr>
          <w:p w:rsidR="00643C51" w:rsidP="003D29D0" w14:paraId="2A3371EB" w14:textId="77777777">
            <w:pPr>
              <w:tabs>
                <w:tab w:val="center" w:pos="4680"/>
              </w:tabs>
              <w:suppressAutoHyphens/>
              <w:spacing w:after="0"/>
              <w:rPr>
                <w:spacing w:val="-2"/>
              </w:rPr>
            </w:pPr>
          </w:p>
          <w:p w:rsidR="00643C51" w:rsidP="003D29D0" w14:paraId="12A60530" w14:textId="77777777">
            <w:pPr>
              <w:pStyle w:val="TOAHeading"/>
              <w:tabs>
                <w:tab w:val="center" w:pos="4680"/>
                <w:tab w:val="clear" w:pos="9360"/>
              </w:tabs>
              <w:rPr>
                <w:spacing w:val="-2"/>
              </w:rPr>
            </w:pPr>
          </w:p>
          <w:p w:rsidR="00643C51" w:rsidRPr="001F3448" w:rsidP="003D29D0" w14:paraId="0621BA7D" w14:textId="2E03AC86">
            <w:pPr>
              <w:tabs>
                <w:tab w:val="center" w:pos="4680"/>
              </w:tabs>
              <w:suppressAutoHyphens/>
              <w:spacing w:after="0"/>
              <w:rPr>
                <w:b w:val="0"/>
                <w:spacing w:val="-2"/>
              </w:rPr>
            </w:pPr>
            <w:bookmarkStart w:id="0" w:name="_Hlk500146806"/>
            <w:r w:rsidRPr="001F3448">
              <w:rPr>
                <w:b w:val="0"/>
                <w:spacing w:val="-2"/>
              </w:rPr>
              <w:t>MB Docket No.</w:t>
            </w:r>
            <w:r w:rsidR="00C90FC8">
              <w:rPr>
                <w:b w:val="0"/>
                <w:spacing w:val="-2"/>
              </w:rPr>
              <w:t xml:space="preserve"> 19-118</w:t>
            </w:r>
          </w:p>
          <w:p w:rsidR="00643C51" w:rsidRPr="001F3448" w:rsidP="003D29D0" w14:paraId="56FBFBCA" w14:textId="3D6A8C27">
            <w:pPr>
              <w:tabs>
                <w:tab w:val="center" w:pos="4680"/>
              </w:tabs>
              <w:suppressAutoHyphens/>
              <w:spacing w:after="0"/>
              <w:rPr>
                <w:b w:val="0"/>
                <w:spacing w:val="-2"/>
              </w:rPr>
            </w:pPr>
            <w:r w:rsidRPr="001F3448">
              <w:rPr>
                <w:b w:val="0"/>
                <w:spacing w:val="-2"/>
              </w:rPr>
              <w:t>RM-</w:t>
            </w:r>
            <w:r w:rsidR="0077090F">
              <w:rPr>
                <w:b w:val="0"/>
                <w:spacing w:val="-2"/>
              </w:rPr>
              <w:t>11</w:t>
            </w:r>
            <w:r w:rsidR="00630DC2">
              <w:rPr>
                <w:b w:val="0"/>
                <w:spacing w:val="-2"/>
              </w:rPr>
              <w:t>838</w:t>
            </w:r>
          </w:p>
          <w:bookmarkEnd w:id="0"/>
          <w:p w:rsidR="00643C51" w:rsidP="003D29D0" w14:paraId="1BF75EEF" w14:textId="77777777">
            <w:pPr>
              <w:autoSpaceDE w:val="0"/>
              <w:autoSpaceDN w:val="0"/>
              <w:adjustRightInd w:val="0"/>
              <w:spacing w:after="0"/>
              <w:rPr>
                <w:spacing w:val="-2"/>
              </w:rPr>
            </w:pPr>
          </w:p>
        </w:tc>
      </w:tr>
    </w:tbl>
    <w:p w:rsidR="00630DC2" w:rsidP="003D29D0" w14:paraId="0CAF5B42" w14:textId="5B3538D9">
      <w:pPr>
        <w:pStyle w:val="StyleBoldCentered"/>
      </w:pPr>
      <w:r>
        <w:t>Report and Order</w:t>
      </w:r>
    </w:p>
    <w:p w:rsidR="00630DC2" w:rsidP="003D29D0" w14:paraId="490B7532" w14:textId="3008921E">
      <w:pPr>
        <w:pStyle w:val="StyleBoldCentered"/>
      </w:pPr>
      <w:r>
        <w:t>(Proceeding terminated)</w:t>
      </w:r>
    </w:p>
    <w:p w:rsidR="00B44C22" w:rsidP="009D171E" w14:paraId="66073288" w14:textId="77777777">
      <w:pPr>
        <w:tabs>
          <w:tab w:val="left" w:pos="720"/>
          <w:tab w:val="right" w:pos="9360"/>
        </w:tabs>
        <w:suppressAutoHyphens/>
        <w:spacing w:line="227" w:lineRule="auto"/>
        <w:rPr>
          <w:spacing w:val="-2"/>
        </w:rPr>
      </w:pPr>
    </w:p>
    <w:p w:rsidR="00643C51" w:rsidRPr="009D171E" w:rsidP="009D171E" w14:paraId="1D385E55" w14:textId="4717C273">
      <w:pPr>
        <w:tabs>
          <w:tab w:val="left" w:pos="720"/>
          <w:tab w:val="right" w:pos="9360"/>
        </w:tabs>
        <w:suppressAutoHyphens/>
        <w:spacing w:line="227" w:lineRule="auto"/>
        <w:rPr>
          <w:spacing w:val="-2"/>
        </w:rPr>
      </w:pPr>
      <w:r>
        <w:rPr>
          <w:spacing w:val="-2"/>
        </w:rPr>
        <w:t xml:space="preserve">Adopted:   </w:t>
      </w:r>
      <w:r w:rsidR="00765952">
        <w:rPr>
          <w:spacing w:val="-2"/>
        </w:rPr>
        <w:t>June 12, 2019</w:t>
      </w:r>
      <w:r>
        <w:rPr>
          <w:spacing w:val="-2"/>
        </w:rPr>
        <w:t xml:space="preserve">                                                                                          Released:  </w:t>
      </w:r>
      <w:r w:rsidR="00765952">
        <w:rPr>
          <w:spacing w:val="-2"/>
        </w:rPr>
        <w:t>June 12, 2019</w:t>
      </w:r>
    </w:p>
    <w:p w:rsidR="00643C51" w:rsidP="00433C06" w14:paraId="373364FD" w14:textId="06852643">
      <w:pPr>
        <w:tabs>
          <w:tab w:val="right" w:pos="9360"/>
        </w:tabs>
        <w:spacing w:after="0" w:line="240" w:lineRule="auto"/>
        <w:rPr>
          <w:b w:val="0"/>
          <w:spacing w:val="-2"/>
        </w:rPr>
      </w:pPr>
      <w:r w:rsidRPr="001F2699">
        <w:rPr>
          <w:b w:val="0"/>
        </w:rPr>
        <w:t>By the Chief, Video Division, Media Bureau</w:t>
      </w:r>
      <w:r w:rsidRPr="001F2699">
        <w:rPr>
          <w:b w:val="0"/>
          <w:spacing w:val="-2"/>
        </w:rPr>
        <w:t>:</w:t>
      </w:r>
      <w:r w:rsidR="00433C06">
        <w:rPr>
          <w:b w:val="0"/>
          <w:spacing w:val="-2"/>
        </w:rPr>
        <w:tab/>
      </w:r>
    </w:p>
    <w:p w:rsidR="00C26BF7" w:rsidRPr="003A6F35" w:rsidP="003A6F35" w14:paraId="78517F51" w14:textId="3F06427D">
      <w:pPr>
        <w:spacing w:after="120" w:line="240" w:lineRule="auto"/>
        <w:rPr>
          <w:spacing w:val="-2"/>
        </w:rPr>
      </w:pPr>
    </w:p>
    <w:p w:rsidR="003B31AD" w:rsidP="00B44C22" w14:paraId="298D65F8" w14:textId="2263C1FD">
      <w:pPr>
        <w:pStyle w:val="ParaNum"/>
        <w:tabs>
          <w:tab w:val="num" w:pos="1440"/>
        </w:tabs>
        <w:ind w:left="0"/>
      </w:pPr>
      <w:r>
        <w:t xml:space="preserve">At </w:t>
      </w:r>
      <w:r w:rsidR="00C90FC8">
        <w:t>the request of Nexstar Broadcasting, Inc. (Nexstar)</w:t>
      </w:r>
      <w:r>
        <w:t>, licensee of television station WNLO(TV), channel 32, Buffalo, New York (WNLO),</w:t>
      </w:r>
      <w:r w:rsidR="00C90FC8">
        <w:t xml:space="preserve"> and WUTV Licensee, LLC (WUTV Licensee)</w:t>
      </w:r>
      <w:r>
        <w:t xml:space="preserve">, licensee of television </w:t>
      </w:r>
      <w:r w:rsidRPr="001E2014">
        <w:t xml:space="preserve">station WUTV(TV), </w:t>
      </w:r>
      <w:r>
        <w:t>c</w:t>
      </w:r>
      <w:r w:rsidRPr="001E2014">
        <w:t>hannel 36, Buffalo, New York</w:t>
      </w:r>
      <w:r>
        <w:t>,</w:t>
      </w:r>
      <w:r>
        <w:rPr>
          <w:rStyle w:val="FootnoteReference"/>
        </w:rPr>
        <w:footnoteReference w:id="3"/>
      </w:r>
      <w:r w:rsidRPr="001E2014">
        <w:t xml:space="preserve">  </w:t>
      </w:r>
      <w:r>
        <w:t xml:space="preserve">the Commission has before it the Notice of Proposed Rulemaking proposing </w:t>
      </w:r>
      <w:r w:rsidR="0001198D">
        <w:t>the substitution of</w:t>
      </w:r>
      <w:r>
        <w:t xml:space="preserve"> </w:t>
      </w:r>
      <w:r w:rsidR="00630DC2">
        <w:t xml:space="preserve">channels for </w:t>
      </w:r>
      <w:r>
        <w:t xml:space="preserve">DTV </w:t>
      </w:r>
      <w:r w:rsidR="0001198D">
        <w:t>s</w:t>
      </w:r>
      <w:r>
        <w:t>tations WNLO</w:t>
      </w:r>
      <w:r w:rsidR="00DD4DCC">
        <w:t xml:space="preserve"> (currently channel 32)</w:t>
      </w:r>
      <w:r>
        <w:t xml:space="preserve"> and WUTV</w:t>
      </w:r>
      <w:r w:rsidR="00DD4DCC">
        <w:t xml:space="preserve"> (currently channel 36)</w:t>
      </w:r>
      <w:r w:rsidR="00C90FC8">
        <w:t>.</w:t>
      </w:r>
      <w:r>
        <w:t xml:space="preserve">  </w:t>
      </w:r>
      <w:r w:rsidR="00346CCD">
        <w:t>The Joint Petitioners</w:t>
      </w:r>
      <w:r w:rsidRPr="001E2014" w:rsidR="00385930">
        <w:t xml:space="preserve"> </w:t>
      </w:r>
      <w:r w:rsidRPr="001E2014" w:rsidR="00772A7F">
        <w:t xml:space="preserve">also </w:t>
      </w:r>
      <w:r w:rsidR="001E2014">
        <w:t>request</w:t>
      </w:r>
      <w:r w:rsidR="00C90FC8">
        <w:t>ed</w:t>
      </w:r>
      <w:r w:rsidR="001E2014">
        <w:t xml:space="preserve"> a waiver o</w:t>
      </w:r>
      <w:r w:rsidR="00D025BC">
        <w:t>f</w:t>
      </w:r>
      <w:r w:rsidR="001E2014">
        <w:t xml:space="preserve"> the Media Bureau’s current freeze </w:t>
      </w:r>
      <w:r w:rsidR="00D025BC">
        <w:t>on</w:t>
      </w:r>
      <w:r w:rsidR="001E2014">
        <w:t xml:space="preserve"> </w:t>
      </w:r>
      <w:r w:rsidR="00727D52">
        <w:t xml:space="preserve">the </w:t>
      </w:r>
      <w:r w:rsidR="001E2014">
        <w:t xml:space="preserve">filing and processing </w:t>
      </w:r>
      <w:r w:rsidR="009E2C43">
        <w:t xml:space="preserve">of </w:t>
      </w:r>
      <w:r w:rsidR="001E2014">
        <w:t>petitions for digital channel substitution</w:t>
      </w:r>
      <w:r w:rsidR="00D025BC">
        <w:t>s</w:t>
      </w:r>
      <w:r w:rsidR="001E2014">
        <w:t xml:space="preserve"> and </w:t>
      </w:r>
      <w:r w:rsidR="00D025BC">
        <w:t xml:space="preserve">minor </w:t>
      </w:r>
      <w:r w:rsidR="001E2014">
        <w:t>modification applications</w:t>
      </w:r>
      <w:r w:rsidR="00D025BC">
        <w:t xml:space="preserve"> for changes to existing television service areas that would increase a full power television station’s noise limited contour</w:t>
      </w:r>
      <w:r w:rsidR="00385930">
        <w:t>.</w:t>
      </w:r>
      <w:r>
        <w:rPr>
          <w:rStyle w:val="FootnoteReference"/>
        </w:rPr>
        <w:footnoteReference w:id="4"/>
      </w:r>
      <w:r w:rsidR="00AB5CFC">
        <w:t xml:space="preserve"> </w:t>
      </w:r>
    </w:p>
    <w:p w:rsidR="0001198D" w:rsidP="00B44C22" w14:paraId="4FF31A6A" w14:textId="7381E4E7">
      <w:pPr>
        <w:pStyle w:val="ParaNum"/>
        <w:tabs>
          <w:tab w:val="num" w:pos="1440"/>
        </w:tabs>
        <w:ind w:left="0"/>
      </w:pPr>
      <w:r>
        <w:t>In response to a petition for rulemaking filed by Nexstar</w:t>
      </w:r>
      <w:r w:rsidR="00744227">
        <w:t xml:space="preserve"> and WUTV Licensee</w:t>
      </w:r>
      <w:r>
        <w:t>, the Commission issued a Notice of Proposed Rulemaking.</w:t>
      </w:r>
      <w:r>
        <w:rPr>
          <w:rStyle w:val="FootnoteReference"/>
        </w:rPr>
        <w:footnoteReference w:id="5"/>
      </w:r>
      <w:r>
        <w:t xml:space="preserve">  Nexstar </w:t>
      </w:r>
      <w:r w:rsidR="00630DC2">
        <w:t xml:space="preserve">and WUTV Licensee </w:t>
      </w:r>
      <w:r>
        <w:t xml:space="preserve">filed comments reaffirming </w:t>
      </w:r>
      <w:r w:rsidR="00630DC2">
        <w:t>their</w:t>
      </w:r>
      <w:r>
        <w:t xml:space="preserve"> interest in the proposed channel substitution</w:t>
      </w:r>
      <w:r w:rsidR="008327A9">
        <w:t>.</w:t>
      </w:r>
      <w:r>
        <w:rPr>
          <w:rStyle w:val="FootnoteReference"/>
        </w:rPr>
        <w:footnoteReference w:id="6"/>
      </w:r>
      <w:r w:rsidR="008327A9">
        <w:t xml:space="preserve">  No other comments were received.</w:t>
      </w:r>
    </w:p>
    <w:p w:rsidR="00977A8C" w:rsidRPr="00977A8C" w:rsidP="00B44C22" w14:paraId="269FCD65" w14:textId="12270E3C">
      <w:pPr>
        <w:pStyle w:val="ParaNum"/>
        <w:ind w:left="0"/>
      </w:pPr>
      <w:r>
        <w:rPr>
          <w:color w:val="212121"/>
        </w:rPr>
        <w:t>Upon review of the record</w:t>
      </w:r>
      <w:r w:rsidR="00521781">
        <w:rPr>
          <w:color w:val="212121"/>
        </w:rPr>
        <w:t>, w</w:t>
      </w:r>
      <w:r w:rsidRPr="00521781" w:rsidR="00C64FCB">
        <w:rPr>
          <w:color w:val="212121"/>
        </w:rPr>
        <w:t xml:space="preserve">e </w:t>
      </w:r>
      <w:r>
        <w:rPr>
          <w:color w:val="212121"/>
        </w:rPr>
        <w:t>conclude that the public interest will be served by granting Nexstar’s and WUTV Licensee’s request to s</w:t>
      </w:r>
      <w:r w:rsidR="00DD4DCC">
        <w:rPr>
          <w:color w:val="212121"/>
        </w:rPr>
        <w:t>wap their</w:t>
      </w:r>
      <w:r>
        <w:rPr>
          <w:color w:val="212121"/>
        </w:rPr>
        <w:t xml:space="preserve"> channel</w:t>
      </w:r>
      <w:r w:rsidR="00DD4DCC">
        <w:rPr>
          <w:color w:val="212121"/>
        </w:rPr>
        <w:t>s</w:t>
      </w:r>
      <w:r w:rsidRPr="00977A8C">
        <w:rPr>
          <w:color w:val="212121"/>
        </w:rPr>
        <w:t>.</w:t>
      </w:r>
      <w:r w:rsidRPr="00977A8C">
        <w:t xml:space="preserve">  </w:t>
      </w:r>
      <w:r w:rsidRPr="00977A8C">
        <w:t xml:space="preserve">As </w:t>
      </w:r>
      <w:r w:rsidR="00DD4DCC">
        <w:t xml:space="preserve">discussed in the </w:t>
      </w:r>
      <w:r w:rsidRPr="00DD4DCC" w:rsidR="00DD4DCC">
        <w:rPr>
          <w:i/>
        </w:rPr>
        <w:t>NPRM</w:t>
      </w:r>
      <w:r w:rsidR="00DD4DCC">
        <w:rPr>
          <w:i/>
        </w:rPr>
        <w:t xml:space="preserve">, </w:t>
      </w:r>
      <w:r w:rsidR="00DD4DCC">
        <w:t xml:space="preserve">as </w:t>
      </w:r>
      <w:r w:rsidRPr="00977A8C">
        <w:t xml:space="preserve">a result of the Commission’s Incentive Auction, </w:t>
      </w:r>
      <w:r w:rsidR="00DD4DCC">
        <w:t xml:space="preserve">co-owned </w:t>
      </w:r>
      <w:r w:rsidRPr="00977A8C">
        <w:t xml:space="preserve">WNLO </w:t>
      </w:r>
      <w:r w:rsidR="00DD4DCC">
        <w:t xml:space="preserve">(CW) </w:t>
      </w:r>
      <w:r w:rsidRPr="00977A8C">
        <w:t xml:space="preserve">and </w:t>
      </w:r>
      <w:r w:rsidR="00DD4DCC">
        <w:t>WIVB-TV</w:t>
      </w:r>
      <w:r w:rsidRPr="00977A8C">
        <w:t xml:space="preserve"> (CBS), entered into a channel sharing agreement whereby WIVB relinquished its facilities on channel 39 and began operating </w:t>
      </w:r>
      <w:r w:rsidRPr="00977A8C">
        <w:t>on a shared basis on WNLO’s facilities on channel 32 on April 16, 2018.</w:t>
      </w:r>
      <w:r>
        <w:rPr>
          <w:rStyle w:val="FootnoteReference"/>
        </w:rPr>
        <w:footnoteReference w:id="7"/>
      </w:r>
      <w:r w:rsidRPr="00977A8C">
        <w:t xml:space="preserve">  Under the </w:t>
      </w:r>
      <w:r w:rsidR="00DD4DCC">
        <w:t xml:space="preserve">channel sharing </w:t>
      </w:r>
      <w:r w:rsidRPr="00977A8C">
        <w:t>arrangement, certain viewers no longer receive WIVB over the air as they historically did, and Nexstar is unable to modify WNLO’s channel 32 technical facilities, which were not changed in the incentive auction repacking process, to restore service to these WIVB viewers.</w:t>
      </w:r>
      <w:r>
        <w:rPr>
          <w:rStyle w:val="FootnoteReference"/>
        </w:rPr>
        <w:footnoteReference w:id="8"/>
      </w:r>
      <w:r w:rsidRPr="00977A8C">
        <w:t xml:space="preserve">  The </w:t>
      </w:r>
      <w:r w:rsidR="00F965D0">
        <w:t xml:space="preserve">channel </w:t>
      </w:r>
      <w:r w:rsidRPr="00977A8C">
        <w:t>substitution would allow for a more efficient allocation of UHF television channels and resolve significant over-the-air reception problems in WIVB’s prior service area, while WUTV can continue to operate with no material impact to WUTV’s viewers.</w:t>
      </w:r>
      <w:r>
        <w:rPr>
          <w:rStyle w:val="FootnoteReference"/>
        </w:rPr>
        <w:footnoteReference w:id="9"/>
      </w:r>
      <w:r w:rsidRPr="00977A8C">
        <w:t xml:space="preserve">  </w:t>
      </w:r>
      <w:r w:rsidR="00DD4DCC">
        <w:t>Under the proposed channel swap, WNLO (and WIVB) would operate on channel 36 and WUTV on channel 32.</w:t>
      </w:r>
      <w:r w:rsidR="00ED36EB">
        <w:t xml:space="preserve">  As proposed, WUTV – which was repacked from channel 14 to channel 32 and obtained a construction permit to construct its post-auction facility from the former WIVB site- would continue to operate from its existing pre-auction</w:t>
      </w:r>
      <w:r w:rsidR="004A348C">
        <w:t xml:space="preserve"> site</w:t>
      </w:r>
      <w:r w:rsidR="00ED36EB">
        <w:t>, with no negative impact on WUTV’s present viewers. WNLO would relocate its transmission facility to the former WIVB site, replicate WIVB’s antenna pattern, and restore over-the-air service to 364,172 viewers.</w:t>
      </w:r>
    </w:p>
    <w:p w:rsidR="00F926FE" w:rsidRPr="00521781" w:rsidP="00B44C22" w14:paraId="1837AE0A" w14:textId="5AE6D1EE">
      <w:pPr>
        <w:pStyle w:val="ParaNum"/>
        <w:ind w:left="0"/>
      </w:pPr>
      <w:r w:rsidRPr="00C379FD">
        <w:rPr>
          <w:color w:val="212121"/>
        </w:rPr>
        <w:t xml:space="preserve"> </w:t>
      </w:r>
      <w:r w:rsidRPr="00C379FD" w:rsidR="00C64FCB">
        <w:rPr>
          <w:color w:val="212121"/>
        </w:rPr>
        <w:t xml:space="preserve"> </w:t>
      </w:r>
      <w:r w:rsidR="00C379FD">
        <w:rPr>
          <w:color w:val="212121"/>
        </w:rPr>
        <w:t xml:space="preserve">As proposed, </w:t>
      </w:r>
      <w:r w:rsidRPr="001E2014" w:rsidR="00816B24">
        <w:t xml:space="preserve">DTV </w:t>
      </w:r>
      <w:r w:rsidR="009F2EE8">
        <w:t>c</w:t>
      </w:r>
      <w:r w:rsidRPr="001E2014" w:rsidR="00816B24">
        <w:t xml:space="preserve">hannel 32 </w:t>
      </w:r>
      <w:r w:rsidR="00816B24">
        <w:t>can be substituted for</w:t>
      </w:r>
      <w:r w:rsidRPr="001E2014" w:rsidR="00816B24">
        <w:t xml:space="preserve"> DTV </w:t>
      </w:r>
      <w:r w:rsidR="009F2EE8">
        <w:t>c</w:t>
      </w:r>
      <w:r w:rsidR="00EF7A47">
        <w:t>hannel</w:t>
      </w:r>
      <w:r w:rsidRPr="001E2014" w:rsidR="00816B24">
        <w:t xml:space="preserve"> 36</w:t>
      </w:r>
      <w:r w:rsidR="0081248C">
        <w:t xml:space="preserve"> at Buffalo, New York, and DTV </w:t>
      </w:r>
      <w:r w:rsidR="009F2EE8">
        <w:t>c</w:t>
      </w:r>
      <w:r w:rsidR="00EF7A47">
        <w:t>hannel</w:t>
      </w:r>
      <w:r w:rsidR="0081248C">
        <w:t xml:space="preserve"> 36 can be substituted for DTV </w:t>
      </w:r>
      <w:r w:rsidR="009F2EE8">
        <w:t>c</w:t>
      </w:r>
      <w:r w:rsidR="00EF7A47">
        <w:t>hannel</w:t>
      </w:r>
      <w:r w:rsidR="0081248C">
        <w:t xml:space="preserve"> 32 at Buffalo, New York</w:t>
      </w:r>
      <w:r w:rsidRPr="00C379FD" w:rsidR="00C64FCB">
        <w:rPr>
          <w:color w:val="212121"/>
        </w:rPr>
        <w:t xml:space="preserve">, in compliance with the principle community coverage requirements of </w:t>
      </w:r>
      <w:r w:rsidRPr="00C379FD" w:rsidR="00500576">
        <w:rPr>
          <w:color w:val="212121"/>
        </w:rPr>
        <w:t>section</w:t>
      </w:r>
      <w:r w:rsidRPr="00C379FD" w:rsidR="00C64FCB">
        <w:rPr>
          <w:color w:val="212121"/>
        </w:rPr>
        <w:t xml:space="preserve"> 73.625(a) at coordinates (</w:t>
      </w:r>
      <w:r w:rsidRPr="00C379FD" w:rsidR="0075743C">
        <w:rPr>
          <w:color w:val="212121"/>
        </w:rPr>
        <w:t>43</w:t>
      </w:r>
      <w:r w:rsidRPr="00C379FD" w:rsidR="00C64FCB">
        <w:rPr>
          <w:color w:val="212121"/>
        </w:rPr>
        <w:t>-</w:t>
      </w:r>
      <w:r w:rsidRPr="00C379FD" w:rsidR="0075743C">
        <w:rPr>
          <w:color w:val="212121"/>
        </w:rPr>
        <w:t>01</w:t>
      </w:r>
      <w:r w:rsidRPr="00C379FD" w:rsidR="00C64FCB">
        <w:rPr>
          <w:color w:val="212121"/>
        </w:rPr>
        <w:t>-</w:t>
      </w:r>
      <w:r w:rsidRPr="00C379FD" w:rsidR="00AF4207">
        <w:rPr>
          <w:color w:val="212121"/>
        </w:rPr>
        <w:t xml:space="preserve">32.2 </w:t>
      </w:r>
      <w:r w:rsidRPr="00C379FD" w:rsidR="00C64FCB">
        <w:rPr>
          <w:color w:val="212121"/>
        </w:rPr>
        <w:t>N. and</w:t>
      </w:r>
      <w:r w:rsidRPr="00C379FD" w:rsidR="0075743C">
        <w:rPr>
          <w:color w:val="212121"/>
        </w:rPr>
        <w:t xml:space="preserve"> 078</w:t>
      </w:r>
      <w:r w:rsidRPr="00C379FD" w:rsidR="00C64FCB">
        <w:rPr>
          <w:color w:val="212121"/>
        </w:rPr>
        <w:t>-</w:t>
      </w:r>
      <w:r w:rsidRPr="00C379FD" w:rsidR="0075743C">
        <w:rPr>
          <w:color w:val="212121"/>
        </w:rPr>
        <w:t>55</w:t>
      </w:r>
      <w:r w:rsidRPr="00C379FD" w:rsidR="00C64FCB">
        <w:rPr>
          <w:color w:val="212121"/>
        </w:rPr>
        <w:t>-</w:t>
      </w:r>
      <w:r w:rsidRPr="00C379FD" w:rsidR="00AF4207">
        <w:rPr>
          <w:color w:val="212121"/>
        </w:rPr>
        <w:t>42.1</w:t>
      </w:r>
      <w:r w:rsidRPr="00C379FD" w:rsidR="00C64FCB">
        <w:rPr>
          <w:color w:val="212121"/>
        </w:rPr>
        <w:t xml:space="preserve"> W.)</w:t>
      </w:r>
      <w:r w:rsidRPr="00C379FD" w:rsidR="0075743C">
        <w:rPr>
          <w:color w:val="212121"/>
        </w:rPr>
        <w:t xml:space="preserve"> for </w:t>
      </w:r>
      <w:r w:rsidRPr="00C379FD" w:rsidR="009F2EE8">
        <w:rPr>
          <w:color w:val="212121"/>
        </w:rPr>
        <w:t>c</w:t>
      </w:r>
      <w:r w:rsidRPr="00C379FD" w:rsidR="00E63E9D">
        <w:rPr>
          <w:color w:val="212121"/>
        </w:rPr>
        <w:t>hannel</w:t>
      </w:r>
      <w:r w:rsidRPr="00C379FD" w:rsidR="0075743C">
        <w:rPr>
          <w:color w:val="212121"/>
        </w:rPr>
        <w:t xml:space="preserve"> 32</w:t>
      </w:r>
      <w:r w:rsidRPr="00C379FD" w:rsidR="00C64FCB">
        <w:rPr>
          <w:color w:val="212121"/>
        </w:rPr>
        <w:t xml:space="preserve"> and (</w:t>
      </w:r>
      <w:r w:rsidRPr="00C379FD" w:rsidR="00084999">
        <w:rPr>
          <w:color w:val="212121"/>
        </w:rPr>
        <w:t>42</w:t>
      </w:r>
      <w:r w:rsidRPr="00C379FD" w:rsidR="00C64FCB">
        <w:rPr>
          <w:color w:val="212121"/>
        </w:rPr>
        <w:t>-</w:t>
      </w:r>
      <w:r w:rsidRPr="00C379FD" w:rsidR="00AF4207">
        <w:rPr>
          <w:color w:val="212121"/>
        </w:rPr>
        <w:t>39</w:t>
      </w:r>
      <w:r w:rsidRPr="00C379FD" w:rsidR="00C64FCB">
        <w:rPr>
          <w:color w:val="212121"/>
        </w:rPr>
        <w:t>-</w:t>
      </w:r>
      <w:r w:rsidRPr="00C379FD" w:rsidR="00AF4207">
        <w:rPr>
          <w:color w:val="212121"/>
        </w:rPr>
        <w:t xml:space="preserve">33 </w:t>
      </w:r>
      <w:r w:rsidRPr="00C379FD" w:rsidR="00C64FCB">
        <w:rPr>
          <w:color w:val="212121"/>
        </w:rPr>
        <w:t xml:space="preserve">N. and </w:t>
      </w:r>
      <w:r w:rsidRPr="00C379FD" w:rsidR="0075743C">
        <w:rPr>
          <w:color w:val="212121"/>
        </w:rPr>
        <w:t>078-</w:t>
      </w:r>
      <w:r w:rsidRPr="00C379FD" w:rsidR="00AF4207">
        <w:rPr>
          <w:color w:val="212121"/>
        </w:rPr>
        <w:t>37</w:t>
      </w:r>
      <w:r w:rsidRPr="00C379FD" w:rsidR="0075743C">
        <w:rPr>
          <w:color w:val="212121"/>
        </w:rPr>
        <w:t>-</w:t>
      </w:r>
      <w:r w:rsidRPr="00C379FD" w:rsidR="00AF4207">
        <w:rPr>
          <w:color w:val="212121"/>
        </w:rPr>
        <w:t xml:space="preserve">32 </w:t>
      </w:r>
      <w:r w:rsidRPr="00C379FD" w:rsidR="00C64FCB">
        <w:rPr>
          <w:color w:val="212121"/>
        </w:rPr>
        <w:t>W.)</w:t>
      </w:r>
      <w:r w:rsidRPr="00C379FD" w:rsidR="0075743C">
        <w:rPr>
          <w:color w:val="212121"/>
        </w:rPr>
        <w:t xml:space="preserve"> for </w:t>
      </w:r>
      <w:r w:rsidRPr="00C379FD" w:rsidR="009F2EE8">
        <w:rPr>
          <w:color w:val="212121"/>
        </w:rPr>
        <w:t>c</w:t>
      </w:r>
      <w:r w:rsidRPr="00C379FD" w:rsidR="00E63E9D">
        <w:rPr>
          <w:color w:val="212121"/>
        </w:rPr>
        <w:t>hannel</w:t>
      </w:r>
      <w:r w:rsidRPr="00C379FD" w:rsidR="0075743C">
        <w:rPr>
          <w:color w:val="212121"/>
        </w:rPr>
        <w:t xml:space="preserve"> 36</w:t>
      </w:r>
      <w:r w:rsidRPr="00C379FD" w:rsidR="00C64FCB">
        <w:rPr>
          <w:color w:val="212121"/>
        </w:rPr>
        <w:t>.</w:t>
      </w:r>
      <w:r>
        <w:rPr>
          <w:rStyle w:val="FootnoteReference"/>
        </w:rPr>
        <w:footnoteReference w:id="10"/>
      </w:r>
      <w:r w:rsidRPr="00C379FD" w:rsidR="00C64FCB">
        <w:rPr>
          <w:color w:val="212121"/>
        </w:rPr>
        <w:t xml:space="preserve"> </w:t>
      </w:r>
    </w:p>
    <w:p w:rsidR="00521781" w:rsidRPr="00737CFD" w:rsidP="00B44C22" w14:paraId="7FD2FE91" w14:textId="157B021C">
      <w:pPr>
        <w:pStyle w:val="ParaNum"/>
        <w:widowControl/>
        <w:tabs>
          <w:tab w:val="num" w:pos="1440"/>
        </w:tabs>
        <w:ind w:left="0"/>
        <w:rPr>
          <w:szCs w:val="22"/>
        </w:rPr>
      </w:pPr>
      <w:r>
        <w:rPr>
          <w:color w:val="212121"/>
          <w:szCs w:val="22"/>
        </w:rPr>
        <w:t>In addition, we find that this channel change meets the technical requirements set forth in Sections 73.</w:t>
      </w:r>
      <w:r w:rsidR="00977A8C">
        <w:rPr>
          <w:color w:val="212121"/>
          <w:szCs w:val="22"/>
        </w:rPr>
        <w:t>622(</w:t>
      </w:r>
      <w:r w:rsidR="00977A8C">
        <w:rPr>
          <w:color w:val="212121"/>
          <w:szCs w:val="22"/>
        </w:rPr>
        <w:t>i</w:t>
      </w:r>
      <w:r w:rsidR="00977A8C">
        <w:rPr>
          <w:color w:val="212121"/>
          <w:szCs w:val="22"/>
        </w:rPr>
        <w:t>)</w:t>
      </w:r>
      <w:r>
        <w:rPr>
          <w:color w:val="212121"/>
          <w:szCs w:val="22"/>
        </w:rPr>
        <w:t xml:space="preserve"> of the Commission’s rules</w:t>
      </w:r>
      <w:r>
        <w:rPr>
          <w:rStyle w:val="FootnoteReference"/>
          <w:szCs w:val="22"/>
        </w:rPr>
        <w:footnoteReference w:id="11"/>
      </w:r>
      <w:r>
        <w:rPr>
          <w:color w:val="212121"/>
          <w:szCs w:val="22"/>
        </w:rPr>
        <w:t xml:space="preserve"> with the following specifications</w:t>
      </w:r>
      <w:r w:rsidRPr="00737CFD" w:rsidR="00C64FCB">
        <w:rPr>
          <w:color w:val="212121"/>
          <w:szCs w:val="22"/>
        </w:rPr>
        <w:t>:</w:t>
      </w:r>
    </w:p>
    <w:p w:rsidR="00521781" w:rsidRPr="00F926FE" w:rsidP="00B44C22" w14:paraId="4443D624" w14:textId="77777777">
      <w:pPr>
        <w:pStyle w:val="ParaNum"/>
        <w:widowControl/>
        <w:numPr>
          <w:ilvl w:val="0"/>
          <w:numId w:val="0"/>
        </w:numPr>
        <w:ind w:firstLine="720"/>
        <w:rPr>
          <w:szCs w:val="22"/>
        </w:rPr>
      </w:pPr>
    </w:p>
    <w:tbl>
      <w:tblPr>
        <w:tblStyle w:val="TableGrid"/>
        <w:tblW w:w="0" w:type="auto"/>
        <w:tblInd w:w="720" w:type="dxa"/>
        <w:tblLook w:val="04A0"/>
      </w:tblPr>
      <w:tblGrid>
        <w:gridCol w:w="1795"/>
        <w:gridCol w:w="2340"/>
        <w:gridCol w:w="2333"/>
        <w:gridCol w:w="2162"/>
      </w:tblGrid>
      <w:tr w14:paraId="1FCD3436" w14:textId="77777777" w:rsidTr="0075743C">
        <w:tblPrEx>
          <w:tblW w:w="0" w:type="auto"/>
          <w:tblInd w:w="720" w:type="dxa"/>
          <w:tblLook w:val="04A0"/>
        </w:tblPrEx>
        <w:tc>
          <w:tcPr>
            <w:tcW w:w="1795" w:type="dxa"/>
          </w:tcPr>
          <w:p w:rsidR="00E8456A" w:rsidP="00B44C22" w14:paraId="3BFC5E56" w14:textId="791B2FE5">
            <w:pPr>
              <w:pStyle w:val="ParaNum"/>
              <w:widowControl/>
              <w:numPr>
                <w:ilvl w:val="0"/>
                <w:numId w:val="0"/>
              </w:numPr>
              <w:ind w:firstLine="720"/>
              <w:jc w:val="center"/>
            </w:pPr>
            <w:r>
              <w:t>City and State</w:t>
            </w:r>
          </w:p>
        </w:tc>
        <w:tc>
          <w:tcPr>
            <w:tcW w:w="2340" w:type="dxa"/>
          </w:tcPr>
          <w:p w:rsidR="00E8456A" w:rsidP="00B44C22" w14:paraId="5BBBDD9C" w14:textId="79CAB91F">
            <w:pPr>
              <w:pStyle w:val="ParaNum"/>
              <w:widowControl/>
              <w:numPr>
                <w:ilvl w:val="0"/>
                <w:numId w:val="0"/>
              </w:numPr>
              <w:ind w:firstLine="720"/>
              <w:jc w:val="center"/>
            </w:pPr>
            <w:r>
              <w:t>DTV Channel</w:t>
            </w:r>
          </w:p>
        </w:tc>
        <w:tc>
          <w:tcPr>
            <w:tcW w:w="2333" w:type="dxa"/>
          </w:tcPr>
          <w:p w:rsidR="00E8456A" w:rsidP="00B44C22" w14:paraId="513197BE" w14:textId="4C13D18B">
            <w:pPr>
              <w:pStyle w:val="ParaNum"/>
              <w:widowControl/>
              <w:numPr>
                <w:ilvl w:val="0"/>
                <w:numId w:val="0"/>
              </w:numPr>
              <w:ind w:firstLine="720"/>
            </w:pPr>
            <w:r>
              <w:t>DTV power (kW)</w:t>
            </w:r>
          </w:p>
        </w:tc>
        <w:tc>
          <w:tcPr>
            <w:tcW w:w="2162" w:type="dxa"/>
          </w:tcPr>
          <w:p w:rsidR="00E8456A" w:rsidP="00B44C22" w14:paraId="76972757" w14:textId="4914E061">
            <w:pPr>
              <w:pStyle w:val="ParaNum"/>
              <w:widowControl/>
              <w:numPr>
                <w:ilvl w:val="0"/>
                <w:numId w:val="0"/>
              </w:numPr>
              <w:ind w:firstLine="720"/>
            </w:pPr>
            <w:r>
              <w:t>Antenna HAAT (m)</w:t>
            </w:r>
          </w:p>
        </w:tc>
      </w:tr>
      <w:tr w14:paraId="383E9CC2" w14:textId="77777777" w:rsidTr="0075743C">
        <w:tblPrEx>
          <w:tblW w:w="0" w:type="auto"/>
          <w:tblInd w:w="720" w:type="dxa"/>
          <w:tblLook w:val="04A0"/>
        </w:tblPrEx>
        <w:tc>
          <w:tcPr>
            <w:tcW w:w="1795" w:type="dxa"/>
          </w:tcPr>
          <w:p w:rsidR="00E8456A" w:rsidP="00B44C22" w14:paraId="1E58BBFC" w14:textId="23095F9A">
            <w:pPr>
              <w:pStyle w:val="ParaNum"/>
              <w:widowControl/>
              <w:numPr>
                <w:ilvl w:val="0"/>
                <w:numId w:val="0"/>
              </w:numPr>
              <w:ind w:firstLine="720"/>
              <w:jc w:val="center"/>
            </w:pPr>
            <w:r>
              <w:t>Buffalo, New York</w:t>
            </w:r>
          </w:p>
        </w:tc>
        <w:tc>
          <w:tcPr>
            <w:tcW w:w="2340" w:type="dxa"/>
          </w:tcPr>
          <w:p w:rsidR="00E8456A" w:rsidP="00B44C22" w14:paraId="4D306725" w14:textId="5EB9E10D">
            <w:pPr>
              <w:pStyle w:val="ParaNum"/>
              <w:widowControl/>
              <w:numPr>
                <w:ilvl w:val="0"/>
                <w:numId w:val="0"/>
              </w:numPr>
              <w:ind w:firstLine="720"/>
              <w:jc w:val="center"/>
            </w:pPr>
            <w:r>
              <w:t>32</w:t>
            </w:r>
          </w:p>
        </w:tc>
        <w:tc>
          <w:tcPr>
            <w:tcW w:w="2333" w:type="dxa"/>
          </w:tcPr>
          <w:p w:rsidR="00E8456A" w:rsidP="00B44C22" w14:paraId="54F1E3E9" w14:textId="1AA53F4D">
            <w:pPr>
              <w:pStyle w:val="ParaNum"/>
              <w:widowControl/>
              <w:numPr>
                <w:ilvl w:val="0"/>
                <w:numId w:val="0"/>
              </w:numPr>
              <w:ind w:firstLine="720"/>
              <w:jc w:val="center"/>
            </w:pPr>
            <w:r>
              <w:t>1000.00</w:t>
            </w:r>
          </w:p>
        </w:tc>
        <w:tc>
          <w:tcPr>
            <w:tcW w:w="2162" w:type="dxa"/>
          </w:tcPr>
          <w:p w:rsidR="00E8456A" w:rsidP="00B44C22" w14:paraId="5EC149F1" w14:textId="31732254">
            <w:pPr>
              <w:pStyle w:val="ParaNum"/>
              <w:widowControl/>
              <w:numPr>
                <w:ilvl w:val="0"/>
                <w:numId w:val="0"/>
              </w:numPr>
              <w:ind w:firstLine="720"/>
              <w:jc w:val="center"/>
            </w:pPr>
            <w:r>
              <w:t>329.0</w:t>
            </w:r>
          </w:p>
        </w:tc>
      </w:tr>
      <w:tr w14:paraId="6F17752A" w14:textId="77777777" w:rsidTr="0075743C">
        <w:tblPrEx>
          <w:tblW w:w="0" w:type="auto"/>
          <w:tblInd w:w="720" w:type="dxa"/>
          <w:tblLook w:val="04A0"/>
        </w:tblPrEx>
        <w:tc>
          <w:tcPr>
            <w:tcW w:w="1795" w:type="dxa"/>
          </w:tcPr>
          <w:p w:rsidR="00E8456A" w:rsidP="00B44C22" w14:paraId="5510A221" w14:textId="39A550B7">
            <w:pPr>
              <w:pStyle w:val="ParaNum"/>
              <w:widowControl/>
              <w:numPr>
                <w:ilvl w:val="0"/>
                <w:numId w:val="0"/>
              </w:numPr>
              <w:ind w:firstLine="720"/>
              <w:jc w:val="center"/>
            </w:pPr>
            <w:r>
              <w:t>Buffalo, New York</w:t>
            </w:r>
          </w:p>
        </w:tc>
        <w:tc>
          <w:tcPr>
            <w:tcW w:w="2340" w:type="dxa"/>
          </w:tcPr>
          <w:p w:rsidR="00E8456A" w:rsidP="00B44C22" w14:paraId="7A28BC27" w14:textId="1FD59D13">
            <w:pPr>
              <w:pStyle w:val="ParaNum"/>
              <w:widowControl/>
              <w:numPr>
                <w:ilvl w:val="0"/>
                <w:numId w:val="0"/>
              </w:numPr>
              <w:ind w:firstLine="720"/>
              <w:jc w:val="center"/>
            </w:pPr>
            <w:r>
              <w:t>36</w:t>
            </w:r>
          </w:p>
        </w:tc>
        <w:tc>
          <w:tcPr>
            <w:tcW w:w="2333" w:type="dxa"/>
          </w:tcPr>
          <w:p w:rsidR="00E8456A" w:rsidP="00B44C22" w14:paraId="07C72127" w14:textId="21025047">
            <w:pPr>
              <w:pStyle w:val="ParaNum"/>
              <w:widowControl/>
              <w:numPr>
                <w:ilvl w:val="0"/>
                <w:numId w:val="0"/>
              </w:numPr>
              <w:ind w:firstLine="720"/>
              <w:jc w:val="center"/>
            </w:pPr>
            <w:r>
              <w:t>800</w:t>
            </w:r>
            <w:r w:rsidR="0075743C">
              <w:t>.00</w:t>
            </w:r>
          </w:p>
        </w:tc>
        <w:tc>
          <w:tcPr>
            <w:tcW w:w="2162" w:type="dxa"/>
          </w:tcPr>
          <w:p w:rsidR="00E8456A" w:rsidP="00B44C22" w14:paraId="7D4F87BE" w14:textId="70CE6EC2">
            <w:pPr>
              <w:pStyle w:val="ParaNum"/>
              <w:widowControl/>
              <w:numPr>
                <w:ilvl w:val="0"/>
                <w:numId w:val="0"/>
              </w:numPr>
              <w:ind w:firstLine="720"/>
              <w:jc w:val="center"/>
            </w:pPr>
            <w:r>
              <w:t>415.0</w:t>
            </w:r>
          </w:p>
        </w:tc>
      </w:tr>
    </w:tbl>
    <w:p w:rsidR="00643C51" w:rsidP="00B44C22" w14:paraId="3447EE1D" w14:textId="48C211CE">
      <w:pPr>
        <w:pStyle w:val="ParaNum"/>
        <w:numPr>
          <w:ilvl w:val="0"/>
          <w:numId w:val="0"/>
        </w:numPr>
        <w:ind w:firstLine="720"/>
      </w:pPr>
    </w:p>
    <w:p w:rsidR="00F56757" w:rsidRPr="00F56757" w:rsidP="00B44C22" w14:paraId="7C21C3A0" w14:textId="3D2A8ADC">
      <w:pPr>
        <w:pStyle w:val="ParaNum"/>
        <w:ind w:left="0"/>
      </w:pPr>
      <w:r w:rsidRPr="00737CFD">
        <w:rPr>
          <w:color w:val="212121"/>
        </w:rPr>
        <w:t xml:space="preserve">  </w:t>
      </w:r>
      <w:r w:rsidRPr="00185675">
        <w:rPr>
          <w:color w:val="212121"/>
        </w:rPr>
        <w:t>We also conclude that good cause exists to make the channel change effective immediately upon publication in the Federal Register, pursuant to Section 553(d)(3) of the Administrative Procedure Act.</w:t>
      </w:r>
      <w:r>
        <w:rPr>
          <w:rStyle w:val="FootnoteReference"/>
        </w:rPr>
        <w:footnoteReference w:id="12"/>
      </w:r>
      <w:r w:rsidRPr="00185675">
        <w:rPr>
          <w:color w:val="212121"/>
        </w:rPr>
        <w:t xml:space="preserve">  An expedited effective date will allow </w:t>
      </w:r>
      <w:r w:rsidRPr="00185675" w:rsidR="00030246">
        <w:rPr>
          <w:color w:val="212121"/>
        </w:rPr>
        <w:t>WUTV</w:t>
      </w:r>
      <w:r w:rsidRPr="00185675">
        <w:rPr>
          <w:color w:val="212121"/>
        </w:rPr>
        <w:t xml:space="preserve"> to promptly </w:t>
      </w:r>
      <w:r w:rsidR="00366DFF">
        <w:rPr>
          <w:color w:val="212121"/>
        </w:rPr>
        <w:t>construct its post-auction facilities by its August 2, 2019 construction deadline.</w:t>
      </w:r>
    </w:p>
    <w:p w:rsidR="00F56757" w:rsidRPr="00922FC8" w:rsidP="00B44C22" w14:paraId="4503F059" w14:textId="7C953586">
      <w:pPr>
        <w:pStyle w:val="ParaNum"/>
        <w:autoSpaceDE w:val="0"/>
        <w:autoSpaceDN w:val="0"/>
        <w:adjustRightInd w:val="0"/>
        <w:spacing w:after="0"/>
        <w:ind w:left="0"/>
        <w:rPr>
          <w:rFonts w:ascii="TimesNewRoman" w:hAnsi="TimesNewRoman" w:cs="TimesNewRoman"/>
          <w:snapToGrid/>
          <w:szCs w:val="22"/>
        </w:rPr>
      </w:pPr>
      <w:r w:rsidRPr="00922FC8">
        <w:rPr>
          <w:rFonts w:ascii="TimesNewRoman" w:hAnsi="TimesNewRoman" w:cs="TimesNewRoman"/>
          <w:snapToGrid/>
          <w:szCs w:val="22"/>
        </w:rPr>
        <w:t>Accordingly, pursuant to the authority contained in Sections 4(</w:t>
      </w:r>
      <w:r w:rsidRPr="00922FC8">
        <w:rPr>
          <w:rFonts w:ascii="TimesNewRoman" w:hAnsi="TimesNewRoman" w:cs="TimesNewRoman"/>
          <w:snapToGrid/>
          <w:szCs w:val="22"/>
        </w:rPr>
        <w:t>i</w:t>
      </w:r>
      <w:r w:rsidRPr="00922FC8">
        <w:rPr>
          <w:rFonts w:ascii="TimesNewRoman" w:hAnsi="TimesNewRoman" w:cs="TimesNewRoman"/>
          <w:snapToGrid/>
          <w:szCs w:val="22"/>
        </w:rPr>
        <w:t>), 5(c)(1), 303(g) and (r), and 307(b) of the Communications Act of 1934, as amended, and Sections 0.61, 0.204(b), and 0.283 of the</w:t>
      </w:r>
      <w:r w:rsidRPr="00922FC8" w:rsidR="00922FC8">
        <w:rPr>
          <w:rFonts w:ascii="TimesNewRoman" w:hAnsi="TimesNewRoman" w:cs="TimesNewRoman"/>
          <w:snapToGrid/>
          <w:szCs w:val="22"/>
        </w:rPr>
        <w:t xml:space="preserve"> </w:t>
      </w:r>
      <w:r w:rsidRPr="00922FC8">
        <w:rPr>
          <w:rFonts w:ascii="TimesNewRoman" w:hAnsi="TimesNewRoman" w:cs="TimesNewRoman"/>
          <w:snapToGrid/>
          <w:szCs w:val="22"/>
        </w:rPr>
        <w:t xml:space="preserve">Commission’s rules, </w:t>
      </w:r>
      <w:r w:rsidRPr="00922FC8">
        <w:rPr>
          <w:rFonts w:ascii="TimesNewRoman,Bold" w:hAnsi="TimesNewRoman,Bold" w:cs="TimesNewRoman,Bold"/>
          <w:bCs/>
          <w:snapToGrid/>
          <w:szCs w:val="22"/>
        </w:rPr>
        <w:t xml:space="preserve">IT IS ORDERED, </w:t>
      </w:r>
      <w:r w:rsidRPr="00922FC8">
        <w:rPr>
          <w:rFonts w:ascii="TimesNewRoman" w:hAnsi="TimesNewRoman" w:cs="TimesNewRoman"/>
          <w:snapToGrid/>
          <w:szCs w:val="22"/>
        </w:rPr>
        <w:t xml:space="preserve">That effective immediately after the date of publication of </w:t>
      </w:r>
      <w:r w:rsidRPr="00922FC8">
        <w:rPr>
          <w:rFonts w:ascii="TimesNewRoman" w:hAnsi="TimesNewRoman" w:cs="TimesNewRoman"/>
          <w:snapToGrid/>
          <w:szCs w:val="22"/>
        </w:rPr>
        <w:t>thisReport</w:t>
      </w:r>
      <w:r w:rsidRPr="00922FC8">
        <w:rPr>
          <w:rFonts w:ascii="TimesNewRoman" w:hAnsi="TimesNewRoman" w:cs="TimesNewRoman"/>
          <w:snapToGrid/>
          <w:szCs w:val="22"/>
        </w:rPr>
        <w:t xml:space="preserve"> and Order in the Federal Register, the Post-Transition Table of DTV Allotments, Section 73.622(</w:t>
      </w:r>
      <w:r w:rsidRPr="00922FC8">
        <w:rPr>
          <w:rFonts w:ascii="TimesNewRoman" w:hAnsi="TimesNewRoman" w:cs="TimesNewRoman"/>
          <w:snapToGrid/>
          <w:szCs w:val="22"/>
        </w:rPr>
        <w:t>i</w:t>
      </w:r>
      <w:r w:rsidRPr="00922FC8">
        <w:rPr>
          <w:rFonts w:ascii="TimesNewRoman" w:hAnsi="TimesNewRoman" w:cs="TimesNewRoman"/>
          <w:snapToGrid/>
          <w:szCs w:val="22"/>
        </w:rPr>
        <w:t xml:space="preserve">)of the Commission’s rules, </w:t>
      </w:r>
      <w:r w:rsidRPr="00922FC8">
        <w:rPr>
          <w:rFonts w:ascii="TimesNewRoman,Bold" w:hAnsi="TimesNewRoman,Bold" w:cs="TimesNewRoman,Bold"/>
          <w:bCs/>
          <w:snapToGrid/>
          <w:szCs w:val="22"/>
        </w:rPr>
        <w:t xml:space="preserve">IS AMENDED </w:t>
      </w:r>
      <w:r w:rsidRPr="00922FC8">
        <w:rPr>
          <w:rFonts w:ascii="TimesNewRoman" w:hAnsi="TimesNewRoman" w:cs="TimesNewRoman"/>
          <w:snapToGrid/>
          <w:szCs w:val="22"/>
        </w:rPr>
        <w:t xml:space="preserve">with respect to the </w:t>
      </w:r>
      <w:r w:rsidRPr="00922FC8">
        <w:rPr>
          <w:rFonts w:ascii="TimesNewRoman" w:hAnsi="TimesNewRoman" w:cs="TimesNewRoman"/>
          <w:snapToGrid/>
          <w:szCs w:val="22"/>
        </w:rPr>
        <w:t>community listed below, to read as</w:t>
      </w:r>
      <w:r w:rsidR="00922FC8">
        <w:rPr>
          <w:rFonts w:ascii="TimesNewRoman" w:hAnsi="TimesNewRoman" w:cs="TimesNewRoman"/>
          <w:snapToGrid/>
          <w:szCs w:val="22"/>
        </w:rPr>
        <w:t xml:space="preserve"> </w:t>
      </w:r>
      <w:r w:rsidRPr="00922FC8">
        <w:rPr>
          <w:rFonts w:ascii="TimesNewRoman" w:hAnsi="TimesNewRoman" w:cs="TimesNewRoman"/>
          <w:snapToGrid/>
          <w:szCs w:val="22"/>
        </w:rPr>
        <w:t>follows:</w:t>
      </w:r>
    </w:p>
    <w:p w:rsidR="003313DC" w:rsidP="00B44C22" w14:paraId="4432ABF0" w14:textId="77777777">
      <w:pPr>
        <w:autoSpaceDE w:val="0"/>
        <w:autoSpaceDN w:val="0"/>
        <w:adjustRightInd w:val="0"/>
        <w:spacing w:after="0" w:line="240" w:lineRule="auto"/>
        <w:ind w:firstLine="720"/>
        <w:rPr>
          <w:rFonts w:ascii="TimesNewRoman" w:eastAsia="Times New Roman" w:hAnsi="TimesNewRoman" w:cs="TimesNewRoman"/>
          <w:b w:val="0"/>
          <w:snapToGrid/>
          <w:szCs w:val="22"/>
        </w:rPr>
      </w:pPr>
    </w:p>
    <w:p w:rsidR="00F56757" w:rsidP="00B44C22" w14:paraId="43285994" w14:textId="3ED8691C">
      <w:pPr>
        <w:autoSpaceDE w:val="0"/>
        <w:autoSpaceDN w:val="0"/>
        <w:adjustRightInd w:val="0"/>
        <w:spacing w:after="0" w:line="240" w:lineRule="auto"/>
        <w:ind w:firstLine="720"/>
        <w:rPr>
          <w:rFonts w:ascii="TimesNewRoman" w:eastAsia="Times New Roman" w:hAnsi="TimesNewRoman" w:cs="TimesNewRoman"/>
          <w:b w:val="0"/>
          <w:snapToGrid/>
          <w:szCs w:val="22"/>
        </w:rPr>
      </w:pPr>
      <w:r>
        <w:rPr>
          <w:rFonts w:ascii="TimesNewRoman" w:eastAsia="Times New Roman" w:hAnsi="TimesNewRoman" w:cs="TimesNewRoman"/>
          <w:b w:val="0"/>
          <w:snapToGrid/>
          <w:szCs w:val="22"/>
        </w:rPr>
        <w:t xml:space="preserve">City and State         </w:t>
      </w:r>
      <w:r w:rsidR="003313DC">
        <w:rPr>
          <w:rFonts w:ascii="TimesNewRoman" w:eastAsia="Times New Roman" w:hAnsi="TimesNewRoman" w:cs="TimesNewRoman"/>
          <w:b w:val="0"/>
          <w:snapToGrid/>
          <w:szCs w:val="22"/>
        </w:rPr>
        <w:t xml:space="preserve">        </w:t>
      </w:r>
      <w:r w:rsidR="003313DC">
        <w:rPr>
          <w:rFonts w:ascii="TimesNewRoman" w:eastAsia="Times New Roman" w:hAnsi="TimesNewRoman" w:cs="TimesNewRoman"/>
          <w:b w:val="0"/>
          <w:snapToGrid/>
          <w:szCs w:val="22"/>
        </w:rPr>
        <w:tab/>
        <w:t xml:space="preserve"> </w:t>
      </w:r>
      <w:r>
        <w:rPr>
          <w:rFonts w:ascii="TimesNewRoman" w:eastAsia="Times New Roman" w:hAnsi="TimesNewRoman" w:cs="TimesNewRoman"/>
          <w:b w:val="0"/>
          <w:snapToGrid/>
          <w:szCs w:val="22"/>
        </w:rPr>
        <w:t>Channel No.</w:t>
      </w:r>
    </w:p>
    <w:p w:rsidR="00F56757" w:rsidP="00B44C22" w14:paraId="66744C8B" w14:textId="69B8B151">
      <w:pPr>
        <w:autoSpaceDE w:val="0"/>
        <w:autoSpaceDN w:val="0"/>
        <w:adjustRightInd w:val="0"/>
        <w:spacing w:after="0" w:line="240" w:lineRule="auto"/>
        <w:ind w:firstLine="720"/>
        <w:rPr>
          <w:rFonts w:ascii="TimesNewRoman" w:eastAsia="Times New Roman" w:hAnsi="TimesNewRoman" w:cs="TimesNewRoman"/>
          <w:b w:val="0"/>
          <w:snapToGrid/>
          <w:szCs w:val="22"/>
        </w:rPr>
      </w:pPr>
      <w:r>
        <w:rPr>
          <w:rFonts w:ascii="TimesNewRoman" w:eastAsia="Times New Roman" w:hAnsi="TimesNewRoman" w:cs="TimesNewRoman"/>
          <w:b w:val="0"/>
          <w:snapToGrid/>
          <w:szCs w:val="22"/>
        </w:rPr>
        <w:t xml:space="preserve">Buffalo, New York </w:t>
      </w:r>
      <w:r w:rsidR="003313DC">
        <w:rPr>
          <w:rFonts w:ascii="TimesNewRoman" w:eastAsia="Times New Roman" w:hAnsi="TimesNewRoman" w:cs="TimesNewRoman"/>
          <w:b w:val="0"/>
          <w:snapToGrid/>
          <w:szCs w:val="22"/>
        </w:rPr>
        <w:tab/>
      </w:r>
      <w:r w:rsidR="003313DC">
        <w:rPr>
          <w:rFonts w:ascii="TimesNewRoman" w:eastAsia="Times New Roman" w:hAnsi="TimesNewRoman" w:cs="TimesNewRoman"/>
          <w:b w:val="0"/>
          <w:snapToGrid/>
          <w:szCs w:val="22"/>
        </w:rPr>
        <w:tab/>
        <w:t>32, 36</w:t>
      </w:r>
    </w:p>
    <w:p w:rsidR="00F56757" w:rsidP="00B44C22" w14:paraId="7BE28561" w14:textId="77777777">
      <w:pPr>
        <w:autoSpaceDE w:val="0"/>
        <w:autoSpaceDN w:val="0"/>
        <w:adjustRightInd w:val="0"/>
        <w:spacing w:after="0" w:line="240" w:lineRule="auto"/>
        <w:ind w:firstLine="720"/>
        <w:rPr>
          <w:rFonts w:ascii="TimesNewRoman" w:eastAsia="Times New Roman" w:hAnsi="TimesNewRoman" w:cs="TimesNewRoman"/>
          <w:b w:val="0"/>
          <w:snapToGrid/>
          <w:szCs w:val="22"/>
        </w:rPr>
      </w:pPr>
    </w:p>
    <w:p w:rsidR="00F56757" w:rsidP="00B44C22" w14:paraId="1428250C" w14:textId="392A24A8">
      <w:pPr>
        <w:autoSpaceDE w:val="0"/>
        <w:autoSpaceDN w:val="0"/>
        <w:adjustRightInd w:val="0"/>
        <w:spacing w:after="0" w:line="240" w:lineRule="auto"/>
        <w:ind w:firstLine="720"/>
        <w:rPr>
          <w:rFonts w:ascii="TimesNewRoman" w:eastAsia="Times New Roman" w:hAnsi="TimesNewRoman" w:cs="TimesNewRoman"/>
          <w:b w:val="0"/>
          <w:snapToGrid/>
          <w:szCs w:val="22"/>
        </w:rPr>
      </w:pPr>
      <w:r>
        <w:rPr>
          <w:rFonts w:ascii="TimesNewRoman" w:eastAsia="Times New Roman" w:hAnsi="TimesNewRoman" w:cs="TimesNewRoman"/>
          <w:b w:val="0"/>
          <w:snapToGrid/>
          <w:szCs w:val="22"/>
        </w:rPr>
        <w:t xml:space="preserve">6. </w:t>
      </w:r>
      <w:r w:rsidR="003313DC">
        <w:rPr>
          <w:rFonts w:ascii="TimesNewRoman" w:eastAsia="Times New Roman" w:hAnsi="TimesNewRoman" w:cs="TimesNewRoman"/>
          <w:b w:val="0"/>
          <w:snapToGrid/>
          <w:szCs w:val="22"/>
        </w:rPr>
        <w:tab/>
      </w:r>
      <w:r>
        <w:rPr>
          <w:rFonts w:ascii="TimesNewRoman,Bold" w:eastAsia="Times New Roman" w:hAnsi="TimesNewRoman,Bold" w:cs="TimesNewRoman,Bold"/>
          <w:bCs/>
          <w:snapToGrid/>
          <w:szCs w:val="22"/>
        </w:rPr>
        <w:t>IT IS FURTHER ORDERED</w:t>
      </w:r>
      <w:r>
        <w:rPr>
          <w:rFonts w:ascii="TimesNewRoman" w:eastAsia="Times New Roman" w:hAnsi="TimesNewRoman" w:cs="TimesNewRoman"/>
          <w:b w:val="0"/>
          <w:snapToGrid/>
          <w:szCs w:val="22"/>
        </w:rPr>
        <w:t>, That within five days of the effective date of this Order,</w:t>
      </w:r>
    </w:p>
    <w:p w:rsidR="00F56757" w:rsidP="00B44C22" w14:paraId="4564B7DD" w14:textId="4B46645A">
      <w:pPr>
        <w:autoSpaceDE w:val="0"/>
        <w:autoSpaceDN w:val="0"/>
        <w:adjustRightInd w:val="0"/>
        <w:spacing w:after="0" w:line="240" w:lineRule="auto"/>
        <w:ind w:firstLine="720"/>
        <w:rPr>
          <w:rFonts w:ascii="TimesNewRoman" w:eastAsia="Times New Roman" w:hAnsi="TimesNewRoman" w:cs="TimesNewRoman"/>
          <w:b w:val="0"/>
          <w:snapToGrid/>
          <w:szCs w:val="22"/>
        </w:rPr>
      </w:pPr>
      <w:r>
        <w:rPr>
          <w:rFonts w:ascii="TimesNewRoman" w:eastAsia="Times New Roman" w:hAnsi="TimesNewRoman" w:cs="TimesNewRoman"/>
          <w:b w:val="0"/>
          <w:snapToGrid/>
          <w:szCs w:val="22"/>
        </w:rPr>
        <w:t>Nexstar Broadcasting, Inc. and WUTV Licensee, LLC</w:t>
      </w:r>
      <w:r>
        <w:rPr>
          <w:rFonts w:ascii="TimesNewRoman" w:eastAsia="Times New Roman" w:hAnsi="TimesNewRoman" w:cs="TimesNewRoman"/>
          <w:b w:val="0"/>
          <w:snapToGrid/>
          <w:szCs w:val="22"/>
        </w:rPr>
        <w:t xml:space="preserve"> shall electronically submit to the Commission  minor change application</w:t>
      </w:r>
      <w:r w:rsidR="007956A0">
        <w:rPr>
          <w:rFonts w:ascii="TimesNewRoman" w:eastAsia="Times New Roman" w:hAnsi="TimesNewRoman" w:cs="TimesNewRoman"/>
          <w:b w:val="0"/>
          <w:snapToGrid/>
          <w:szCs w:val="22"/>
        </w:rPr>
        <w:t>s</w:t>
      </w:r>
      <w:r>
        <w:rPr>
          <w:rFonts w:ascii="TimesNewRoman" w:eastAsia="Times New Roman" w:hAnsi="TimesNewRoman" w:cs="TimesNewRoman"/>
          <w:b w:val="0"/>
          <w:snapToGrid/>
          <w:szCs w:val="22"/>
        </w:rPr>
        <w:t xml:space="preserve"> </w:t>
      </w:r>
      <w:r>
        <w:rPr>
          <w:rFonts w:ascii="TimesNewRoman" w:eastAsia="Times New Roman" w:hAnsi="TimesNewRoman" w:cs="TimesNewRoman"/>
          <w:b w:val="0"/>
          <w:snapToGrid/>
          <w:szCs w:val="22"/>
        </w:rPr>
        <w:t>for construction permit</w:t>
      </w:r>
      <w:r>
        <w:rPr>
          <w:rFonts w:ascii="TimesNewRoman" w:eastAsia="Times New Roman" w:hAnsi="TimesNewRoman" w:cs="TimesNewRoman"/>
          <w:b w:val="0"/>
          <w:snapToGrid/>
          <w:szCs w:val="22"/>
        </w:rPr>
        <w:t xml:space="preserve"> to implement the channel swap</w:t>
      </w:r>
      <w:r>
        <w:rPr>
          <w:rFonts w:ascii="TimesNewRoman" w:eastAsia="Times New Roman" w:hAnsi="TimesNewRoman" w:cs="TimesNewRoman"/>
          <w:b w:val="0"/>
          <w:snapToGrid/>
          <w:szCs w:val="22"/>
        </w:rPr>
        <w:t xml:space="preserve"> on Form 2100, Schedule A, using the</w:t>
      </w:r>
      <w:r w:rsidR="00765952">
        <w:rPr>
          <w:rFonts w:ascii="TimesNewRoman" w:eastAsia="Times New Roman" w:hAnsi="TimesNewRoman" w:cs="TimesNewRoman"/>
          <w:b w:val="0"/>
          <w:snapToGrid/>
          <w:szCs w:val="22"/>
        </w:rPr>
        <w:t xml:space="preserve"> </w:t>
      </w:r>
      <w:r>
        <w:rPr>
          <w:rFonts w:ascii="TimesNewRoman" w:eastAsia="Times New Roman" w:hAnsi="TimesNewRoman" w:cs="TimesNewRoman"/>
          <w:b w:val="0"/>
          <w:snapToGrid/>
          <w:szCs w:val="22"/>
        </w:rPr>
        <w:t>Commission’s Licensing Management System (</w:t>
      </w:r>
      <w:hyperlink r:id="rId5" w:history="1">
        <w:r w:rsidRPr="00972670">
          <w:rPr>
            <w:rStyle w:val="Hyperlink"/>
            <w:rFonts w:ascii="TimesNewRoman" w:eastAsia="Times New Roman" w:hAnsi="TimesNewRoman" w:cs="TimesNewRoman"/>
            <w:b w:val="0"/>
            <w:snapToGrid/>
            <w:szCs w:val="22"/>
          </w:rPr>
          <w:t>https://enterprisefiling.fcc.gov/dataentry/login.html</w:t>
        </w:r>
      </w:hyperlink>
      <w:r>
        <w:rPr>
          <w:rFonts w:ascii="TimesNewRoman" w:eastAsia="Times New Roman" w:hAnsi="TimesNewRoman" w:cs="TimesNewRoman"/>
          <w:b w:val="0"/>
          <w:snapToGrid/>
          <w:szCs w:val="22"/>
        </w:rPr>
        <w:t>).</w:t>
      </w:r>
      <w:bookmarkStart w:id="1" w:name="_GoBack"/>
      <w:bookmarkEnd w:id="1"/>
    </w:p>
    <w:p w:rsidR="003313DC" w:rsidP="00B44C22" w14:paraId="329C2692" w14:textId="77777777">
      <w:pPr>
        <w:autoSpaceDE w:val="0"/>
        <w:autoSpaceDN w:val="0"/>
        <w:adjustRightInd w:val="0"/>
        <w:spacing w:after="0" w:line="240" w:lineRule="auto"/>
        <w:ind w:firstLine="720"/>
        <w:rPr>
          <w:rFonts w:ascii="TimesNewRoman" w:eastAsia="Times New Roman" w:hAnsi="TimesNewRoman" w:cs="TimesNewRoman"/>
          <w:b w:val="0"/>
          <w:snapToGrid/>
          <w:szCs w:val="22"/>
        </w:rPr>
      </w:pPr>
    </w:p>
    <w:p w:rsidR="00F56757" w:rsidP="00B44C22" w14:paraId="6757A4CB" w14:textId="04C61752">
      <w:pPr>
        <w:pStyle w:val="ParaNum"/>
        <w:ind w:left="0"/>
        <w:rPr>
          <w:snapToGrid/>
        </w:rPr>
      </w:pPr>
      <w:r>
        <w:rPr>
          <w:snapToGrid/>
        </w:rPr>
        <w:t>The Commission will send a copy of this Report and Order in a report to be sent to Congress</w:t>
      </w:r>
      <w:r w:rsidR="003313DC">
        <w:rPr>
          <w:snapToGrid/>
        </w:rPr>
        <w:t xml:space="preserve"> </w:t>
      </w:r>
      <w:r>
        <w:rPr>
          <w:snapToGrid/>
        </w:rPr>
        <w:t xml:space="preserve">and the Government Accountability Office pursuant to the Congressional Review Act, </w:t>
      </w:r>
      <w:r>
        <w:rPr>
          <w:rFonts w:ascii="TimesNewRoman,Italic" w:hAnsi="TimesNewRoman,Italic" w:cs="TimesNewRoman,Italic"/>
          <w:i/>
          <w:iCs/>
          <w:snapToGrid/>
        </w:rPr>
        <w:t xml:space="preserve">see </w:t>
      </w:r>
      <w:r>
        <w:rPr>
          <w:snapToGrid/>
        </w:rPr>
        <w:t>5 U.S.C. §801(a)(1)(A</w:t>
      </w:r>
      <w:r w:rsidR="007956A0">
        <w:rPr>
          <w:snapToGrid/>
        </w:rPr>
        <w:t>)</w:t>
      </w:r>
      <w:r>
        <w:rPr>
          <w:snapToGrid/>
        </w:rPr>
        <w:t>.</w:t>
      </w:r>
    </w:p>
    <w:p w:rsidR="003313DC" w:rsidRPr="003313DC" w:rsidP="00B44C22" w14:paraId="260C5C05" w14:textId="61D717B5">
      <w:pPr>
        <w:pStyle w:val="ParaNum"/>
        <w:autoSpaceDE w:val="0"/>
        <w:autoSpaceDN w:val="0"/>
        <w:adjustRightInd w:val="0"/>
        <w:spacing w:after="0"/>
        <w:ind w:left="0"/>
        <w:rPr>
          <w:rFonts w:ascii="TimesNewRoman" w:hAnsi="TimesNewRoman" w:cs="TimesNewRoman"/>
          <w:snapToGrid/>
          <w:szCs w:val="22"/>
        </w:rPr>
      </w:pPr>
      <w:r w:rsidRPr="003313DC">
        <w:rPr>
          <w:rFonts w:ascii="TimesNewRoman,Bold" w:hAnsi="TimesNewRoman,Bold" w:cs="TimesNewRoman,Bold"/>
          <w:bCs/>
          <w:snapToGrid/>
          <w:szCs w:val="22"/>
        </w:rPr>
        <w:t>IT IS FURTHER ORDERED</w:t>
      </w:r>
      <w:r w:rsidRPr="003313DC">
        <w:rPr>
          <w:rFonts w:ascii="TimesNewRoman" w:hAnsi="TimesNewRoman" w:cs="TimesNewRoman"/>
          <w:snapToGrid/>
          <w:szCs w:val="22"/>
        </w:rPr>
        <w:t xml:space="preserve">, </w:t>
      </w:r>
      <w:r w:rsidRPr="003313DC">
        <w:rPr>
          <w:rFonts w:ascii="TimesNewRoman" w:hAnsi="TimesNewRoman" w:cs="TimesNewRoman"/>
          <w:snapToGrid/>
          <w:szCs w:val="22"/>
        </w:rPr>
        <w:t>That</w:t>
      </w:r>
      <w:r w:rsidRPr="003313DC">
        <w:rPr>
          <w:rFonts w:ascii="TimesNewRoman" w:hAnsi="TimesNewRoman" w:cs="TimesNewRoman"/>
          <w:snapToGrid/>
          <w:szCs w:val="22"/>
        </w:rPr>
        <w:t xml:space="preserve"> this proceeding </w:t>
      </w:r>
      <w:r w:rsidRPr="003313DC">
        <w:rPr>
          <w:rFonts w:ascii="TimesNewRoman,Bold" w:hAnsi="TimesNewRoman,Bold" w:cs="TimesNewRoman,Bold"/>
          <w:bCs/>
          <w:snapToGrid/>
          <w:szCs w:val="22"/>
        </w:rPr>
        <w:t>IS TERMINATED.</w:t>
      </w:r>
    </w:p>
    <w:p w:rsidR="003313DC" w:rsidP="00B44C22" w14:paraId="14FFEBA4" w14:textId="77777777">
      <w:pPr>
        <w:autoSpaceDE w:val="0"/>
        <w:autoSpaceDN w:val="0"/>
        <w:adjustRightInd w:val="0"/>
        <w:spacing w:after="0" w:line="240" w:lineRule="auto"/>
        <w:ind w:firstLine="720"/>
        <w:rPr>
          <w:rFonts w:ascii="TimesNewRoman" w:eastAsia="Times New Roman" w:hAnsi="TimesNewRoman" w:cs="TimesNewRoman"/>
          <w:b w:val="0"/>
          <w:snapToGrid/>
          <w:szCs w:val="22"/>
        </w:rPr>
      </w:pPr>
    </w:p>
    <w:p w:rsidR="00F56757" w:rsidP="00B44C22" w14:paraId="1B059545" w14:textId="08D32E4E">
      <w:pPr>
        <w:autoSpaceDE w:val="0"/>
        <w:autoSpaceDN w:val="0"/>
        <w:adjustRightInd w:val="0"/>
        <w:spacing w:after="0" w:line="240" w:lineRule="auto"/>
        <w:ind w:firstLine="720"/>
        <w:rPr>
          <w:rFonts w:ascii="TimesNewRoman" w:eastAsia="Times New Roman" w:hAnsi="TimesNewRoman" w:cs="TimesNewRoman"/>
          <w:b w:val="0"/>
          <w:snapToGrid/>
          <w:szCs w:val="22"/>
        </w:rPr>
      </w:pPr>
      <w:r>
        <w:rPr>
          <w:rFonts w:ascii="TimesNewRoman" w:eastAsia="Times New Roman" w:hAnsi="TimesNewRoman" w:cs="TimesNewRoman"/>
          <w:b w:val="0"/>
          <w:snapToGrid/>
          <w:szCs w:val="22"/>
        </w:rPr>
        <w:t xml:space="preserve">10  </w:t>
      </w:r>
      <w:r>
        <w:rPr>
          <w:rFonts w:ascii="TimesNewRoman" w:eastAsia="Times New Roman" w:hAnsi="TimesNewRoman" w:cs="TimesNewRoman"/>
          <w:b w:val="0"/>
          <w:snapToGrid/>
          <w:szCs w:val="22"/>
        </w:rPr>
        <w:t>.</w:t>
      </w:r>
      <w:r>
        <w:rPr>
          <w:rFonts w:ascii="TimesNewRoman" w:eastAsia="Times New Roman" w:hAnsi="TimesNewRoman" w:cs="TimesNewRoman"/>
          <w:b w:val="0"/>
          <w:snapToGrid/>
          <w:szCs w:val="22"/>
        </w:rPr>
        <w:t xml:space="preserve"> For further information concerning the proceeding listed above, contact </w:t>
      </w:r>
      <w:r w:rsidR="008A16D1">
        <w:rPr>
          <w:rFonts w:ascii="TimesNewRoman" w:eastAsia="Times New Roman" w:hAnsi="TimesNewRoman" w:cs="TimesNewRoman"/>
          <w:b w:val="0"/>
          <w:snapToGrid/>
          <w:szCs w:val="22"/>
        </w:rPr>
        <w:t xml:space="preserve">Varsha </w:t>
      </w:r>
      <w:r w:rsidR="008A16D1">
        <w:rPr>
          <w:rFonts w:ascii="TimesNewRoman" w:eastAsia="Times New Roman" w:hAnsi="TimesNewRoman" w:cs="TimesNewRoman"/>
          <w:b w:val="0"/>
          <w:snapToGrid/>
          <w:szCs w:val="22"/>
        </w:rPr>
        <w:t>Mangel</w:t>
      </w:r>
      <w:r w:rsidR="008A16D1">
        <w:rPr>
          <w:rFonts w:ascii="TimesNewRoman" w:eastAsia="Times New Roman" w:hAnsi="TimesNewRoman" w:cs="TimesNewRoman"/>
          <w:b w:val="0"/>
          <w:snapToGrid/>
          <w:szCs w:val="22"/>
        </w:rPr>
        <w:t xml:space="preserve"> at Varsha.Mangel@fcc.gov.</w:t>
      </w:r>
    </w:p>
    <w:p w:rsidR="00C26BF7" w:rsidP="00B44C22" w14:paraId="5FBB9BBE" w14:textId="4E2B2A7A">
      <w:pPr>
        <w:tabs>
          <w:tab w:val="left" w:pos="-1440"/>
          <w:tab w:val="left" w:pos="-720"/>
        </w:tabs>
        <w:suppressAutoHyphens/>
        <w:spacing w:after="240"/>
        <w:ind w:firstLine="72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C26BF7" w:rsidRPr="00C26BF7" w:rsidP="00B44C22" w14:paraId="6E125631" w14:textId="6232F8B4">
      <w:pPr>
        <w:tabs>
          <w:tab w:val="left" w:pos="-1440"/>
          <w:tab w:val="left" w:pos="-720"/>
        </w:tabs>
        <w:suppressAutoHyphens/>
        <w:spacing w:after="240"/>
        <w:ind w:firstLine="720"/>
        <w:jc w:val="both"/>
        <w:rPr>
          <w:b w:val="0"/>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C26BF7">
        <w:rPr>
          <w:b w:val="0"/>
          <w:spacing w:val="-3"/>
          <w:szCs w:val="22"/>
        </w:rPr>
        <w:t>FEDERAL COMMUNICATIONS COMMISSION</w:t>
      </w:r>
    </w:p>
    <w:p w:rsidR="00C26BF7" w:rsidRPr="00C26BF7" w:rsidP="00B44C22" w14:paraId="50819926" w14:textId="77777777">
      <w:pPr>
        <w:tabs>
          <w:tab w:val="left" w:pos="-1440"/>
          <w:tab w:val="left" w:pos="-720"/>
        </w:tabs>
        <w:suppressAutoHyphens/>
        <w:spacing w:after="240"/>
        <w:ind w:firstLine="720"/>
        <w:jc w:val="both"/>
        <w:rPr>
          <w:b w:val="0"/>
          <w:spacing w:val="-3"/>
          <w:szCs w:val="22"/>
        </w:rPr>
      </w:pPr>
    </w:p>
    <w:p w:rsidR="00C26BF7" w:rsidRPr="00C26BF7" w:rsidP="00B44C22" w14:paraId="16DD30AE" w14:textId="77777777">
      <w:pPr>
        <w:tabs>
          <w:tab w:val="left" w:pos="-1440"/>
          <w:tab w:val="left" w:pos="-720"/>
        </w:tabs>
        <w:suppressAutoHyphens/>
        <w:spacing w:after="0"/>
        <w:ind w:firstLine="72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 xml:space="preserve">Barbara A. Kreisman </w:t>
      </w:r>
    </w:p>
    <w:p w:rsidR="00C26BF7" w:rsidRPr="00C26BF7" w:rsidP="00B44C22" w14:paraId="3EA14FF0" w14:textId="77777777">
      <w:pPr>
        <w:tabs>
          <w:tab w:val="left" w:pos="-1440"/>
          <w:tab w:val="left" w:pos="-720"/>
        </w:tabs>
        <w:suppressAutoHyphens/>
        <w:spacing w:after="0"/>
        <w:ind w:firstLine="72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Chief, Video Division</w:t>
      </w:r>
    </w:p>
    <w:p w:rsidR="00643C51" w:rsidRPr="00B44C22" w:rsidP="00B44C22" w14:paraId="34BE13D6" w14:textId="241DF2A4">
      <w:pPr>
        <w:tabs>
          <w:tab w:val="left" w:pos="-1440"/>
          <w:tab w:val="left" w:pos="-720"/>
        </w:tabs>
        <w:suppressAutoHyphens/>
        <w:spacing w:after="0"/>
        <w:ind w:firstLine="72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76DA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AA8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4084D" w14:textId="0A1324C6">
    <w:pPr>
      <w:pStyle w:val="Footer"/>
      <w:framePr w:wrap="around" w:vAnchor="text" w:hAnchor="margin" w:xAlign="center" w:y="1"/>
    </w:pPr>
    <w:r>
      <w:fldChar w:fldCharType="begin"/>
    </w:r>
    <w:r>
      <w:instrText xml:space="preserve">PAGE  </w:instrText>
    </w:r>
    <w:r>
      <w:fldChar w:fldCharType="separate"/>
    </w:r>
    <w:r w:rsidR="00D31B71">
      <w:rPr>
        <w:noProof/>
      </w:rPr>
      <w:t>4</w:t>
    </w:r>
    <w:r>
      <w:fldChar w:fldCharType="end"/>
    </w:r>
  </w:p>
  <w:p w:rsidR="00D25FB5" w14:paraId="0E1F61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5ECF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C06" w14:paraId="491C0C10" w14:textId="77777777">
      <w:r>
        <w:separator/>
      </w:r>
    </w:p>
  </w:footnote>
  <w:footnote w:type="continuationSeparator" w:id="1">
    <w:p w:rsidR="00A24C06" w:rsidP="00C721AC" w14:paraId="4588E935" w14:textId="77777777">
      <w:pPr>
        <w:spacing w:before="120"/>
        <w:rPr>
          <w:sz w:val="20"/>
        </w:rPr>
      </w:pPr>
      <w:r>
        <w:rPr>
          <w:sz w:val="20"/>
        </w:rPr>
        <w:t xml:space="preserve">(Continued from previous page)  </w:t>
      </w:r>
      <w:r>
        <w:rPr>
          <w:sz w:val="20"/>
        </w:rPr>
        <w:separator/>
      </w:r>
    </w:p>
  </w:footnote>
  <w:footnote w:type="continuationNotice" w:id="2">
    <w:p w:rsidR="00A24C06" w:rsidP="00C721AC" w14:paraId="0B07BD1C" w14:textId="77777777">
      <w:pPr>
        <w:jc w:val="right"/>
        <w:rPr>
          <w:sz w:val="20"/>
        </w:rPr>
      </w:pPr>
    </w:p>
  </w:footnote>
  <w:footnote w:id="3">
    <w:p w:rsidR="003F7B1E" w:rsidP="003F7B1E" w14:paraId="57A3D2E0" w14:textId="77777777">
      <w:pPr>
        <w:pStyle w:val="FootnoteText"/>
      </w:pPr>
      <w:r>
        <w:rPr>
          <w:rStyle w:val="FootnoteReference"/>
        </w:rPr>
        <w:footnoteRef/>
      </w:r>
      <w:r>
        <w:t xml:space="preserve"> </w:t>
      </w:r>
      <w:r w:rsidRPr="00571435">
        <w:rPr>
          <w:i/>
        </w:rPr>
        <w:t>See</w:t>
      </w:r>
      <w:r>
        <w:t xml:space="preserve"> Petition for Rulemaking of Nexstar Broadcasting, Inc. and WUTV Licensee, LLC, File No. 0000064127 (filed Dec. 19, 2018) and FCC File No. 00000064271 (filed Dec. 20, 2018) (Joint Petition).  We also refer to Nexstar and WUTV Licensee as the Joint Petitioners.</w:t>
      </w:r>
    </w:p>
  </w:footnote>
  <w:footnote w:id="4">
    <w:p w:rsidR="00385930" w:rsidRPr="00BF2B6B" w14:paraId="7607C7F0" w14:textId="5290680D">
      <w:pPr>
        <w:pStyle w:val="FootnoteText"/>
      </w:pPr>
      <w:r w:rsidRPr="00FD26D8">
        <w:rPr>
          <w:rStyle w:val="FootnoteReference"/>
        </w:rPr>
        <w:footnoteRef/>
      </w:r>
      <w:r w:rsidRPr="00FD26D8">
        <w:t xml:space="preserve"> </w:t>
      </w:r>
      <w:r w:rsidR="009E2C43">
        <w:t xml:space="preserve">Joint </w:t>
      </w:r>
      <w:r w:rsidRPr="00FD26D8">
        <w:t xml:space="preserve">Petition at </w:t>
      </w:r>
      <w:r w:rsidRPr="00FD26D8" w:rsidR="00FD26D8">
        <w:t>5</w:t>
      </w:r>
      <w:r w:rsidRPr="00FD26D8">
        <w:t>.</w:t>
      </w:r>
      <w:r w:rsidRPr="00BF2B6B">
        <w:t xml:space="preserve"> </w:t>
      </w:r>
      <w:r w:rsidRPr="00BF2B6B" w:rsidR="00AB5CFC">
        <w:t xml:space="preserve"> </w:t>
      </w:r>
    </w:p>
  </w:footnote>
  <w:footnote w:id="5">
    <w:p w:rsidR="003F7B1E" w:rsidP="003F7B1E" w14:paraId="59C52B35" w14:textId="46FC8362">
      <w:pPr>
        <w:pStyle w:val="FootnoteText"/>
      </w:pPr>
      <w:r>
        <w:rPr>
          <w:rStyle w:val="FootnoteReference"/>
        </w:rPr>
        <w:footnoteRef/>
      </w:r>
      <w:r>
        <w:t xml:space="preserve"> </w:t>
      </w:r>
      <w:r w:rsidRPr="00B524E5" w:rsidR="00B524E5">
        <w:rPr>
          <w:i/>
        </w:rPr>
        <w:t>Amendment of Section 73.622(</w:t>
      </w:r>
      <w:r w:rsidRPr="00B524E5" w:rsidR="00B524E5">
        <w:rPr>
          <w:i/>
        </w:rPr>
        <w:t>i</w:t>
      </w:r>
      <w:r w:rsidRPr="00B524E5" w:rsidR="00B524E5">
        <w:rPr>
          <w:i/>
        </w:rPr>
        <w:t>), Post-Transition Table of DTV Allotments Station WNLO(TV), Buffalo, New York, and Amendment of Section 73.622(</w:t>
      </w:r>
      <w:r w:rsidRPr="00B524E5" w:rsidR="00B524E5">
        <w:rPr>
          <w:i/>
        </w:rPr>
        <w:t>i</w:t>
      </w:r>
      <w:r w:rsidRPr="00B524E5" w:rsidR="00B524E5">
        <w:rPr>
          <w:i/>
        </w:rPr>
        <w:t>), Post-Transition Table of DTV Allotments Station WUTV(TV), Buffalo, New York</w:t>
      </w:r>
      <w:r w:rsidR="00B524E5">
        <w:t>, MB Docket No. 19-118, Notice of Proposed Rulemaking</w:t>
      </w:r>
      <w:r w:rsidR="00427E61">
        <w:t xml:space="preserve"> (DA 19-516, rel. Apr. </w:t>
      </w:r>
      <w:r w:rsidR="00427E61">
        <w:t>23</w:t>
      </w:r>
      <w:r w:rsidR="00427E61">
        <w:t xml:space="preserve"> 2019)</w:t>
      </w:r>
      <w:r w:rsidR="00B524E5">
        <w:t xml:space="preserve">, 2019 WL </w:t>
      </w:r>
      <w:r w:rsidR="00472C6A">
        <w:t>1787028</w:t>
      </w:r>
      <w:r w:rsidR="00DD4DCC">
        <w:t xml:space="preserve"> (</w:t>
      </w:r>
      <w:r w:rsidRPr="00DD4DCC" w:rsidR="00DD4DCC">
        <w:rPr>
          <w:i/>
        </w:rPr>
        <w:t>NPRM)</w:t>
      </w:r>
      <w:r w:rsidR="00B524E5">
        <w:t>.</w:t>
      </w:r>
    </w:p>
  </w:footnote>
  <w:footnote w:id="6">
    <w:p w:rsidR="003B31AD" w14:paraId="31F1B47E" w14:textId="5B9846A8">
      <w:pPr>
        <w:pStyle w:val="FootnoteText"/>
      </w:pPr>
      <w:r>
        <w:rPr>
          <w:rStyle w:val="FootnoteReference"/>
        </w:rPr>
        <w:footnoteRef/>
      </w:r>
      <w:r>
        <w:t xml:space="preserve"> WUTV Licensee Comments</w:t>
      </w:r>
      <w:r w:rsidR="00630DC2">
        <w:t xml:space="preserve"> and Expression of Continued Interest and Nexstar Comments (filed May 22, 2019)</w:t>
      </w:r>
      <w:r>
        <w:t>.</w:t>
      </w:r>
    </w:p>
  </w:footnote>
  <w:footnote w:id="7">
    <w:p w:rsidR="00977A8C" w:rsidP="00977A8C" w14:paraId="4C1B13FB" w14:textId="77777777">
      <w:pPr>
        <w:pStyle w:val="FootnoteText"/>
      </w:pPr>
      <w:r>
        <w:rPr>
          <w:rStyle w:val="FootnoteReference"/>
        </w:rPr>
        <w:footnoteRef/>
      </w:r>
      <w:r>
        <w:t xml:space="preserve"> Joint Petition at 2; LMS File Nos. 00000035433 (Construction Permit) and 00000053321 (License to Cover).</w:t>
      </w:r>
    </w:p>
  </w:footnote>
  <w:footnote w:id="8">
    <w:p w:rsidR="00977A8C" w:rsidRPr="006D00F8" w:rsidP="00977A8C" w14:paraId="45DA56C1" w14:textId="77777777">
      <w:pPr>
        <w:pStyle w:val="FootnoteText"/>
      </w:pPr>
      <w:r>
        <w:rPr>
          <w:rStyle w:val="FootnoteReference"/>
        </w:rPr>
        <w:footnoteRef/>
      </w:r>
      <w:r>
        <w:t xml:space="preserve"> </w:t>
      </w:r>
      <w:r w:rsidRPr="004B1294">
        <w:rPr>
          <w:i/>
        </w:rPr>
        <w:t xml:space="preserve">Id. </w:t>
      </w:r>
      <w:r w:rsidRPr="00183007">
        <w:rPr>
          <w:i/>
        </w:rPr>
        <w:t>See also</w:t>
      </w:r>
      <w:r>
        <w:t xml:space="preserve"> LMS File No. 00000064271, Statement of John E. </w:t>
      </w:r>
      <w:r>
        <w:t>Hidle</w:t>
      </w:r>
      <w:r>
        <w:t xml:space="preserve">, P.E. in Support of a Request to Exchange DTV Channels Between WUTV-Buffalo, New York . . . and WNLO, Buffalo, New York . . ., at 2 (Engineering Statement). </w:t>
      </w:r>
    </w:p>
  </w:footnote>
  <w:footnote w:id="9">
    <w:p w:rsidR="00977A8C" w:rsidP="00977A8C" w14:paraId="181D7A9F" w14:textId="51D252E4">
      <w:pPr>
        <w:pStyle w:val="FootnoteText"/>
      </w:pPr>
      <w:r>
        <w:rPr>
          <w:rStyle w:val="FootnoteReference"/>
        </w:rPr>
        <w:footnoteRef/>
      </w:r>
      <w:r>
        <w:t xml:space="preserve"> WUTV License Comments </w:t>
      </w:r>
      <w:r w:rsidR="00366DFF">
        <w:t>a</w:t>
      </w:r>
      <w:r>
        <w:t xml:space="preserve">t 2. </w:t>
      </w:r>
    </w:p>
  </w:footnote>
  <w:footnote w:id="10">
    <w:p w:rsidR="00ED36EB" w14:paraId="64108647" w14:textId="53E9844A">
      <w:pPr>
        <w:pStyle w:val="FootnoteText"/>
      </w:pPr>
      <w:r>
        <w:rPr>
          <w:rStyle w:val="FootnoteReference"/>
        </w:rPr>
        <w:footnoteRef/>
      </w:r>
      <w:r>
        <w:t xml:space="preserve"> We have obtained Canadian concurre</w:t>
      </w:r>
      <w:r w:rsidR="008A16D1">
        <w:t>nce</w:t>
      </w:r>
      <w:r>
        <w:t xml:space="preserve"> to the Nexstar and WUTV Licensee proposals.</w:t>
      </w:r>
    </w:p>
  </w:footnote>
  <w:footnote w:id="11">
    <w:p w:rsidR="00C379FD" w14:paraId="5CB322FF" w14:textId="3920936B">
      <w:pPr>
        <w:pStyle w:val="FootnoteText"/>
      </w:pPr>
      <w:r>
        <w:rPr>
          <w:rStyle w:val="FootnoteReference"/>
        </w:rPr>
        <w:footnoteRef/>
      </w:r>
      <w:r>
        <w:t xml:space="preserve"> </w:t>
      </w:r>
      <w:r w:rsidRPr="00C379FD">
        <w:t>47 CFR §§ 73.616, 73.623.</w:t>
      </w:r>
    </w:p>
  </w:footnote>
  <w:footnote w:id="12">
    <w:p w:rsidR="00737CFD" w14:paraId="4250C765" w14:textId="558111AB">
      <w:pPr>
        <w:pStyle w:val="FootnoteText"/>
      </w:pPr>
      <w:r>
        <w:rPr>
          <w:rStyle w:val="FootnoteReference"/>
        </w:rPr>
        <w:footnoteRef/>
      </w:r>
      <w:r>
        <w:t xml:space="preserve"> </w:t>
      </w:r>
      <w:r w:rsidR="00B421AF">
        <w:t xml:space="preserve">5 U.S.C. </w:t>
      </w:r>
      <w:r w:rsidRPr="00C379FD" w:rsidR="00B421AF">
        <w:t>§</w:t>
      </w:r>
      <w:r w:rsidR="00B421AF">
        <w:t xml:space="preserve">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2250A2" w14:textId="68E41C85">
    <w:pPr>
      <w:pStyle w:val="Header"/>
      <w:rPr>
        <w:b w:val="0"/>
      </w:rPr>
    </w:pPr>
    <w:r>
      <w:tab/>
      <w:t>Federal Communications Commission</w:t>
    </w:r>
    <w:r>
      <w:tab/>
    </w:r>
    <w:r w:rsidR="004534B2">
      <w:t xml:space="preserve">DA </w:t>
    </w:r>
    <w:r w:rsidR="00B42B47">
      <w:t>1</w:t>
    </w:r>
    <w:r w:rsidR="00802704">
      <w:t>9</w:t>
    </w:r>
    <w:r w:rsidR="004534B2">
      <w:t>-</w:t>
    </w:r>
    <w:r w:rsidR="00765952">
      <w:t>553</w:t>
    </w:r>
  </w:p>
  <w:p w:rsidR="00D25FB5" w14:paraId="117C45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79523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3CCFC9" w14:textId="19F7EF3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w:t>
    </w:r>
    <w:r w:rsidR="00802704">
      <w:t>9</w:t>
    </w:r>
    <w:r w:rsidR="004534B2">
      <w:t>-</w:t>
    </w:r>
    <w:r w:rsidR="00765952">
      <w:t>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585678"/>
    <w:multiLevelType w:val="hybridMultilevel"/>
    <w:tmpl w:val="C6F065E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D843CBC"/>
    <w:multiLevelType w:val="hybridMultilevel"/>
    <w:tmpl w:val="E85A60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360"/>
        </w:tabs>
        <w:ind w:left="-720" w:firstLine="720"/>
      </w:pPr>
    </w:lvl>
  </w:abstractNum>
  <w:abstractNum w:abstractNumId="11">
    <w:nsid w:val="6D2B48D2"/>
    <w:multiLevelType w:val="singleLevel"/>
    <w:tmpl w:val="462A4EC8"/>
    <w:lvl w:ilvl="0">
      <w:start w:val="0"/>
      <w:numFmt w:val="decimal"/>
      <w:pStyle w:val="Paranum0"/>
      <w:lvlJc w:val="left"/>
    </w:lvl>
  </w:abstractNum>
  <w:abstractNum w:abstractNumId="12">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5"/>
  </w:num>
  <w:num w:numId="8">
    <w:abstractNumId w:val="9"/>
  </w:num>
  <w:num w:numId="9">
    <w:abstractNumId w:val="10"/>
  </w:num>
  <w:num w:numId="10">
    <w:abstractNumId w:val="10"/>
    <w:lvlOverride w:ilvl="0">
      <w:startOverride w:val="1"/>
    </w:lvlOverride>
  </w:num>
  <w:num w:numId="11">
    <w:abstractNumId w:val="10"/>
  </w:num>
  <w:num w:numId="12">
    <w:abstractNumId w:val="11"/>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2"/>
  </w:num>
  <w:num w:numId="17">
    <w:abstractNumId w:val="10"/>
    <w:lvlOverride w:ilvl="0">
      <w:startOverride w:val="1"/>
    </w:lvlOverride>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num>
  <w:num w:numId="24">
    <w:abstractNumId w:val="7"/>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0CFA"/>
    <w:rsid w:val="00004E82"/>
    <w:rsid w:val="000050BB"/>
    <w:rsid w:val="000055E9"/>
    <w:rsid w:val="0000693A"/>
    <w:rsid w:val="00010D45"/>
    <w:rsid w:val="000118D7"/>
    <w:rsid w:val="0001198D"/>
    <w:rsid w:val="0001217D"/>
    <w:rsid w:val="000138B8"/>
    <w:rsid w:val="00013E88"/>
    <w:rsid w:val="00016DEE"/>
    <w:rsid w:val="00024AF6"/>
    <w:rsid w:val="0002538E"/>
    <w:rsid w:val="00025E41"/>
    <w:rsid w:val="000263C8"/>
    <w:rsid w:val="00026DB8"/>
    <w:rsid w:val="00030246"/>
    <w:rsid w:val="00032308"/>
    <w:rsid w:val="0003274F"/>
    <w:rsid w:val="00033A54"/>
    <w:rsid w:val="00035133"/>
    <w:rsid w:val="0003601C"/>
    <w:rsid w:val="00036039"/>
    <w:rsid w:val="00036115"/>
    <w:rsid w:val="00037F90"/>
    <w:rsid w:val="000402B1"/>
    <w:rsid w:val="00041C85"/>
    <w:rsid w:val="000451D8"/>
    <w:rsid w:val="00045C74"/>
    <w:rsid w:val="00050A9D"/>
    <w:rsid w:val="00050FD3"/>
    <w:rsid w:val="000525F5"/>
    <w:rsid w:val="0005460E"/>
    <w:rsid w:val="000618D9"/>
    <w:rsid w:val="00064F8A"/>
    <w:rsid w:val="0006510E"/>
    <w:rsid w:val="00065D6E"/>
    <w:rsid w:val="00072368"/>
    <w:rsid w:val="0007270F"/>
    <w:rsid w:val="00072DE7"/>
    <w:rsid w:val="00074192"/>
    <w:rsid w:val="00075668"/>
    <w:rsid w:val="00082BB8"/>
    <w:rsid w:val="00083A2F"/>
    <w:rsid w:val="00084999"/>
    <w:rsid w:val="00087084"/>
    <w:rsid w:val="000875BF"/>
    <w:rsid w:val="000906D2"/>
    <w:rsid w:val="00093FAF"/>
    <w:rsid w:val="0009457D"/>
    <w:rsid w:val="000955F4"/>
    <w:rsid w:val="00096D8C"/>
    <w:rsid w:val="00097A5A"/>
    <w:rsid w:val="000A0099"/>
    <w:rsid w:val="000A154A"/>
    <w:rsid w:val="000A3947"/>
    <w:rsid w:val="000A6720"/>
    <w:rsid w:val="000B5B62"/>
    <w:rsid w:val="000B736B"/>
    <w:rsid w:val="000B74EA"/>
    <w:rsid w:val="000C0A47"/>
    <w:rsid w:val="000C0B65"/>
    <w:rsid w:val="000C14BF"/>
    <w:rsid w:val="000D2074"/>
    <w:rsid w:val="000D396E"/>
    <w:rsid w:val="000D509C"/>
    <w:rsid w:val="000E05FE"/>
    <w:rsid w:val="000E2D19"/>
    <w:rsid w:val="000E2EC2"/>
    <w:rsid w:val="000E3D42"/>
    <w:rsid w:val="000E51CA"/>
    <w:rsid w:val="000F3D99"/>
    <w:rsid w:val="000F497C"/>
    <w:rsid w:val="000F4E0F"/>
    <w:rsid w:val="001021CC"/>
    <w:rsid w:val="00105057"/>
    <w:rsid w:val="00107648"/>
    <w:rsid w:val="00111429"/>
    <w:rsid w:val="00114231"/>
    <w:rsid w:val="00114DBB"/>
    <w:rsid w:val="0011630F"/>
    <w:rsid w:val="00116909"/>
    <w:rsid w:val="00117C6B"/>
    <w:rsid w:val="001210EC"/>
    <w:rsid w:val="00122BD5"/>
    <w:rsid w:val="001230D1"/>
    <w:rsid w:val="00125EF0"/>
    <w:rsid w:val="00130102"/>
    <w:rsid w:val="00130AA2"/>
    <w:rsid w:val="00133461"/>
    <w:rsid w:val="00133F79"/>
    <w:rsid w:val="00135AF8"/>
    <w:rsid w:val="0014105C"/>
    <w:rsid w:val="00144B55"/>
    <w:rsid w:val="0014592D"/>
    <w:rsid w:val="0014624D"/>
    <w:rsid w:val="0015058D"/>
    <w:rsid w:val="00151B98"/>
    <w:rsid w:val="0015441F"/>
    <w:rsid w:val="00156B25"/>
    <w:rsid w:val="00160FD7"/>
    <w:rsid w:val="001627E1"/>
    <w:rsid w:val="00165D60"/>
    <w:rsid w:val="00165EA0"/>
    <w:rsid w:val="00167D43"/>
    <w:rsid w:val="00173A3E"/>
    <w:rsid w:val="00174787"/>
    <w:rsid w:val="00180F7C"/>
    <w:rsid w:val="0018191D"/>
    <w:rsid w:val="00183007"/>
    <w:rsid w:val="00185375"/>
    <w:rsid w:val="00185675"/>
    <w:rsid w:val="00192352"/>
    <w:rsid w:val="001929F8"/>
    <w:rsid w:val="00194A66"/>
    <w:rsid w:val="00197AC4"/>
    <w:rsid w:val="001A38D7"/>
    <w:rsid w:val="001A44F5"/>
    <w:rsid w:val="001A55B6"/>
    <w:rsid w:val="001A6B07"/>
    <w:rsid w:val="001B1699"/>
    <w:rsid w:val="001B2B68"/>
    <w:rsid w:val="001B4D5D"/>
    <w:rsid w:val="001B63AE"/>
    <w:rsid w:val="001C120E"/>
    <w:rsid w:val="001C48C0"/>
    <w:rsid w:val="001C7F42"/>
    <w:rsid w:val="001D0428"/>
    <w:rsid w:val="001D55B5"/>
    <w:rsid w:val="001D601F"/>
    <w:rsid w:val="001D6BCF"/>
    <w:rsid w:val="001E0155"/>
    <w:rsid w:val="001E01CA"/>
    <w:rsid w:val="001E2014"/>
    <w:rsid w:val="001E26E4"/>
    <w:rsid w:val="001E519C"/>
    <w:rsid w:val="001F14D7"/>
    <w:rsid w:val="001F2354"/>
    <w:rsid w:val="001F2699"/>
    <w:rsid w:val="001F3448"/>
    <w:rsid w:val="001F49B2"/>
    <w:rsid w:val="0020281D"/>
    <w:rsid w:val="00204BF3"/>
    <w:rsid w:val="0020686D"/>
    <w:rsid w:val="0020762A"/>
    <w:rsid w:val="00207C70"/>
    <w:rsid w:val="002107CD"/>
    <w:rsid w:val="00211348"/>
    <w:rsid w:val="00213726"/>
    <w:rsid w:val="0021722D"/>
    <w:rsid w:val="00221348"/>
    <w:rsid w:val="002238A9"/>
    <w:rsid w:val="00226D0F"/>
    <w:rsid w:val="00227E60"/>
    <w:rsid w:val="00231AF4"/>
    <w:rsid w:val="00234436"/>
    <w:rsid w:val="00236EA4"/>
    <w:rsid w:val="00237E6C"/>
    <w:rsid w:val="002427BA"/>
    <w:rsid w:val="00246D8C"/>
    <w:rsid w:val="00250644"/>
    <w:rsid w:val="0025144F"/>
    <w:rsid w:val="00253104"/>
    <w:rsid w:val="002545CD"/>
    <w:rsid w:val="0025742E"/>
    <w:rsid w:val="00264939"/>
    <w:rsid w:val="002666A9"/>
    <w:rsid w:val="00267044"/>
    <w:rsid w:val="002705D0"/>
    <w:rsid w:val="00272BF0"/>
    <w:rsid w:val="00275CF5"/>
    <w:rsid w:val="00280048"/>
    <w:rsid w:val="002801D6"/>
    <w:rsid w:val="00280A0B"/>
    <w:rsid w:val="00282E92"/>
    <w:rsid w:val="0028301F"/>
    <w:rsid w:val="00285017"/>
    <w:rsid w:val="00290740"/>
    <w:rsid w:val="00291C3D"/>
    <w:rsid w:val="0029277B"/>
    <w:rsid w:val="002A2D2E"/>
    <w:rsid w:val="002A4BAB"/>
    <w:rsid w:val="002A5D97"/>
    <w:rsid w:val="002B0155"/>
    <w:rsid w:val="002B122A"/>
    <w:rsid w:val="002B18A4"/>
    <w:rsid w:val="002B2338"/>
    <w:rsid w:val="002C00E8"/>
    <w:rsid w:val="002C5DC6"/>
    <w:rsid w:val="002C7686"/>
    <w:rsid w:val="002C7C13"/>
    <w:rsid w:val="002D0CFA"/>
    <w:rsid w:val="002D0E63"/>
    <w:rsid w:val="002D1EFD"/>
    <w:rsid w:val="002D2C61"/>
    <w:rsid w:val="002D6B54"/>
    <w:rsid w:val="002D6CA2"/>
    <w:rsid w:val="002E0171"/>
    <w:rsid w:val="002E3561"/>
    <w:rsid w:val="002F0041"/>
    <w:rsid w:val="002F05DA"/>
    <w:rsid w:val="002F2E11"/>
    <w:rsid w:val="002F3B0A"/>
    <w:rsid w:val="002F781A"/>
    <w:rsid w:val="00302F2E"/>
    <w:rsid w:val="0030733C"/>
    <w:rsid w:val="003114B9"/>
    <w:rsid w:val="00311D7B"/>
    <w:rsid w:val="003155E9"/>
    <w:rsid w:val="00317281"/>
    <w:rsid w:val="00321C83"/>
    <w:rsid w:val="00325CFB"/>
    <w:rsid w:val="00326680"/>
    <w:rsid w:val="00330171"/>
    <w:rsid w:val="003306EE"/>
    <w:rsid w:val="00331337"/>
    <w:rsid w:val="003313DC"/>
    <w:rsid w:val="00336C14"/>
    <w:rsid w:val="003404C9"/>
    <w:rsid w:val="00343749"/>
    <w:rsid w:val="00345D02"/>
    <w:rsid w:val="0034693F"/>
    <w:rsid w:val="00346CCD"/>
    <w:rsid w:val="00354A7E"/>
    <w:rsid w:val="003627AF"/>
    <w:rsid w:val="00362C78"/>
    <w:rsid w:val="00363709"/>
    <w:rsid w:val="003660ED"/>
    <w:rsid w:val="00366DFF"/>
    <w:rsid w:val="00366E40"/>
    <w:rsid w:val="003679FC"/>
    <w:rsid w:val="00371DDB"/>
    <w:rsid w:val="00372297"/>
    <w:rsid w:val="00376551"/>
    <w:rsid w:val="00377CF6"/>
    <w:rsid w:val="00377F12"/>
    <w:rsid w:val="00380926"/>
    <w:rsid w:val="00381256"/>
    <w:rsid w:val="00381FBF"/>
    <w:rsid w:val="00385930"/>
    <w:rsid w:val="00386516"/>
    <w:rsid w:val="00386C3A"/>
    <w:rsid w:val="003A0740"/>
    <w:rsid w:val="003A4137"/>
    <w:rsid w:val="003A49A5"/>
    <w:rsid w:val="003A6B7D"/>
    <w:rsid w:val="003A6F35"/>
    <w:rsid w:val="003B0550"/>
    <w:rsid w:val="003B31AD"/>
    <w:rsid w:val="003B4830"/>
    <w:rsid w:val="003B6431"/>
    <w:rsid w:val="003B694F"/>
    <w:rsid w:val="003B7A45"/>
    <w:rsid w:val="003B7F5E"/>
    <w:rsid w:val="003C2426"/>
    <w:rsid w:val="003C2505"/>
    <w:rsid w:val="003C434F"/>
    <w:rsid w:val="003C5A1F"/>
    <w:rsid w:val="003C5FC1"/>
    <w:rsid w:val="003C6268"/>
    <w:rsid w:val="003D29D0"/>
    <w:rsid w:val="003D38E2"/>
    <w:rsid w:val="003E3319"/>
    <w:rsid w:val="003E402D"/>
    <w:rsid w:val="003E7DE8"/>
    <w:rsid w:val="003F171C"/>
    <w:rsid w:val="003F2CDB"/>
    <w:rsid w:val="003F47A5"/>
    <w:rsid w:val="003F7B1E"/>
    <w:rsid w:val="004068A0"/>
    <w:rsid w:val="00407EFE"/>
    <w:rsid w:val="00412FC5"/>
    <w:rsid w:val="00413522"/>
    <w:rsid w:val="0041520C"/>
    <w:rsid w:val="0041534D"/>
    <w:rsid w:val="00415677"/>
    <w:rsid w:val="00417026"/>
    <w:rsid w:val="00422276"/>
    <w:rsid w:val="00422A8C"/>
    <w:rsid w:val="004242F1"/>
    <w:rsid w:val="00424CFB"/>
    <w:rsid w:val="00426011"/>
    <w:rsid w:val="0042656F"/>
    <w:rsid w:val="004275A5"/>
    <w:rsid w:val="00427E61"/>
    <w:rsid w:val="00430B23"/>
    <w:rsid w:val="00433668"/>
    <w:rsid w:val="00433C06"/>
    <w:rsid w:val="004341C2"/>
    <w:rsid w:val="0043470F"/>
    <w:rsid w:val="004375C2"/>
    <w:rsid w:val="00441493"/>
    <w:rsid w:val="00441AD1"/>
    <w:rsid w:val="004439DB"/>
    <w:rsid w:val="00445A00"/>
    <w:rsid w:val="004466F1"/>
    <w:rsid w:val="00446984"/>
    <w:rsid w:val="004510BF"/>
    <w:rsid w:val="00451B0F"/>
    <w:rsid w:val="004534B2"/>
    <w:rsid w:val="00457DFE"/>
    <w:rsid w:val="00460344"/>
    <w:rsid w:val="004624EC"/>
    <w:rsid w:val="00465B25"/>
    <w:rsid w:val="00465B96"/>
    <w:rsid w:val="004674DC"/>
    <w:rsid w:val="00470164"/>
    <w:rsid w:val="0047193B"/>
    <w:rsid w:val="00472C6A"/>
    <w:rsid w:val="00475EC0"/>
    <w:rsid w:val="00476A84"/>
    <w:rsid w:val="004823C3"/>
    <w:rsid w:val="004874E9"/>
    <w:rsid w:val="0049260D"/>
    <w:rsid w:val="00494CA2"/>
    <w:rsid w:val="00494CCD"/>
    <w:rsid w:val="00494DB3"/>
    <w:rsid w:val="00496737"/>
    <w:rsid w:val="004A048B"/>
    <w:rsid w:val="004A107D"/>
    <w:rsid w:val="004A195F"/>
    <w:rsid w:val="004A2BF9"/>
    <w:rsid w:val="004A348C"/>
    <w:rsid w:val="004A5B70"/>
    <w:rsid w:val="004B1294"/>
    <w:rsid w:val="004B161A"/>
    <w:rsid w:val="004B1FF1"/>
    <w:rsid w:val="004B5464"/>
    <w:rsid w:val="004B7846"/>
    <w:rsid w:val="004C2EE3"/>
    <w:rsid w:val="004C2F37"/>
    <w:rsid w:val="004C51F6"/>
    <w:rsid w:val="004C7606"/>
    <w:rsid w:val="004D1AEB"/>
    <w:rsid w:val="004D3E90"/>
    <w:rsid w:val="004D6269"/>
    <w:rsid w:val="004E3827"/>
    <w:rsid w:val="004E446F"/>
    <w:rsid w:val="004E4A22"/>
    <w:rsid w:val="004E4B9B"/>
    <w:rsid w:val="004E54F8"/>
    <w:rsid w:val="004E624C"/>
    <w:rsid w:val="004F0363"/>
    <w:rsid w:val="004F2A71"/>
    <w:rsid w:val="004F432E"/>
    <w:rsid w:val="004F5F2B"/>
    <w:rsid w:val="004F72C3"/>
    <w:rsid w:val="004F7BE4"/>
    <w:rsid w:val="004F7F73"/>
    <w:rsid w:val="004F7F74"/>
    <w:rsid w:val="005001A6"/>
    <w:rsid w:val="0050052B"/>
    <w:rsid w:val="00500576"/>
    <w:rsid w:val="00500B38"/>
    <w:rsid w:val="00500D11"/>
    <w:rsid w:val="00501FFA"/>
    <w:rsid w:val="00502F47"/>
    <w:rsid w:val="00503331"/>
    <w:rsid w:val="005040B1"/>
    <w:rsid w:val="00504CDB"/>
    <w:rsid w:val="00504F87"/>
    <w:rsid w:val="00507278"/>
    <w:rsid w:val="00507D4D"/>
    <w:rsid w:val="00511968"/>
    <w:rsid w:val="00512A4A"/>
    <w:rsid w:val="005144FD"/>
    <w:rsid w:val="00514A04"/>
    <w:rsid w:val="00515372"/>
    <w:rsid w:val="00516387"/>
    <w:rsid w:val="00516A1A"/>
    <w:rsid w:val="00516F93"/>
    <w:rsid w:val="00521781"/>
    <w:rsid w:val="005250D5"/>
    <w:rsid w:val="00530230"/>
    <w:rsid w:val="00532D16"/>
    <w:rsid w:val="00533C5C"/>
    <w:rsid w:val="00534687"/>
    <w:rsid w:val="0054292D"/>
    <w:rsid w:val="0054295D"/>
    <w:rsid w:val="00543ED0"/>
    <w:rsid w:val="005442FD"/>
    <w:rsid w:val="005448B8"/>
    <w:rsid w:val="005504A0"/>
    <w:rsid w:val="0055086F"/>
    <w:rsid w:val="00550A38"/>
    <w:rsid w:val="0055150B"/>
    <w:rsid w:val="005517BB"/>
    <w:rsid w:val="00552577"/>
    <w:rsid w:val="0055614C"/>
    <w:rsid w:val="005576B9"/>
    <w:rsid w:val="00570D70"/>
    <w:rsid w:val="00571435"/>
    <w:rsid w:val="00571BBC"/>
    <w:rsid w:val="005727EA"/>
    <w:rsid w:val="00576886"/>
    <w:rsid w:val="00577C0D"/>
    <w:rsid w:val="00580E19"/>
    <w:rsid w:val="00580E82"/>
    <w:rsid w:val="005868D4"/>
    <w:rsid w:val="00592034"/>
    <w:rsid w:val="005942EA"/>
    <w:rsid w:val="00594AFB"/>
    <w:rsid w:val="00597BC9"/>
    <w:rsid w:val="005A1486"/>
    <w:rsid w:val="005A3409"/>
    <w:rsid w:val="005A53E1"/>
    <w:rsid w:val="005C5D84"/>
    <w:rsid w:val="005C69DE"/>
    <w:rsid w:val="005D0AAE"/>
    <w:rsid w:val="005D14A6"/>
    <w:rsid w:val="005D3374"/>
    <w:rsid w:val="005D5EF3"/>
    <w:rsid w:val="005D70DB"/>
    <w:rsid w:val="005D71EF"/>
    <w:rsid w:val="005D796A"/>
    <w:rsid w:val="005E14C2"/>
    <w:rsid w:val="005E1F53"/>
    <w:rsid w:val="005E270E"/>
    <w:rsid w:val="005E4D14"/>
    <w:rsid w:val="005E5A34"/>
    <w:rsid w:val="005F023D"/>
    <w:rsid w:val="005F0F99"/>
    <w:rsid w:val="005F2358"/>
    <w:rsid w:val="005F36E6"/>
    <w:rsid w:val="005F3970"/>
    <w:rsid w:val="006018F8"/>
    <w:rsid w:val="00602DC6"/>
    <w:rsid w:val="00604891"/>
    <w:rsid w:val="006055EC"/>
    <w:rsid w:val="00607BA5"/>
    <w:rsid w:val="00610ED2"/>
    <w:rsid w:val="0061180A"/>
    <w:rsid w:val="00611A36"/>
    <w:rsid w:val="00620852"/>
    <w:rsid w:val="00624660"/>
    <w:rsid w:val="00626C33"/>
    <w:rsid w:val="00626EB6"/>
    <w:rsid w:val="00627491"/>
    <w:rsid w:val="006300B9"/>
    <w:rsid w:val="00630DC2"/>
    <w:rsid w:val="006310E5"/>
    <w:rsid w:val="0063264D"/>
    <w:rsid w:val="00634457"/>
    <w:rsid w:val="0063507D"/>
    <w:rsid w:val="0063520B"/>
    <w:rsid w:val="006407ED"/>
    <w:rsid w:val="00640B5C"/>
    <w:rsid w:val="00643AE5"/>
    <w:rsid w:val="00643C51"/>
    <w:rsid w:val="00647FAC"/>
    <w:rsid w:val="00655D03"/>
    <w:rsid w:val="006563D3"/>
    <w:rsid w:val="0065705A"/>
    <w:rsid w:val="006635F1"/>
    <w:rsid w:val="00664DEB"/>
    <w:rsid w:val="00666050"/>
    <w:rsid w:val="006664FB"/>
    <w:rsid w:val="006676BD"/>
    <w:rsid w:val="00673866"/>
    <w:rsid w:val="00682EC3"/>
    <w:rsid w:val="00683388"/>
    <w:rsid w:val="00683F84"/>
    <w:rsid w:val="006845DF"/>
    <w:rsid w:val="0068468B"/>
    <w:rsid w:val="00685DE1"/>
    <w:rsid w:val="00686236"/>
    <w:rsid w:val="0068723C"/>
    <w:rsid w:val="00693D8E"/>
    <w:rsid w:val="006A1D9F"/>
    <w:rsid w:val="006A684B"/>
    <w:rsid w:val="006A6A81"/>
    <w:rsid w:val="006B4F67"/>
    <w:rsid w:val="006B58DB"/>
    <w:rsid w:val="006B6A70"/>
    <w:rsid w:val="006C0AA9"/>
    <w:rsid w:val="006D00F8"/>
    <w:rsid w:val="006D0225"/>
    <w:rsid w:val="006D117D"/>
    <w:rsid w:val="006D1556"/>
    <w:rsid w:val="006D27FC"/>
    <w:rsid w:val="006D5295"/>
    <w:rsid w:val="006D5BE0"/>
    <w:rsid w:val="006D629D"/>
    <w:rsid w:val="006D638E"/>
    <w:rsid w:val="006E2CA0"/>
    <w:rsid w:val="006E4B32"/>
    <w:rsid w:val="006F16D8"/>
    <w:rsid w:val="006F3838"/>
    <w:rsid w:val="006F61BD"/>
    <w:rsid w:val="006F7393"/>
    <w:rsid w:val="00700491"/>
    <w:rsid w:val="007004D4"/>
    <w:rsid w:val="00701799"/>
    <w:rsid w:val="0070224F"/>
    <w:rsid w:val="007041B5"/>
    <w:rsid w:val="00711113"/>
    <w:rsid w:val="007113CB"/>
    <w:rsid w:val="007115F7"/>
    <w:rsid w:val="00711994"/>
    <w:rsid w:val="0071630D"/>
    <w:rsid w:val="0071777C"/>
    <w:rsid w:val="00717E1F"/>
    <w:rsid w:val="00721482"/>
    <w:rsid w:val="00723018"/>
    <w:rsid w:val="0072791A"/>
    <w:rsid w:val="00727D52"/>
    <w:rsid w:val="007327C8"/>
    <w:rsid w:val="0073303D"/>
    <w:rsid w:val="007338C0"/>
    <w:rsid w:val="00734FB3"/>
    <w:rsid w:val="00735680"/>
    <w:rsid w:val="00736D9B"/>
    <w:rsid w:val="00736E4C"/>
    <w:rsid w:val="007371D3"/>
    <w:rsid w:val="00737CFD"/>
    <w:rsid w:val="00742566"/>
    <w:rsid w:val="00742AA8"/>
    <w:rsid w:val="00743B8E"/>
    <w:rsid w:val="00744227"/>
    <w:rsid w:val="00744508"/>
    <w:rsid w:val="00747190"/>
    <w:rsid w:val="00750441"/>
    <w:rsid w:val="007518B4"/>
    <w:rsid w:val="0075743C"/>
    <w:rsid w:val="007640DD"/>
    <w:rsid w:val="00764193"/>
    <w:rsid w:val="00765952"/>
    <w:rsid w:val="0077090F"/>
    <w:rsid w:val="007709AC"/>
    <w:rsid w:val="00770AD4"/>
    <w:rsid w:val="00771584"/>
    <w:rsid w:val="00772A7F"/>
    <w:rsid w:val="00772BA4"/>
    <w:rsid w:val="00776160"/>
    <w:rsid w:val="007813BF"/>
    <w:rsid w:val="00782011"/>
    <w:rsid w:val="0078296F"/>
    <w:rsid w:val="00783BAD"/>
    <w:rsid w:val="00784A31"/>
    <w:rsid w:val="00785689"/>
    <w:rsid w:val="00787381"/>
    <w:rsid w:val="0079037A"/>
    <w:rsid w:val="00791903"/>
    <w:rsid w:val="00792C74"/>
    <w:rsid w:val="00792F53"/>
    <w:rsid w:val="00794087"/>
    <w:rsid w:val="007956A0"/>
    <w:rsid w:val="00795998"/>
    <w:rsid w:val="00796595"/>
    <w:rsid w:val="00796794"/>
    <w:rsid w:val="0079754B"/>
    <w:rsid w:val="007A1E6D"/>
    <w:rsid w:val="007A36FA"/>
    <w:rsid w:val="007A434A"/>
    <w:rsid w:val="007A591E"/>
    <w:rsid w:val="007B0EB2"/>
    <w:rsid w:val="007B1900"/>
    <w:rsid w:val="007B25F5"/>
    <w:rsid w:val="007B38BF"/>
    <w:rsid w:val="007B3E81"/>
    <w:rsid w:val="007B7554"/>
    <w:rsid w:val="007C0E94"/>
    <w:rsid w:val="007C286E"/>
    <w:rsid w:val="007C5A69"/>
    <w:rsid w:val="007C6DD4"/>
    <w:rsid w:val="007C743A"/>
    <w:rsid w:val="007D0578"/>
    <w:rsid w:val="007D0C48"/>
    <w:rsid w:val="007D10B5"/>
    <w:rsid w:val="007D538F"/>
    <w:rsid w:val="007D592E"/>
    <w:rsid w:val="007D5A1D"/>
    <w:rsid w:val="007D7460"/>
    <w:rsid w:val="007D7E74"/>
    <w:rsid w:val="007E370E"/>
    <w:rsid w:val="007E4F79"/>
    <w:rsid w:val="007E6019"/>
    <w:rsid w:val="007E606D"/>
    <w:rsid w:val="007E7A9F"/>
    <w:rsid w:val="007F1D63"/>
    <w:rsid w:val="007F4DD6"/>
    <w:rsid w:val="008004C2"/>
    <w:rsid w:val="00801D84"/>
    <w:rsid w:val="00802704"/>
    <w:rsid w:val="008068F8"/>
    <w:rsid w:val="00810859"/>
    <w:rsid w:val="00810B6F"/>
    <w:rsid w:val="0081248C"/>
    <w:rsid w:val="00813BC2"/>
    <w:rsid w:val="00816B24"/>
    <w:rsid w:val="008204E2"/>
    <w:rsid w:val="008207B1"/>
    <w:rsid w:val="00820E7D"/>
    <w:rsid w:val="008210B7"/>
    <w:rsid w:val="00822CE0"/>
    <w:rsid w:val="00823706"/>
    <w:rsid w:val="00826F0B"/>
    <w:rsid w:val="00827672"/>
    <w:rsid w:val="00831CBE"/>
    <w:rsid w:val="008325C0"/>
    <w:rsid w:val="008327A9"/>
    <w:rsid w:val="00832DD3"/>
    <w:rsid w:val="00834664"/>
    <w:rsid w:val="008357C0"/>
    <w:rsid w:val="00840618"/>
    <w:rsid w:val="0084122A"/>
    <w:rsid w:val="00841793"/>
    <w:rsid w:val="00841AB1"/>
    <w:rsid w:val="00842DFB"/>
    <w:rsid w:val="00844DE1"/>
    <w:rsid w:val="008451BE"/>
    <w:rsid w:val="008471E6"/>
    <w:rsid w:val="00850D3A"/>
    <w:rsid w:val="008510E2"/>
    <w:rsid w:val="00851176"/>
    <w:rsid w:val="008515F5"/>
    <w:rsid w:val="00853E63"/>
    <w:rsid w:val="008540C0"/>
    <w:rsid w:val="00855155"/>
    <w:rsid w:val="008553F3"/>
    <w:rsid w:val="00861637"/>
    <w:rsid w:val="008645A7"/>
    <w:rsid w:val="008662FA"/>
    <w:rsid w:val="00866C6D"/>
    <w:rsid w:val="00871A81"/>
    <w:rsid w:val="0087394A"/>
    <w:rsid w:val="00877BC3"/>
    <w:rsid w:val="00884130"/>
    <w:rsid w:val="00893EA8"/>
    <w:rsid w:val="0089451B"/>
    <w:rsid w:val="00896BF3"/>
    <w:rsid w:val="00897256"/>
    <w:rsid w:val="0089735C"/>
    <w:rsid w:val="008A16D1"/>
    <w:rsid w:val="008A3EC2"/>
    <w:rsid w:val="008A5E9C"/>
    <w:rsid w:val="008A6C7B"/>
    <w:rsid w:val="008A6E0F"/>
    <w:rsid w:val="008B2C6F"/>
    <w:rsid w:val="008B2E97"/>
    <w:rsid w:val="008B4809"/>
    <w:rsid w:val="008B5484"/>
    <w:rsid w:val="008B74AE"/>
    <w:rsid w:val="008C5CCD"/>
    <w:rsid w:val="008C68F1"/>
    <w:rsid w:val="008C7BC9"/>
    <w:rsid w:val="008D32E7"/>
    <w:rsid w:val="008D4507"/>
    <w:rsid w:val="008E06C8"/>
    <w:rsid w:val="008E1E5D"/>
    <w:rsid w:val="008E3145"/>
    <w:rsid w:val="008E4184"/>
    <w:rsid w:val="008E7E2A"/>
    <w:rsid w:val="008F0402"/>
    <w:rsid w:val="008F0EE8"/>
    <w:rsid w:val="008F1517"/>
    <w:rsid w:val="008F1BE9"/>
    <w:rsid w:val="00901E8B"/>
    <w:rsid w:val="00902B66"/>
    <w:rsid w:val="00903CF1"/>
    <w:rsid w:val="00905A50"/>
    <w:rsid w:val="0090777D"/>
    <w:rsid w:val="00907913"/>
    <w:rsid w:val="00913C84"/>
    <w:rsid w:val="00915134"/>
    <w:rsid w:val="0092094D"/>
    <w:rsid w:val="0092167B"/>
    <w:rsid w:val="00921803"/>
    <w:rsid w:val="00922FC8"/>
    <w:rsid w:val="00926503"/>
    <w:rsid w:val="0092663C"/>
    <w:rsid w:val="00930D5A"/>
    <w:rsid w:val="00931457"/>
    <w:rsid w:val="00931DF0"/>
    <w:rsid w:val="00931FDE"/>
    <w:rsid w:val="00931FFC"/>
    <w:rsid w:val="00932D93"/>
    <w:rsid w:val="00933F9F"/>
    <w:rsid w:val="009346C3"/>
    <w:rsid w:val="00934A99"/>
    <w:rsid w:val="0093730A"/>
    <w:rsid w:val="00937D1F"/>
    <w:rsid w:val="009400D0"/>
    <w:rsid w:val="00942BFD"/>
    <w:rsid w:val="00942EA3"/>
    <w:rsid w:val="00943C56"/>
    <w:rsid w:val="009444DA"/>
    <w:rsid w:val="00945046"/>
    <w:rsid w:val="00946E3C"/>
    <w:rsid w:val="009531E0"/>
    <w:rsid w:val="0095489E"/>
    <w:rsid w:val="009554E1"/>
    <w:rsid w:val="0096073E"/>
    <w:rsid w:val="009618E5"/>
    <w:rsid w:val="009662B5"/>
    <w:rsid w:val="0097100D"/>
    <w:rsid w:val="00972670"/>
    <w:rsid w:val="009726B2"/>
    <w:rsid w:val="009726D8"/>
    <w:rsid w:val="00975A1E"/>
    <w:rsid w:val="0097677E"/>
    <w:rsid w:val="00977A8C"/>
    <w:rsid w:val="00980BA4"/>
    <w:rsid w:val="00980F58"/>
    <w:rsid w:val="00985E47"/>
    <w:rsid w:val="00985F7E"/>
    <w:rsid w:val="00987EE1"/>
    <w:rsid w:val="0099056F"/>
    <w:rsid w:val="009979C9"/>
    <w:rsid w:val="009A6878"/>
    <w:rsid w:val="009A70D6"/>
    <w:rsid w:val="009B2385"/>
    <w:rsid w:val="009B33F4"/>
    <w:rsid w:val="009B5249"/>
    <w:rsid w:val="009B6152"/>
    <w:rsid w:val="009B6D5A"/>
    <w:rsid w:val="009B70FA"/>
    <w:rsid w:val="009C0CE7"/>
    <w:rsid w:val="009C1C72"/>
    <w:rsid w:val="009C23C4"/>
    <w:rsid w:val="009C40D5"/>
    <w:rsid w:val="009D171E"/>
    <w:rsid w:val="009D25BF"/>
    <w:rsid w:val="009D30C2"/>
    <w:rsid w:val="009D4DCA"/>
    <w:rsid w:val="009E0DD1"/>
    <w:rsid w:val="009E2C43"/>
    <w:rsid w:val="009E4C01"/>
    <w:rsid w:val="009E5896"/>
    <w:rsid w:val="009F0707"/>
    <w:rsid w:val="009F0C81"/>
    <w:rsid w:val="009F2EE8"/>
    <w:rsid w:val="009F57AD"/>
    <w:rsid w:val="009F58D4"/>
    <w:rsid w:val="009F6BFA"/>
    <w:rsid w:val="009F76DB"/>
    <w:rsid w:val="00A0781C"/>
    <w:rsid w:val="00A13FF8"/>
    <w:rsid w:val="00A16DBC"/>
    <w:rsid w:val="00A21BB6"/>
    <w:rsid w:val="00A24C06"/>
    <w:rsid w:val="00A25603"/>
    <w:rsid w:val="00A26696"/>
    <w:rsid w:val="00A26B94"/>
    <w:rsid w:val="00A27FA8"/>
    <w:rsid w:val="00A31DDA"/>
    <w:rsid w:val="00A32C3B"/>
    <w:rsid w:val="00A32F46"/>
    <w:rsid w:val="00A34022"/>
    <w:rsid w:val="00A403FA"/>
    <w:rsid w:val="00A45F4F"/>
    <w:rsid w:val="00A55C57"/>
    <w:rsid w:val="00A57E67"/>
    <w:rsid w:val="00A600A9"/>
    <w:rsid w:val="00A63B34"/>
    <w:rsid w:val="00A6564E"/>
    <w:rsid w:val="00A669AA"/>
    <w:rsid w:val="00A730AE"/>
    <w:rsid w:val="00A74C58"/>
    <w:rsid w:val="00A75DF9"/>
    <w:rsid w:val="00A75FA7"/>
    <w:rsid w:val="00A7699F"/>
    <w:rsid w:val="00A77877"/>
    <w:rsid w:val="00A8054D"/>
    <w:rsid w:val="00A816F5"/>
    <w:rsid w:val="00A819F8"/>
    <w:rsid w:val="00A8203F"/>
    <w:rsid w:val="00A82728"/>
    <w:rsid w:val="00A82B96"/>
    <w:rsid w:val="00A8383F"/>
    <w:rsid w:val="00A84D3D"/>
    <w:rsid w:val="00A84F24"/>
    <w:rsid w:val="00A86189"/>
    <w:rsid w:val="00A928A3"/>
    <w:rsid w:val="00A92AE2"/>
    <w:rsid w:val="00A94305"/>
    <w:rsid w:val="00AA55B7"/>
    <w:rsid w:val="00AA5B9E"/>
    <w:rsid w:val="00AA5CC2"/>
    <w:rsid w:val="00AA5EEA"/>
    <w:rsid w:val="00AA6B6A"/>
    <w:rsid w:val="00AB2407"/>
    <w:rsid w:val="00AB2E01"/>
    <w:rsid w:val="00AB53DF"/>
    <w:rsid w:val="00AB5CFC"/>
    <w:rsid w:val="00AB7938"/>
    <w:rsid w:val="00AC000D"/>
    <w:rsid w:val="00AC0FC9"/>
    <w:rsid w:val="00AC58A6"/>
    <w:rsid w:val="00AD1309"/>
    <w:rsid w:val="00AD3F16"/>
    <w:rsid w:val="00AD45C6"/>
    <w:rsid w:val="00AE0FA6"/>
    <w:rsid w:val="00AE1085"/>
    <w:rsid w:val="00AE2D32"/>
    <w:rsid w:val="00AE3202"/>
    <w:rsid w:val="00AE4483"/>
    <w:rsid w:val="00AE7B0E"/>
    <w:rsid w:val="00AE7F01"/>
    <w:rsid w:val="00AF0869"/>
    <w:rsid w:val="00AF0A74"/>
    <w:rsid w:val="00AF0D37"/>
    <w:rsid w:val="00AF4207"/>
    <w:rsid w:val="00AF503B"/>
    <w:rsid w:val="00AF549D"/>
    <w:rsid w:val="00AF5A10"/>
    <w:rsid w:val="00B0070A"/>
    <w:rsid w:val="00B00F70"/>
    <w:rsid w:val="00B07E5C"/>
    <w:rsid w:val="00B1783B"/>
    <w:rsid w:val="00B2159A"/>
    <w:rsid w:val="00B227D6"/>
    <w:rsid w:val="00B236F2"/>
    <w:rsid w:val="00B2379C"/>
    <w:rsid w:val="00B25DE9"/>
    <w:rsid w:val="00B32B76"/>
    <w:rsid w:val="00B3622A"/>
    <w:rsid w:val="00B404FC"/>
    <w:rsid w:val="00B421AF"/>
    <w:rsid w:val="00B42B47"/>
    <w:rsid w:val="00B4487F"/>
    <w:rsid w:val="00B44C22"/>
    <w:rsid w:val="00B507F1"/>
    <w:rsid w:val="00B50951"/>
    <w:rsid w:val="00B524E5"/>
    <w:rsid w:val="00B52C7E"/>
    <w:rsid w:val="00B5560D"/>
    <w:rsid w:val="00B63132"/>
    <w:rsid w:val="00B63499"/>
    <w:rsid w:val="00B6569A"/>
    <w:rsid w:val="00B717BC"/>
    <w:rsid w:val="00B7278B"/>
    <w:rsid w:val="00B7598F"/>
    <w:rsid w:val="00B76230"/>
    <w:rsid w:val="00B811F7"/>
    <w:rsid w:val="00B819BE"/>
    <w:rsid w:val="00B826B7"/>
    <w:rsid w:val="00B87078"/>
    <w:rsid w:val="00B87A8E"/>
    <w:rsid w:val="00B95075"/>
    <w:rsid w:val="00B95EF7"/>
    <w:rsid w:val="00BA1A9F"/>
    <w:rsid w:val="00BA5DC6"/>
    <w:rsid w:val="00BA6196"/>
    <w:rsid w:val="00BA789D"/>
    <w:rsid w:val="00BB328E"/>
    <w:rsid w:val="00BC198C"/>
    <w:rsid w:val="00BC31BA"/>
    <w:rsid w:val="00BC645C"/>
    <w:rsid w:val="00BC6D8C"/>
    <w:rsid w:val="00BD3614"/>
    <w:rsid w:val="00BD425A"/>
    <w:rsid w:val="00BD68FD"/>
    <w:rsid w:val="00BE2BF1"/>
    <w:rsid w:val="00BE60CB"/>
    <w:rsid w:val="00BE64C4"/>
    <w:rsid w:val="00BE747C"/>
    <w:rsid w:val="00BF0D33"/>
    <w:rsid w:val="00BF11A7"/>
    <w:rsid w:val="00BF1681"/>
    <w:rsid w:val="00BF2842"/>
    <w:rsid w:val="00BF2B6B"/>
    <w:rsid w:val="00BF3A30"/>
    <w:rsid w:val="00BF482F"/>
    <w:rsid w:val="00C00F1D"/>
    <w:rsid w:val="00C01B0B"/>
    <w:rsid w:val="00C02DDB"/>
    <w:rsid w:val="00C0524F"/>
    <w:rsid w:val="00C21E29"/>
    <w:rsid w:val="00C2257C"/>
    <w:rsid w:val="00C24F8B"/>
    <w:rsid w:val="00C2553B"/>
    <w:rsid w:val="00C2620A"/>
    <w:rsid w:val="00C26BF7"/>
    <w:rsid w:val="00C31482"/>
    <w:rsid w:val="00C334F2"/>
    <w:rsid w:val="00C34006"/>
    <w:rsid w:val="00C356B6"/>
    <w:rsid w:val="00C379FD"/>
    <w:rsid w:val="00C4094D"/>
    <w:rsid w:val="00C40D2F"/>
    <w:rsid w:val="00C426B1"/>
    <w:rsid w:val="00C42E2E"/>
    <w:rsid w:val="00C43BF7"/>
    <w:rsid w:val="00C51066"/>
    <w:rsid w:val="00C52A93"/>
    <w:rsid w:val="00C578FE"/>
    <w:rsid w:val="00C57982"/>
    <w:rsid w:val="00C61AC5"/>
    <w:rsid w:val="00C61D17"/>
    <w:rsid w:val="00C628BD"/>
    <w:rsid w:val="00C632B6"/>
    <w:rsid w:val="00C63CAC"/>
    <w:rsid w:val="00C644C4"/>
    <w:rsid w:val="00C64FCB"/>
    <w:rsid w:val="00C655AE"/>
    <w:rsid w:val="00C66160"/>
    <w:rsid w:val="00C70A6D"/>
    <w:rsid w:val="00C714AD"/>
    <w:rsid w:val="00C721AC"/>
    <w:rsid w:val="00C72F01"/>
    <w:rsid w:val="00C737A3"/>
    <w:rsid w:val="00C76715"/>
    <w:rsid w:val="00C767AE"/>
    <w:rsid w:val="00C76D4C"/>
    <w:rsid w:val="00C816F7"/>
    <w:rsid w:val="00C87BA3"/>
    <w:rsid w:val="00C90D6A"/>
    <w:rsid w:val="00C90FC8"/>
    <w:rsid w:val="00C91D05"/>
    <w:rsid w:val="00CA247E"/>
    <w:rsid w:val="00CA49E6"/>
    <w:rsid w:val="00CA55E7"/>
    <w:rsid w:val="00CA5F24"/>
    <w:rsid w:val="00CB37E1"/>
    <w:rsid w:val="00CB475F"/>
    <w:rsid w:val="00CB5D9F"/>
    <w:rsid w:val="00CC01F9"/>
    <w:rsid w:val="00CC136E"/>
    <w:rsid w:val="00CC45C9"/>
    <w:rsid w:val="00CC72B6"/>
    <w:rsid w:val="00CD0A76"/>
    <w:rsid w:val="00CD104A"/>
    <w:rsid w:val="00CD42B0"/>
    <w:rsid w:val="00CD4F9A"/>
    <w:rsid w:val="00CD5882"/>
    <w:rsid w:val="00CD592D"/>
    <w:rsid w:val="00CE360E"/>
    <w:rsid w:val="00CE4440"/>
    <w:rsid w:val="00CE55D1"/>
    <w:rsid w:val="00CF09ED"/>
    <w:rsid w:val="00CF0B5C"/>
    <w:rsid w:val="00CF19AB"/>
    <w:rsid w:val="00CF7116"/>
    <w:rsid w:val="00CF74AE"/>
    <w:rsid w:val="00CF76A1"/>
    <w:rsid w:val="00CF7ADD"/>
    <w:rsid w:val="00D0043B"/>
    <w:rsid w:val="00D0218D"/>
    <w:rsid w:val="00D025BC"/>
    <w:rsid w:val="00D03D71"/>
    <w:rsid w:val="00D16888"/>
    <w:rsid w:val="00D16EDD"/>
    <w:rsid w:val="00D20D1C"/>
    <w:rsid w:val="00D23350"/>
    <w:rsid w:val="00D2445A"/>
    <w:rsid w:val="00D25FB5"/>
    <w:rsid w:val="00D27033"/>
    <w:rsid w:val="00D277A1"/>
    <w:rsid w:val="00D31B71"/>
    <w:rsid w:val="00D32085"/>
    <w:rsid w:val="00D35647"/>
    <w:rsid w:val="00D368CD"/>
    <w:rsid w:val="00D44223"/>
    <w:rsid w:val="00D461ED"/>
    <w:rsid w:val="00D50EFA"/>
    <w:rsid w:val="00D52899"/>
    <w:rsid w:val="00D533B0"/>
    <w:rsid w:val="00D55756"/>
    <w:rsid w:val="00D57087"/>
    <w:rsid w:val="00D65BFD"/>
    <w:rsid w:val="00D72361"/>
    <w:rsid w:val="00D753E7"/>
    <w:rsid w:val="00D76DCE"/>
    <w:rsid w:val="00D91383"/>
    <w:rsid w:val="00D9267F"/>
    <w:rsid w:val="00D93F86"/>
    <w:rsid w:val="00D9413C"/>
    <w:rsid w:val="00D95EC9"/>
    <w:rsid w:val="00D964F9"/>
    <w:rsid w:val="00DA219E"/>
    <w:rsid w:val="00DA2529"/>
    <w:rsid w:val="00DA4B93"/>
    <w:rsid w:val="00DA53E3"/>
    <w:rsid w:val="00DB11AA"/>
    <w:rsid w:val="00DB130A"/>
    <w:rsid w:val="00DB2189"/>
    <w:rsid w:val="00DB2D18"/>
    <w:rsid w:val="00DB2EBB"/>
    <w:rsid w:val="00DB3345"/>
    <w:rsid w:val="00DB35CE"/>
    <w:rsid w:val="00DB3EF7"/>
    <w:rsid w:val="00DC0B8A"/>
    <w:rsid w:val="00DC0BE7"/>
    <w:rsid w:val="00DC10A1"/>
    <w:rsid w:val="00DC17C6"/>
    <w:rsid w:val="00DC2F3A"/>
    <w:rsid w:val="00DC3B1B"/>
    <w:rsid w:val="00DC3D05"/>
    <w:rsid w:val="00DC655F"/>
    <w:rsid w:val="00DD0836"/>
    <w:rsid w:val="00DD0B59"/>
    <w:rsid w:val="00DD2B6E"/>
    <w:rsid w:val="00DD3249"/>
    <w:rsid w:val="00DD4DCC"/>
    <w:rsid w:val="00DD5496"/>
    <w:rsid w:val="00DD5A0B"/>
    <w:rsid w:val="00DD7EBD"/>
    <w:rsid w:val="00DE119E"/>
    <w:rsid w:val="00DE3592"/>
    <w:rsid w:val="00DE72A7"/>
    <w:rsid w:val="00DF0996"/>
    <w:rsid w:val="00DF2ADC"/>
    <w:rsid w:val="00DF4A24"/>
    <w:rsid w:val="00DF62B6"/>
    <w:rsid w:val="00DF7305"/>
    <w:rsid w:val="00E00392"/>
    <w:rsid w:val="00E011BB"/>
    <w:rsid w:val="00E015CB"/>
    <w:rsid w:val="00E02AAF"/>
    <w:rsid w:val="00E07225"/>
    <w:rsid w:val="00E07C55"/>
    <w:rsid w:val="00E07DFA"/>
    <w:rsid w:val="00E15D2D"/>
    <w:rsid w:val="00E20833"/>
    <w:rsid w:val="00E24DD4"/>
    <w:rsid w:val="00E2512F"/>
    <w:rsid w:val="00E42BC3"/>
    <w:rsid w:val="00E433D4"/>
    <w:rsid w:val="00E43B88"/>
    <w:rsid w:val="00E43F10"/>
    <w:rsid w:val="00E4684A"/>
    <w:rsid w:val="00E474DB"/>
    <w:rsid w:val="00E50751"/>
    <w:rsid w:val="00E5079D"/>
    <w:rsid w:val="00E5409F"/>
    <w:rsid w:val="00E57686"/>
    <w:rsid w:val="00E60EAA"/>
    <w:rsid w:val="00E61E40"/>
    <w:rsid w:val="00E62494"/>
    <w:rsid w:val="00E6330D"/>
    <w:rsid w:val="00E63E9D"/>
    <w:rsid w:val="00E64FB7"/>
    <w:rsid w:val="00E664A3"/>
    <w:rsid w:val="00E66905"/>
    <w:rsid w:val="00E71E3B"/>
    <w:rsid w:val="00E7621A"/>
    <w:rsid w:val="00E767CB"/>
    <w:rsid w:val="00E8456A"/>
    <w:rsid w:val="00E86D65"/>
    <w:rsid w:val="00E875A1"/>
    <w:rsid w:val="00E90343"/>
    <w:rsid w:val="00E903FF"/>
    <w:rsid w:val="00E904F9"/>
    <w:rsid w:val="00E90ACE"/>
    <w:rsid w:val="00E945F7"/>
    <w:rsid w:val="00E95192"/>
    <w:rsid w:val="00EA1377"/>
    <w:rsid w:val="00EB061E"/>
    <w:rsid w:val="00EB1227"/>
    <w:rsid w:val="00EB275F"/>
    <w:rsid w:val="00EC2F90"/>
    <w:rsid w:val="00EC383A"/>
    <w:rsid w:val="00EC3F75"/>
    <w:rsid w:val="00EC6CDF"/>
    <w:rsid w:val="00ED02E5"/>
    <w:rsid w:val="00ED1283"/>
    <w:rsid w:val="00ED15B4"/>
    <w:rsid w:val="00ED36EB"/>
    <w:rsid w:val="00ED5F6F"/>
    <w:rsid w:val="00ED63CE"/>
    <w:rsid w:val="00ED7C28"/>
    <w:rsid w:val="00EE20D4"/>
    <w:rsid w:val="00EE6488"/>
    <w:rsid w:val="00EF1CD7"/>
    <w:rsid w:val="00EF4E01"/>
    <w:rsid w:val="00EF6DD2"/>
    <w:rsid w:val="00EF6EDD"/>
    <w:rsid w:val="00EF7A47"/>
    <w:rsid w:val="00EF7AC0"/>
    <w:rsid w:val="00F00995"/>
    <w:rsid w:val="00F021FA"/>
    <w:rsid w:val="00F04E7C"/>
    <w:rsid w:val="00F04F3A"/>
    <w:rsid w:val="00F05C44"/>
    <w:rsid w:val="00F222B8"/>
    <w:rsid w:val="00F22317"/>
    <w:rsid w:val="00F2319F"/>
    <w:rsid w:val="00F2519D"/>
    <w:rsid w:val="00F25AFC"/>
    <w:rsid w:val="00F3284D"/>
    <w:rsid w:val="00F369B9"/>
    <w:rsid w:val="00F36CBE"/>
    <w:rsid w:val="00F40B1B"/>
    <w:rsid w:val="00F44087"/>
    <w:rsid w:val="00F44286"/>
    <w:rsid w:val="00F4456E"/>
    <w:rsid w:val="00F4465A"/>
    <w:rsid w:val="00F44755"/>
    <w:rsid w:val="00F45EFD"/>
    <w:rsid w:val="00F47CB6"/>
    <w:rsid w:val="00F54258"/>
    <w:rsid w:val="00F55CEC"/>
    <w:rsid w:val="00F560D9"/>
    <w:rsid w:val="00F56757"/>
    <w:rsid w:val="00F57572"/>
    <w:rsid w:val="00F61A6A"/>
    <w:rsid w:val="00F62E97"/>
    <w:rsid w:val="00F64209"/>
    <w:rsid w:val="00F64762"/>
    <w:rsid w:val="00F65A3D"/>
    <w:rsid w:val="00F66972"/>
    <w:rsid w:val="00F67629"/>
    <w:rsid w:val="00F706E9"/>
    <w:rsid w:val="00F74BB5"/>
    <w:rsid w:val="00F80A81"/>
    <w:rsid w:val="00F832E5"/>
    <w:rsid w:val="00F900AA"/>
    <w:rsid w:val="00F91158"/>
    <w:rsid w:val="00F926FE"/>
    <w:rsid w:val="00F93BF5"/>
    <w:rsid w:val="00F965D0"/>
    <w:rsid w:val="00FA65E9"/>
    <w:rsid w:val="00FA68CE"/>
    <w:rsid w:val="00FA6F20"/>
    <w:rsid w:val="00FB3724"/>
    <w:rsid w:val="00FB75D8"/>
    <w:rsid w:val="00FC3DC2"/>
    <w:rsid w:val="00FC48D8"/>
    <w:rsid w:val="00FC500E"/>
    <w:rsid w:val="00FD26D8"/>
    <w:rsid w:val="00FD3946"/>
    <w:rsid w:val="00FD4BA6"/>
    <w:rsid w:val="00FD6859"/>
    <w:rsid w:val="00FD6C72"/>
    <w:rsid w:val="00FE0F59"/>
    <w:rsid w:val="00FE1BF7"/>
    <w:rsid w:val="00FE499B"/>
    <w:rsid w:val="00FF1BCC"/>
    <w:rsid w:val="00FF6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6B"/>
    <w:pPr>
      <w:spacing w:after="160" w:line="259" w:lineRule="auto"/>
    </w:pPr>
    <w:rPr>
      <w:rFonts w:eastAsiaTheme="minorHAnsi"/>
      <w:b/>
      <w:snapToGrid w:val="0"/>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aps/>
      <w:kern w:val="28"/>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eastAsia="Times New Roman"/>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eastAsia="Times New Roman"/>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eastAsia="Times New Roman"/>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eastAsia="Times New Roman"/>
      <w:kern w:val="28"/>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eastAsia="Times New Roman"/>
      <w:kern w:val="28"/>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eastAsia="Times New Roman"/>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eastAsia="Times New Roman"/>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eastAsia="Times New Roman"/>
      <w:b w:val="0"/>
      <w:kern w:val="28"/>
    </w:rPr>
  </w:style>
  <w:style w:type="paragraph" w:styleId="EndnoteText">
    <w:name w:val="endnote text"/>
    <w:basedOn w:val="Normal"/>
    <w:semiHidden/>
    <w:pPr>
      <w:widowControl w:val="0"/>
      <w:spacing w:after="0" w:line="240" w:lineRule="auto"/>
    </w:pPr>
    <w:rPr>
      <w:rFonts w:eastAsia="Times New Roman"/>
      <w:b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eastAsia="Times New Roman"/>
      <w:b w:val="0"/>
      <w:caps/>
      <w:noProof/>
      <w:kern w:val="28"/>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eastAsia="Times New Roman"/>
      <w:b w:val="0"/>
      <w:noProof/>
      <w:kern w:val="28"/>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eastAsia="Times New Roman"/>
      <w:b w:val="0"/>
      <w:noProof/>
      <w:kern w:val="28"/>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eastAsia="Times New Roman"/>
      <w:b w:val="0"/>
      <w:noProof/>
      <w:kern w:val="28"/>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eastAsia="Times New Roman"/>
      <w:b w:val="0"/>
      <w:noProof/>
      <w:kern w:val="28"/>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eastAsia="Times New Roman"/>
      <w:b w:val="0"/>
      <w:noProof/>
      <w:kern w:val="28"/>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eastAsia="Times New Roman"/>
      <w:b w:val="0"/>
      <w:noProof/>
      <w:kern w:val="28"/>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eastAsia="Times New Roman"/>
      <w:b w:val="0"/>
      <w:noProof/>
      <w:kern w:val="28"/>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eastAsia="Times New Roman"/>
      <w:b w:val="0"/>
      <w:noProof/>
      <w:kern w:val="28"/>
    </w:rPr>
  </w:style>
  <w:style w:type="paragraph" w:styleId="TOAHeading">
    <w:name w:val="toa heading"/>
    <w:basedOn w:val="Normal"/>
    <w:next w:val="Normal"/>
    <w:semiHidden/>
    <w:pPr>
      <w:widowControl w:val="0"/>
      <w:tabs>
        <w:tab w:val="right" w:pos="9360"/>
      </w:tabs>
      <w:suppressAutoHyphens/>
      <w:spacing w:after="0" w:line="240" w:lineRule="auto"/>
    </w:pPr>
    <w:rPr>
      <w:rFonts w:eastAsia="Times New Roman"/>
      <w:b w:val="0"/>
      <w:kern w:val="28"/>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eastAsia="Times New Roman"/>
      <w:kern w:val="28"/>
    </w:rPr>
  </w:style>
  <w:style w:type="paragraph" w:styleId="Footer">
    <w:name w:val="footer"/>
    <w:basedOn w:val="Normal"/>
    <w:pPr>
      <w:widowControl w:val="0"/>
      <w:tabs>
        <w:tab w:val="center" w:pos="4320"/>
        <w:tab w:val="right" w:pos="8640"/>
      </w:tabs>
      <w:spacing w:after="0" w:line="240" w:lineRule="auto"/>
    </w:pPr>
    <w:rPr>
      <w:rFonts w:eastAsia="Times New Roman"/>
      <w:b w:val="0"/>
      <w:kern w:val="28"/>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eastAsia="Times New Roman"/>
      <w:b w:val="0"/>
      <w:kern w:val="28"/>
    </w:rPr>
  </w:style>
  <w:style w:type="paragraph" w:customStyle="1" w:styleId="Paratitle">
    <w:name w:val="Para title"/>
    <w:basedOn w:val="Normal"/>
    <w:pPr>
      <w:widowControl w:val="0"/>
      <w:tabs>
        <w:tab w:val="center" w:pos="9270"/>
      </w:tabs>
      <w:spacing w:after="240" w:line="240" w:lineRule="auto"/>
    </w:pPr>
    <w:rPr>
      <w:rFonts w:eastAsia="Times New Roman"/>
      <w:b w:val="0"/>
      <w:spacing w:val="-2"/>
      <w:kern w:val="28"/>
    </w:rPr>
  </w:style>
  <w:style w:type="paragraph" w:customStyle="1" w:styleId="Bullet">
    <w:name w:val="Bullet"/>
    <w:basedOn w:val="Normal"/>
    <w:pPr>
      <w:widowControl w:val="0"/>
      <w:tabs>
        <w:tab w:val="left" w:pos="2160"/>
      </w:tabs>
      <w:spacing w:after="220" w:line="240" w:lineRule="auto"/>
      <w:ind w:left="2160" w:hanging="720"/>
    </w:pPr>
    <w:rPr>
      <w:rFonts w:eastAsia="Times New Roman"/>
      <w:b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aps/>
      <w:spacing w:val="-2"/>
      <w:kern w:val="28"/>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Cs/>
      <w:caps/>
      <w:kern w:val="28"/>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pPr>
      <w:widowControl w:val="0"/>
      <w:spacing w:after="0" w:line="240" w:lineRule="auto"/>
    </w:pPr>
    <w:rPr>
      <w:rFonts w:ascii="Segoe UI" w:eastAsia="Times New Roman" w:hAnsi="Segoe UI" w:cs="Segoe UI"/>
      <w:b w:val="0"/>
      <w:kern w:val="28"/>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pPr>
      <w:widowControl w:val="0"/>
      <w:spacing w:after="0" w:line="240" w:lineRule="auto"/>
    </w:pPr>
    <w:rPr>
      <w:rFonts w:eastAsia="Times New Roman"/>
      <w:b w:val="0"/>
      <w:kern w:val="28"/>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paragraph" w:customStyle="1" w:styleId="AppNum">
    <w:name w:val="App Num"/>
    <w:basedOn w:val="Normal"/>
    <w:rsid w:val="00643C51"/>
    <w:pPr>
      <w:widowControl w:val="0"/>
      <w:numPr>
        <w:numId w:val="16"/>
      </w:numPr>
      <w:spacing w:after="0" w:line="240" w:lineRule="auto"/>
    </w:pPr>
    <w:rPr>
      <w:rFonts w:ascii="Courier New" w:eastAsia="Times New Roman" w:hAnsi="Courier New"/>
      <w:b w:val="0"/>
      <w:sz w:val="24"/>
    </w:rPr>
  </w:style>
  <w:style w:type="paragraph" w:styleId="BodyText">
    <w:name w:val="Body Text"/>
    <w:basedOn w:val="Normal"/>
    <w:link w:val="BodyTextChar"/>
    <w:rsid w:val="00643C51"/>
    <w:pPr>
      <w:spacing w:after="240" w:line="240" w:lineRule="auto"/>
      <w:jc w:val="both"/>
    </w:pPr>
    <w:rPr>
      <w:rFonts w:eastAsia="Times New Roman"/>
      <w:b w:val="0"/>
      <w:snapToGrid/>
    </w:rPr>
  </w:style>
  <w:style w:type="character" w:customStyle="1" w:styleId="BodyTextChar">
    <w:name w:val="Body Text Char"/>
    <w:basedOn w:val="DefaultParagraphFont"/>
    <w:link w:val="BodyText"/>
    <w:rsid w:val="00643C51"/>
    <w:rPr>
      <w:sz w:val="22"/>
    </w:rPr>
  </w:style>
  <w:style w:type="character" w:styleId="Emphasis">
    <w:name w:val="Emphasis"/>
    <w:basedOn w:val="DefaultParagraphFont"/>
    <w:uiPriority w:val="20"/>
    <w:qFormat/>
    <w:rsid w:val="00F45EFD"/>
    <w:rPr>
      <w:i/>
      <w:iCs/>
    </w:rPr>
  </w:style>
  <w:style w:type="paragraph" w:styleId="ListParagraph">
    <w:name w:val="List Paragraph"/>
    <w:basedOn w:val="Normal"/>
    <w:uiPriority w:val="34"/>
    <w:qFormat/>
    <w:rsid w:val="00C26BF7"/>
    <w:pPr>
      <w:ind w:left="720"/>
      <w:contextualSpacing/>
    </w:pPr>
  </w:style>
  <w:style w:type="character" w:customStyle="1" w:styleId="UnresolvedMention">
    <w:name w:val="Unresolved Mention"/>
    <w:basedOn w:val="DefaultParagraphFont"/>
    <w:uiPriority w:val="99"/>
    <w:semiHidden/>
    <w:unhideWhenUsed/>
    <w:rsid w:val="00D753E7"/>
    <w:rPr>
      <w:color w:val="808080"/>
      <w:shd w:val="clear" w:color="auto" w:fill="E6E6E6"/>
    </w:rPr>
  </w:style>
  <w:style w:type="character" w:customStyle="1" w:styleId="cohl">
    <w:name w:val="co_hl"/>
    <w:basedOn w:val="DefaultParagraphFont"/>
    <w:rsid w:val="00E8456A"/>
  </w:style>
  <w:style w:type="table" w:styleId="TableGrid">
    <w:name w:val="Table Grid"/>
    <w:basedOn w:val="TableNormal"/>
    <w:rsid w:val="00E8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1">
    <w:name w:val="ParaNum Char1"/>
    <w:rsid w:val="003A6F35"/>
    <w:rPr>
      <w:snapToGrid w:val="0"/>
      <w:kern w:val="28"/>
      <w:sz w:val="22"/>
    </w:rPr>
  </w:style>
  <w:style w:type="character" w:customStyle="1" w:styleId="apple-converted-space">
    <w:name w:val="apple-converted-space"/>
    <w:rsid w:val="003A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filing.fcc.gov/dataentry/login.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