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776F9" w:rsidP="00F776F9" w14:paraId="777E4A90" w14:textId="77777777">
      <w:pPr>
        <w:jc w:val="center"/>
        <w:rPr>
          <w:b/>
        </w:rPr>
      </w:pPr>
      <w:r w:rsidRPr="0070224F">
        <w:rPr>
          <w:rFonts w:ascii="Times New Roman Bold" w:hAnsi="Times New Roman Bold"/>
          <w:b/>
          <w:kern w:val="0"/>
          <w:szCs w:val="22"/>
        </w:rPr>
        <w:t>Before</w:t>
      </w:r>
      <w:r>
        <w:rPr>
          <w:b/>
        </w:rPr>
        <w:t xml:space="preserve"> the</w:t>
      </w:r>
      <w:bookmarkStart w:id="0" w:name="_GoBack"/>
      <w:bookmarkEnd w:id="0"/>
    </w:p>
    <w:p w:rsidR="00F776F9" w:rsidP="00F776F9" w14:paraId="42FF77F0" w14:textId="77777777">
      <w:pPr>
        <w:pStyle w:val="StyleBoldCentered"/>
      </w:pPr>
      <w:r>
        <w:t>F</w:t>
      </w:r>
      <w:r>
        <w:rPr>
          <w:caps w:val="0"/>
        </w:rPr>
        <w:t>ederal Communications Commission</w:t>
      </w:r>
    </w:p>
    <w:p w:rsidR="00F776F9" w:rsidP="00F776F9" w14:paraId="5DA91551" w14:textId="77777777">
      <w:pPr>
        <w:pStyle w:val="StyleBoldCentered"/>
      </w:pPr>
      <w:r>
        <w:rPr>
          <w:caps w:val="0"/>
        </w:rPr>
        <w:t>Washington, D.C. 20554</w:t>
      </w:r>
    </w:p>
    <w:p w:rsidR="00F776F9" w:rsidRPr="007578B6" w:rsidP="00F776F9" w14:paraId="3AA3AA2E" w14:textId="77777777"/>
    <w:p w:rsidR="00F776F9" w:rsidRPr="007578B6" w:rsidP="00F776F9" w14:paraId="33C473D0" w14:textId="77777777">
      <w:pPr>
        <w:tabs>
          <w:tab w:val="left" w:pos="6060"/>
        </w:tabs>
      </w:pPr>
      <w:r w:rsidRPr="007578B6">
        <w:tab/>
      </w:r>
    </w:p>
    <w:tbl>
      <w:tblPr>
        <w:tblW w:w="0" w:type="auto"/>
        <w:tblLayout w:type="fixed"/>
        <w:tblLook w:val="0000"/>
      </w:tblPr>
      <w:tblGrid>
        <w:gridCol w:w="4068"/>
        <w:gridCol w:w="630"/>
        <w:gridCol w:w="630"/>
        <w:gridCol w:w="4248"/>
      </w:tblGrid>
      <w:tr w14:paraId="42AA45CE" w14:textId="77777777" w:rsidTr="00DF7CA7">
        <w:tblPrEx>
          <w:tblW w:w="0" w:type="auto"/>
          <w:tblLayout w:type="fixed"/>
          <w:tblLook w:val="0000"/>
        </w:tblPrEx>
        <w:tc>
          <w:tcPr>
            <w:tcW w:w="4068" w:type="dxa"/>
            <w:shd w:val="clear" w:color="auto" w:fill="auto"/>
          </w:tcPr>
          <w:p w:rsidR="00F776F9" w:rsidRPr="007578B6" w:rsidP="009F6DC7" w14:paraId="129BC8E2" w14:textId="77777777">
            <w:pPr>
              <w:tabs>
                <w:tab w:val="center" w:pos="4680"/>
              </w:tabs>
              <w:suppressAutoHyphens/>
              <w:rPr>
                <w:spacing w:val="-2"/>
              </w:rPr>
            </w:pPr>
            <w:r w:rsidRPr="007578B6">
              <w:rPr>
                <w:spacing w:val="-2"/>
              </w:rPr>
              <w:t>In the Matter of</w:t>
            </w:r>
          </w:p>
          <w:p w:rsidR="00F776F9" w:rsidRPr="007578B6" w:rsidP="009F6DC7" w14:paraId="7D76432A" w14:textId="77777777">
            <w:pPr>
              <w:tabs>
                <w:tab w:val="center" w:pos="4680"/>
              </w:tabs>
              <w:suppressAutoHyphens/>
              <w:rPr>
                <w:spacing w:val="-2"/>
              </w:rPr>
            </w:pPr>
          </w:p>
          <w:p w:rsidR="00F776F9" w:rsidRPr="007578B6" w:rsidP="009F6DC7" w14:paraId="3CFBA3E2" w14:textId="77777777">
            <w:pPr>
              <w:tabs>
                <w:tab w:val="center" w:pos="4680"/>
              </w:tabs>
              <w:suppressAutoHyphens/>
              <w:rPr>
                <w:spacing w:val="-2"/>
              </w:rPr>
            </w:pPr>
            <w:r w:rsidRPr="007578B6">
              <w:rPr>
                <w:spacing w:val="-2"/>
              </w:rPr>
              <w:t>Advanced Methods to Target and Eliminate</w:t>
            </w:r>
          </w:p>
          <w:p w:rsidR="00F776F9" w:rsidRPr="007578B6" w:rsidP="009F6DC7" w14:paraId="1CCAF83C" w14:textId="77777777">
            <w:pPr>
              <w:tabs>
                <w:tab w:val="center" w:pos="4680"/>
              </w:tabs>
              <w:suppressAutoHyphens/>
              <w:rPr>
                <w:spacing w:val="-2"/>
                <w:highlight w:val="yellow"/>
              </w:rPr>
            </w:pPr>
            <w:r w:rsidRPr="007578B6">
              <w:rPr>
                <w:spacing w:val="-2"/>
              </w:rPr>
              <w:t>Unlawful Robocalls</w:t>
            </w:r>
          </w:p>
          <w:p w:rsidR="00F776F9" w:rsidRPr="007578B6" w:rsidP="009F6DC7" w14:paraId="31A1D530" w14:textId="77777777">
            <w:pPr>
              <w:tabs>
                <w:tab w:val="center" w:pos="4680"/>
              </w:tabs>
              <w:suppressAutoHyphens/>
              <w:rPr>
                <w:spacing w:val="-2"/>
              </w:rPr>
            </w:pPr>
          </w:p>
        </w:tc>
        <w:tc>
          <w:tcPr>
            <w:tcW w:w="630" w:type="dxa"/>
          </w:tcPr>
          <w:p w:rsidR="00F776F9" w:rsidRPr="007578B6" w:rsidP="009F6DC7" w14:paraId="287C5F8A" w14:textId="77777777">
            <w:pPr>
              <w:tabs>
                <w:tab w:val="center" w:pos="4680"/>
              </w:tabs>
              <w:suppressAutoHyphens/>
              <w:rPr>
                <w:b/>
                <w:spacing w:val="-2"/>
              </w:rPr>
            </w:pPr>
          </w:p>
        </w:tc>
        <w:tc>
          <w:tcPr>
            <w:tcW w:w="630" w:type="dxa"/>
            <w:shd w:val="clear" w:color="auto" w:fill="auto"/>
          </w:tcPr>
          <w:p w:rsidR="00F776F9" w:rsidRPr="007578B6" w:rsidP="009F6DC7" w14:paraId="466A0773" w14:textId="77777777">
            <w:pPr>
              <w:tabs>
                <w:tab w:val="center" w:pos="4680"/>
              </w:tabs>
              <w:suppressAutoHyphens/>
              <w:rPr>
                <w:b/>
                <w:spacing w:val="-2"/>
              </w:rPr>
            </w:pPr>
            <w:r w:rsidRPr="007578B6">
              <w:rPr>
                <w:b/>
                <w:spacing w:val="-2"/>
              </w:rPr>
              <w:t>)</w:t>
            </w:r>
          </w:p>
          <w:p w:rsidR="00F776F9" w:rsidRPr="007578B6" w:rsidP="009F6DC7" w14:paraId="6CACAA34" w14:textId="77777777">
            <w:pPr>
              <w:tabs>
                <w:tab w:val="center" w:pos="4680"/>
              </w:tabs>
              <w:suppressAutoHyphens/>
              <w:rPr>
                <w:b/>
                <w:spacing w:val="-2"/>
              </w:rPr>
            </w:pPr>
            <w:r w:rsidRPr="007578B6">
              <w:rPr>
                <w:b/>
                <w:spacing w:val="-2"/>
              </w:rPr>
              <w:t>)</w:t>
            </w:r>
          </w:p>
          <w:p w:rsidR="00F776F9" w:rsidRPr="007578B6" w:rsidP="009F6DC7" w14:paraId="370A8E84" w14:textId="77777777">
            <w:pPr>
              <w:tabs>
                <w:tab w:val="center" w:pos="4680"/>
              </w:tabs>
              <w:suppressAutoHyphens/>
              <w:rPr>
                <w:b/>
                <w:spacing w:val="-2"/>
              </w:rPr>
            </w:pPr>
            <w:r w:rsidRPr="007578B6">
              <w:rPr>
                <w:b/>
                <w:spacing w:val="-2"/>
              </w:rPr>
              <w:t>)</w:t>
            </w:r>
          </w:p>
          <w:p w:rsidR="00F776F9" w:rsidRPr="007578B6" w:rsidP="009F6DC7" w14:paraId="2B0A4116" w14:textId="77777777">
            <w:pPr>
              <w:tabs>
                <w:tab w:val="center" w:pos="4680"/>
              </w:tabs>
              <w:suppressAutoHyphens/>
              <w:rPr>
                <w:b/>
                <w:spacing w:val="-2"/>
              </w:rPr>
            </w:pPr>
            <w:r w:rsidRPr="007578B6">
              <w:rPr>
                <w:b/>
                <w:spacing w:val="-2"/>
              </w:rPr>
              <w:t>)</w:t>
            </w:r>
          </w:p>
          <w:p w:rsidR="00F776F9" w:rsidRPr="007578B6" w:rsidP="009F6DC7" w14:paraId="436FA862" w14:textId="77777777">
            <w:pPr>
              <w:tabs>
                <w:tab w:val="center" w:pos="4680"/>
              </w:tabs>
              <w:suppressAutoHyphens/>
              <w:rPr>
                <w:b/>
                <w:spacing w:val="-2"/>
              </w:rPr>
            </w:pPr>
          </w:p>
        </w:tc>
        <w:tc>
          <w:tcPr>
            <w:tcW w:w="4248" w:type="dxa"/>
            <w:shd w:val="clear" w:color="auto" w:fill="auto"/>
          </w:tcPr>
          <w:p w:rsidR="00F776F9" w:rsidRPr="007578B6" w:rsidP="009F6DC7" w14:paraId="2D9B84B4" w14:textId="77777777">
            <w:pPr>
              <w:tabs>
                <w:tab w:val="center" w:pos="4680"/>
              </w:tabs>
              <w:suppressAutoHyphens/>
              <w:rPr>
                <w:spacing w:val="-2"/>
              </w:rPr>
            </w:pPr>
          </w:p>
          <w:p w:rsidR="00F776F9" w:rsidRPr="007578B6" w:rsidP="009F6DC7" w14:paraId="423EC3B5" w14:textId="77777777">
            <w:pPr>
              <w:tabs>
                <w:tab w:val="center" w:pos="4680"/>
              </w:tabs>
              <w:suppressAutoHyphens/>
              <w:rPr>
                <w:spacing w:val="-2"/>
              </w:rPr>
            </w:pPr>
          </w:p>
          <w:p w:rsidR="00F776F9" w:rsidRPr="007578B6" w:rsidP="009F6DC7" w14:paraId="7CE6DA2E" w14:textId="77777777">
            <w:pPr>
              <w:tabs>
                <w:tab w:val="center" w:pos="4680"/>
              </w:tabs>
              <w:suppressAutoHyphens/>
              <w:rPr>
                <w:spacing w:val="-2"/>
              </w:rPr>
            </w:pPr>
            <w:r w:rsidRPr="007578B6">
              <w:rPr>
                <w:spacing w:val="-2"/>
              </w:rPr>
              <w:t>CG Docket No. 17-59</w:t>
            </w:r>
          </w:p>
          <w:p w:rsidR="00F776F9" w:rsidRPr="007578B6" w:rsidP="009F6DC7" w14:paraId="3F4D1856" w14:textId="77777777">
            <w:pPr>
              <w:tabs>
                <w:tab w:val="center" w:pos="4680"/>
              </w:tabs>
              <w:suppressAutoHyphens/>
              <w:rPr>
                <w:spacing w:val="-2"/>
                <w:highlight w:val="yellow"/>
              </w:rPr>
            </w:pPr>
          </w:p>
          <w:p w:rsidR="00F776F9" w:rsidRPr="007578B6" w:rsidP="009F6DC7" w14:paraId="0BAB7E60" w14:textId="77777777">
            <w:pPr>
              <w:tabs>
                <w:tab w:val="center" w:pos="4680"/>
              </w:tabs>
              <w:suppressAutoHyphens/>
              <w:rPr>
                <w:spacing w:val="-2"/>
                <w:highlight w:val="yellow"/>
              </w:rPr>
            </w:pPr>
          </w:p>
          <w:p w:rsidR="00F776F9" w:rsidRPr="007578B6" w:rsidP="009F6DC7" w14:paraId="4D1BE844" w14:textId="77777777">
            <w:pPr>
              <w:tabs>
                <w:tab w:val="center" w:pos="4680"/>
              </w:tabs>
              <w:suppressAutoHyphens/>
              <w:rPr>
                <w:spacing w:val="-2"/>
              </w:rPr>
            </w:pPr>
          </w:p>
        </w:tc>
      </w:tr>
    </w:tbl>
    <w:p w:rsidR="00F776F9" w:rsidRPr="007578B6" w:rsidP="00F776F9" w14:paraId="1944C628" w14:textId="77777777"/>
    <w:p w:rsidR="00F776F9" w:rsidRPr="007578B6" w:rsidP="00F776F9" w14:paraId="7E72A998" w14:textId="77777777">
      <w:pPr>
        <w:pStyle w:val="StyleBoldCentered"/>
        <w:rPr>
          <w:rFonts w:ascii="Times New Roman" w:hAnsi="Times New Roman"/>
        </w:rPr>
      </w:pPr>
      <w:r w:rsidRPr="007578B6">
        <w:rPr>
          <w:rFonts w:ascii="Times New Roman" w:hAnsi="Times New Roman"/>
        </w:rPr>
        <w:t>ORDER</w:t>
      </w:r>
    </w:p>
    <w:p w:rsidR="00F776F9" w:rsidP="00F776F9" w14:paraId="0FE12DD9" w14:textId="77777777">
      <w:pPr>
        <w:tabs>
          <w:tab w:val="left" w:pos="-720"/>
        </w:tabs>
        <w:suppressAutoHyphens/>
        <w:spacing w:line="227" w:lineRule="auto"/>
        <w:rPr>
          <w:spacing w:val="-2"/>
        </w:rPr>
      </w:pPr>
    </w:p>
    <w:p w:rsidR="00F776F9" w:rsidP="00F776F9" w14:paraId="4CA89A99" w14:textId="38395459">
      <w:pPr>
        <w:tabs>
          <w:tab w:val="left" w:pos="720"/>
          <w:tab w:val="right" w:pos="9360"/>
        </w:tabs>
        <w:suppressAutoHyphens/>
        <w:spacing w:line="227" w:lineRule="auto"/>
        <w:rPr>
          <w:b/>
          <w:spacing w:val="-2"/>
        </w:rPr>
      </w:pPr>
      <w:r>
        <w:rPr>
          <w:b/>
          <w:spacing w:val="-2"/>
        </w:rPr>
        <w:t xml:space="preserve">Adopted:  </w:t>
      </w:r>
      <w:r w:rsidRPr="00AF50EE" w:rsidR="002727B1">
        <w:rPr>
          <w:b/>
          <w:spacing w:val="-2"/>
        </w:rPr>
        <w:t>June 12</w:t>
      </w:r>
      <w:r w:rsidRPr="00AF50EE">
        <w:rPr>
          <w:b/>
          <w:spacing w:val="-2"/>
        </w:rPr>
        <w:t>, 2019</w:t>
      </w:r>
      <w:r>
        <w:rPr>
          <w:b/>
          <w:spacing w:val="-2"/>
        </w:rPr>
        <w:tab/>
        <w:t xml:space="preserve">Released:  </w:t>
      </w:r>
      <w:r w:rsidRPr="00AF50EE" w:rsidR="002727B1">
        <w:rPr>
          <w:b/>
          <w:spacing w:val="-2"/>
        </w:rPr>
        <w:t>June 12</w:t>
      </w:r>
      <w:r w:rsidRPr="00AF50EE">
        <w:rPr>
          <w:b/>
          <w:spacing w:val="-2"/>
        </w:rPr>
        <w:t>, 2019</w:t>
      </w:r>
    </w:p>
    <w:p w:rsidR="00F776F9" w:rsidP="00F776F9" w14:paraId="7B3FC555" w14:textId="77777777">
      <w:pPr>
        <w:tabs>
          <w:tab w:val="left" w:pos="720"/>
          <w:tab w:val="right" w:pos="9360"/>
        </w:tabs>
        <w:suppressAutoHyphens/>
        <w:spacing w:line="227" w:lineRule="auto"/>
        <w:rPr>
          <w:spacing w:val="-2"/>
        </w:rPr>
      </w:pPr>
    </w:p>
    <w:p w:rsidR="00F776F9" w:rsidP="00F776F9" w14:paraId="58824158" w14:textId="77777777">
      <w:r>
        <w:t xml:space="preserve">By the </w:t>
      </w:r>
      <w:bookmarkStart w:id="1" w:name="_Hlk7602700"/>
      <w:r>
        <w:rPr>
          <w:spacing w:val="-2"/>
        </w:rPr>
        <w:t>Chiefs, Consumer and Governmental Affairs Bureau and Wireline Competition Bureau:</w:t>
      </w:r>
      <w:r w:rsidRPr="007A0314">
        <w:t xml:space="preserve"> </w:t>
      </w:r>
      <w:bookmarkStart w:id="2" w:name="_Hlk7602728"/>
      <w:bookmarkEnd w:id="1"/>
    </w:p>
    <w:p w:rsidR="00F776F9" w:rsidP="00F776F9" w14:paraId="1811A35D" w14:textId="77777777"/>
    <w:p w:rsidR="00BD30EE" w:rsidP="00BD30EE" w14:paraId="77B4EAD1" w14:textId="62A7BEEC">
      <w:pPr>
        <w:pStyle w:val="ParaNum"/>
        <w:numPr>
          <w:ilvl w:val="0"/>
          <w:numId w:val="7"/>
        </w:numPr>
        <w:tabs>
          <w:tab w:val="clear" w:pos="1080"/>
        </w:tabs>
      </w:pPr>
      <w:r w:rsidRPr="007A0314">
        <w:t xml:space="preserve">In this Order, the Consumer and Governmental Affairs Bureau (CGB) and the Wireline Competition Bureau (WCB) (collectively, the Bureaus) of the Federal Communications Commission (FCC or Commission) grant </w:t>
      </w:r>
      <w:r w:rsidR="00834A71">
        <w:t xml:space="preserve">a </w:t>
      </w:r>
      <w:r>
        <w:t>request for an extension of time</w:t>
      </w:r>
      <w:r w:rsidRPr="007A0314">
        <w:t xml:space="preserve"> filed by the North American Numbering Council (NANC).</w:t>
      </w:r>
      <w:r>
        <w:rPr>
          <w:rStyle w:val="FootnoteReference"/>
        </w:rPr>
        <w:footnoteReference w:id="3"/>
      </w:r>
    </w:p>
    <w:p w:rsidR="00BD30EE" w:rsidP="00BD30EE" w14:paraId="72A1516E" w14:textId="1B7695B2">
      <w:pPr>
        <w:pStyle w:val="ParaNum"/>
        <w:numPr>
          <w:ilvl w:val="0"/>
          <w:numId w:val="7"/>
        </w:numPr>
        <w:tabs>
          <w:tab w:val="clear" w:pos="1080"/>
        </w:tabs>
      </w:pPr>
      <w:r w:rsidRPr="007A0314">
        <w:t>In December 201</w:t>
      </w:r>
      <w:r w:rsidR="00673C70">
        <w:t>8</w:t>
      </w:r>
      <w:r w:rsidRPr="007A0314">
        <w:t xml:space="preserve">, the Commission </w:t>
      </w:r>
      <w:r w:rsidR="00DA2AF4">
        <w:t xml:space="preserve">adopted rules that </w:t>
      </w:r>
      <w:r w:rsidRPr="007A0314">
        <w:t>established a single, comprehensive database containing reassigned number information</w:t>
      </w:r>
      <w:r w:rsidR="00DA2AF4">
        <w:t>.</w:t>
      </w:r>
      <w:r>
        <w:rPr>
          <w:rStyle w:val="FootnoteReference"/>
        </w:rPr>
        <w:footnoteReference w:id="4"/>
      </w:r>
      <w:r w:rsidRPr="007A0314" w:rsidR="00DA2AF4">
        <w:t xml:space="preserve"> </w:t>
      </w:r>
      <w:r w:rsidR="00DA2AF4">
        <w:t xml:space="preserve"> The database</w:t>
      </w:r>
      <w:r w:rsidRPr="007A0314">
        <w:t xml:space="preserve"> will enable any caller to verify whether a number has been </w:t>
      </w:r>
      <w:r w:rsidR="003D45E1">
        <w:t>permanently disconnected</w:t>
      </w:r>
      <w:r w:rsidRPr="007A0314" w:rsidR="003D45E1">
        <w:t xml:space="preserve"> </w:t>
      </w:r>
      <w:r w:rsidRPr="007A0314">
        <w:t xml:space="preserve">before calling that number, and </w:t>
      </w:r>
      <w:r w:rsidR="00A57E32">
        <w:t xml:space="preserve">it </w:t>
      </w:r>
      <w:r w:rsidRPr="007A0314">
        <w:t xml:space="preserve">will help consumers avoid unwanted calls intended for others.  </w:t>
      </w:r>
      <w:r w:rsidR="00863132">
        <w:t>T</w:t>
      </w:r>
      <w:r w:rsidRPr="007A0314">
        <w:t xml:space="preserve">he Commission directed the </w:t>
      </w:r>
      <w:r>
        <w:t>NANC</w:t>
      </w:r>
      <w:r w:rsidRPr="007A0314">
        <w:t xml:space="preserve"> to present to the Commission, no later than June 13, 2019, </w:t>
      </w:r>
      <w:r w:rsidR="001E13CE">
        <w:t xml:space="preserve">a Technical Requirements Document containing </w:t>
      </w:r>
      <w:r w:rsidRPr="007A0314">
        <w:t>the NANC’s recommendations on certain technical aspects of database establishment, operation, and funding.</w:t>
      </w:r>
      <w:r>
        <w:rPr>
          <w:rStyle w:val="FootnoteReference"/>
        </w:rPr>
        <w:footnoteReference w:id="5"/>
      </w:r>
      <w:r w:rsidR="00DA2AF4">
        <w:t xml:space="preserve"> </w:t>
      </w:r>
      <w:r w:rsidRPr="007A0314">
        <w:t xml:space="preserve"> Specifically, </w:t>
      </w:r>
      <w:r w:rsidR="00863132">
        <w:t xml:space="preserve">the Commission directed </w:t>
      </w:r>
      <w:r w:rsidRPr="007A0314">
        <w:t xml:space="preserve">the </w:t>
      </w:r>
      <w:r>
        <w:t>NANC</w:t>
      </w:r>
      <w:r w:rsidR="00863132">
        <w:t xml:space="preserve"> and </w:t>
      </w:r>
      <w:r w:rsidRPr="001C3F8E">
        <w:t xml:space="preserve">its </w:t>
      </w:r>
      <w:r w:rsidR="002D15CB">
        <w:t>Numbering Administration Oversight Working Group (</w:t>
      </w:r>
      <w:r>
        <w:t>NAOWG</w:t>
      </w:r>
      <w:r w:rsidR="002D15CB">
        <w:t>)</w:t>
      </w:r>
      <w:r w:rsidRPr="001C3F8E">
        <w:t xml:space="preserve"> to consider technical issues surrounding how the </w:t>
      </w:r>
      <w:r>
        <w:t>database administrator</w:t>
      </w:r>
      <w:r w:rsidRPr="001C3F8E">
        <w:t xml:space="preserve"> can collect fees from callers that use the database.</w:t>
      </w:r>
    </w:p>
    <w:p w:rsidR="00BD30EE" w:rsidP="00BD30EE" w14:paraId="31BDCC64" w14:textId="20C8B4C5">
      <w:pPr>
        <w:pStyle w:val="ParaNum"/>
        <w:numPr>
          <w:ilvl w:val="0"/>
          <w:numId w:val="7"/>
        </w:numPr>
        <w:tabs>
          <w:tab w:val="clear" w:pos="1080"/>
        </w:tabs>
      </w:pPr>
      <w:r w:rsidRPr="008F3531">
        <w:t xml:space="preserve">In a letter dated </w:t>
      </w:r>
      <w:r>
        <w:t>April 30</w:t>
      </w:r>
      <w:r w:rsidRPr="008F3531">
        <w:t xml:space="preserve">, </w:t>
      </w:r>
      <w:r>
        <w:t>2019</w:t>
      </w:r>
      <w:r w:rsidRPr="008F3531">
        <w:t xml:space="preserve">, the </w:t>
      </w:r>
      <w:r>
        <w:t xml:space="preserve">NANC </w:t>
      </w:r>
      <w:r w:rsidRPr="008F3531">
        <w:t xml:space="preserve">requested </w:t>
      </w:r>
      <w:r>
        <w:t xml:space="preserve">an </w:t>
      </w:r>
      <w:r w:rsidRPr="008F3531">
        <w:t>extension of the deadline.</w:t>
      </w:r>
      <w:r>
        <w:rPr>
          <w:rStyle w:val="FootnoteReference"/>
        </w:rPr>
        <w:footnoteReference w:id="6"/>
      </w:r>
      <w:r>
        <w:t xml:space="preserve">  The </w:t>
      </w:r>
      <w:r w:rsidRPr="008F3531">
        <w:t>NANC ask</w:t>
      </w:r>
      <w:r>
        <w:t xml:space="preserve">s </w:t>
      </w:r>
      <w:r w:rsidRPr="008F3531">
        <w:t xml:space="preserve">that the deadline by which it must present </w:t>
      </w:r>
      <w:r w:rsidR="00D3537D">
        <w:t xml:space="preserve">the required </w:t>
      </w:r>
      <w:r w:rsidRPr="008F3531">
        <w:t>recommendations to the Commission</w:t>
      </w:r>
      <w:r w:rsidR="00D3537D">
        <w:t xml:space="preserve"> </w:t>
      </w:r>
      <w:r w:rsidRPr="008F3531">
        <w:t xml:space="preserve">be extended from </w:t>
      </w:r>
      <w:r>
        <w:t>June 13</w:t>
      </w:r>
      <w:r w:rsidRPr="008F3531">
        <w:t xml:space="preserve">, </w:t>
      </w:r>
      <w:r>
        <w:t>2019</w:t>
      </w:r>
      <w:r w:rsidRPr="008F3531">
        <w:t xml:space="preserve"> to </w:t>
      </w:r>
      <w:r w:rsidRPr="00AB6B21" w:rsidR="00AB6B21">
        <w:t>April</w:t>
      </w:r>
      <w:r w:rsidRPr="00AB6B21">
        <w:t xml:space="preserve"> 13, 20</w:t>
      </w:r>
      <w:r w:rsidRPr="00AB6B21" w:rsidR="00AB6B21">
        <w:t>20.</w:t>
      </w:r>
      <w:r>
        <w:rPr>
          <w:rStyle w:val="FootnoteReference"/>
        </w:rPr>
        <w:footnoteReference w:id="7"/>
      </w:r>
    </w:p>
    <w:p w:rsidR="00BD30EE" w:rsidP="00BD30EE" w14:paraId="5956F3AA" w14:textId="4CC60B59">
      <w:pPr>
        <w:pStyle w:val="ParaNum"/>
        <w:numPr>
          <w:ilvl w:val="0"/>
          <w:numId w:val="7"/>
        </w:numPr>
        <w:tabs>
          <w:tab w:val="clear" w:pos="1080"/>
        </w:tabs>
      </w:pPr>
      <w:r>
        <w:t>The NANC states that a review of the work has made clear that additional time is necessary because of the complexity of the FCC’s referral, the delay caused by the month-long government shutdown, and difficulties that it has had in acquiring similar technical requirements associated with other databases.</w:t>
      </w:r>
      <w:r>
        <w:rPr>
          <w:rStyle w:val="FootnoteReference"/>
        </w:rPr>
        <w:footnoteReference w:id="8"/>
      </w:r>
      <w:r>
        <w:t xml:space="preserve">  In addition, the NANC explains that working group members are </w:t>
      </w:r>
      <w:r>
        <w:t>concurrently engaged on other Commission referrals.</w:t>
      </w:r>
      <w:r>
        <w:rPr>
          <w:rStyle w:val="FootnoteReference"/>
        </w:rPr>
        <w:footnoteReference w:id="9"/>
      </w:r>
      <w:r>
        <w:t xml:space="preserve">  In support of its request, the NANC argues that it has been diligently engaged in meeting the Commission’s deadline, conferencing for</w:t>
      </w:r>
      <w:r w:rsidR="00DB5D39">
        <w:t xml:space="preserve"> approximately four</w:t>
      </w:r>
      <w:r>
        <w:t xml:space="preserve"> hours each week and spending a significant amount of </w:t>
      </w:r>
      <w:r w:rsidR="00DB5D39">
        <w:t xml:space="preserve">additional </w:t>
      </w:r>
      <w:r>
        <w:t>time preparing and developing contributions outside of the group meetings</w:t>
      </w:r>
      <w:r w:rsidR="00B8218D">
        <w:t>.</w:t>
      </w:r>
      <w:r>
        <w:rPr>
          <w:rStyle w:val="FootnoteReference"/>
        </w:rPr>
        <w:footnoteReference w:id="10"/>
      </w:r>
    </w:p>
    <w:p w:rsidR="00204A59" w:rsidRPr="003B5D84" w:rsidP="00BD30EE" w14:paraId="4FAA3789" w14:textId="5B2DF060">
      <w:pPr>
        <w:pStyle w:val="ParaNum"/>
        <w:numPr>
          <w:ilvl w:val="0"/>
          <w:numId w:val="7"/>
        </w:numPr>
        <w:tabs>
          <w:tab w:val="clear" w:pos="1080"/>
        </w:tabs>
      </w:pPr>
      <w:r w:rsidRPr="00327911">
        <w:t>Section 1.46 of the Commission’s rules provides that “[</w:t>
      </w:r>
      <w:r w:rsidRPr="00327911">
        <w:t>i</w:t>
      </w:r>
      <w:r w:rsidRPr="00327911">
        <w:t>]t is the policy of the</w:t>
      </w:r>
      <w:r>
        <w:t xml:space="preserve"> </w:t>
      </w:r>
      <w:r w:rsidRPr="00327911">
        <w:t>Commission that extensions of time are not routinely granted.”</w:t>
      </w:r>
      <w:r>
        <w:rPr>
          <w:rStyle w:val="FootnoteReference"/>
        </w:rPr>
        <w:footnoteReference w:id="11"/>
      </w:r>
      <w:r w:rsidRPr="00327911">
        <w:t xml:space="preserve"> </w:t>
      </w:r>
      <w:r>
        <w:t xml:space="preserve"> In this instance, however,</w:t>
      </w:r>
      <w:r w:rsidR="00F6671E">
        <w:t xml:space="preserve"> it is important that the Commission receive a set of technical recommendations that is as complete as possible in order to establish an operational database.</w:t>
      </w:r>
      <w:r>
        <w:t xml:space="preserve"> </w:t>
      </w:r>
      <w:r w:rsidR="00C65180">
        <w:t xml:space="preserve"> At the same time, it is important that </w:t>
      </w:r>
      <w:r w:rsidR="00C65180">
        <w:rPr>
          <w:szCs w:val="22"/>
        </w:rPr>
        <w:t>the Reassigned Numbers Database be launched as quickly as possible for the reasons set forth in the December 2018 Order.</w:t>
      </w:r>
      <w:r>
        <w:rPr>
          <w:rStyle w:val="FootnoteReference"/>
          <w:szCs w:val="22"/>
        </w:rPr>
        <w:footnoteReference w:id="12"/>
      </w:r>
      <w:r w:rsidR="00C65180">
        <w:rPr>
          <w:szCs w:val="22"/>
        </w:rPr>
        <w:t xml:space="preserve">  </w:t>
      </w:r>
    </w:p>
    <w:p w:rsidR="00BD30EE" w:rsidP="00BD30EE" w14:paraId="77CEAAB4" w14:textId="234E119C">
      <w:pPr>
        <w:pStyle w:val="ParaNum"/>
        <w:numPr>
          <w:ilvl w:val="0"/>
          <w:numId w:val="7"/>
        </w:numPr>
        <w:tabs>
          <w:tab w:val="clear" w:pos="1080"/>
        </w:tabs>
      </w:pPr>
      <w:r>
        <w:rPr>
          <w:szCs w:val="22"/>
        </w:rPr>
        <w:t>Balancing these goals, we</w:t>
      </w:r>
      <w:r w:rsidRPr="00327911" w:rsidR="00F776F9">
        <w:t xml:space="preserve"> </w:t>
      </w:r>
      <w:r w:rsidR="003B5D84">
        <w:t>grant the NANC an additional three months</w:t>
      </w:r>
      <w:r w:rsidRPr="00AB6B21" w:rsidR="00F776F9">
        <w:t xml:space="preserve">, until </w:t>
      </w:r>
      <w:r w:rsidR="00204A59">
        <w:t xml:space="preserve">September </w:t>
      </w:r>
      <w:r w:rsidRPr="00AB6B21" w:rsidR="00AB6B21">
        <w:t>13</w:t>
      </w:r>
      <w:r w:rsidRPr="00AB6B21" w:rsidR="00F776F9">
        <w:t>, 20</w:t>
      </w:r>
      <w:r w:rsidRPr="00AB6B21" w:rsidR="00AB6B21">
        <w:t>19</w:t>
      </w:r>
      <w:r w:rsidR="00F776F9">
        <w:t>,</w:t>
      </w:r>
      <w:r w:rsidRPr="00327911" w:rsidR="00F776F9">
        <w:t xml:space="preserve"> </w:t>
      </w:r>
      <w:r w:rsidRPr="00736466" w:rsidR="00F776F9">
        <w:t xml:space="preserve">to gather the information required for </w:t>
      </w:r>
      <w:r w:rsidR="004B1EE6">
        <w:t>its</w:t>
      </w:r>
      <w:r w:rsidRPr="00736466" w:rsidR="00F776F9">
        <w:t xml:space="preserve"> </w:t>
      </w:r>
      <w:r w:rsidR="00F776F9">
        <w:t xml:space="preserve">reassigned numbers database </w:t>
      </w:r>
      <w:r w:rsidRPr="00736466" w:rsidR="00F776F9">
        <w:t>re</w:t>
      </w:r>
      <w:r w:rsidR="004B1EE6">
        <w:t>commendations.</w:t>
      </w:r>
      <w:r w:rsidR="00240653">
        <w:t xml:space="preserve">  </w:t>
      </w:r>
      <w:r w:rsidR="00204A59">
        <w:t xml:space="preserve">We also require that the NANC present to the Bureaus by July 12, 2019 a report detailing its progress as of that date so that the Commission can evaluate its progress toward the deadline.  </w:t>
      </w:r>
      <w:r w:rsidRPr="00537D78" w:rsidR="00537D78">
        <w:t xml:space="preserve">The additional time will ensure the development and consideration of a complete record to address the complex technical aspects of the database’s establishment, operation, and funding.  The additional time is also necessary for NANC’s development of fully informed recommendations and thus serves the public interest.  </w:t>
      </w:r>
    </w:p>
    <w:p w:rsidR="00F776F9" w:rsidP="00BD30EE" w14:paraId="4E77B573" w14:textId="0506589B">
      <w:pPr>
        <w:pStyle w:val="ParaNum"/>
        <w:numPr>
          <w:ilvl w:val="0"/>
          <w:numId w:val="7"/>
        </w:numPr>
        <w:tabs>
          <w:tab w:val="clear" w:pos="1080"/>
        </w:tabs>
      </w:pPr>
      <w:r w:rsidRPr="00327911">
        <w:t xml:space="preserve">Accordingly, IT IS ORDERED, pursuant to section 1.46 of the Commission’s rules, 47 CFR § 1.46, </w:t>
      </w:r>
      <w:r w:rsidR="00704991">
        <w:t>and the authority delegated by sections</w:t>
      </w:r>
      <w:r w:rsidR="00240653">
        <w:t xml:space="preserve"> </w:t>
      </w:r>
      <w:r w:rsidR="00535FFC">
        <w:t xml:space="preserve">0.91, </w:t>
      </w:r>
      <w:r w:rsidR="00240653">
        <w:t>0.141</w:t>
      </w:r>
      <w:r w:rsidR="00535FFC">
        <w:t xml:space="preserve">, 0.291, and </w:t>
      </w:r>
      <w:r w:rsidR="00240653">
        <w:t>0.361</w:t>
      </w:r>
      <w:r w:rsidR="00535FFC">
        <w:t xml:space="preserve"> of the Commission’s rules,</w:t>
      </w:r>
      <w:r w:rsidR="00704991">
        <w:t xml:space="preserve"> </w:t>
      </w:r>
      <w:r w:rsidRPr="00327911" w:rsidR="00704991">
        <w:t>47 CFR §§</w:t>
      </w:r>
      <w:r w:rsidR="00704991">
        <w:t xml:space="preserve"> </w:t>
      </w:r>
      <w:r w:rsidR="00240653">
        <w:t>0.</w:t>
      </w:r>
      <w:r w:rsidR="00535FFC">
        <w:t>91, 0.</w:t>
      </w:r>
      <w:r w:rsidR="00240653">
        <w:t>141,</w:t>
      </w:r>
      <w:r w:rsidR="00535FFC">
        <w:t xml:space="preserve"> 0.291,</w:t>
      </w:r>
      <w:r w:rsidR="00240653">
        <w:t xml:space="preserve"> 0.3</w:t>
      </w:r>
      <w:r w:rsidR="00535FFC">
        <w:t>61</w:t>
      </w:r>
      <w:r w:rsidR="00704991">
        <w:t>,</w:t>
      </w:r>
      <w:r w:rsidRPr="00327911" w:rsidR="00704991">
        <w:t xml:space="preserve"> </w:t>
      </w:r>
      <w:r w:rsidRPr="00327911">
        <w:t xml:space="preserve">that </w:t>
      </w:r>
      <w:r>
        <w:t>the NANC request for an extension of time,</w:t>
      </w:r>
      <w:r w:rsidRPr="00327911">
        <w:t xml:space="preserve"> filed on </w:t>
      </w:r>
      <w:r w:rsidRPr="00240653">
        <w:t>April 30, 2019,</w:t>
      </w:r>
      <w:r>
        <w:t xml:space="preserve"> </w:t>
      </w:r>
      <w:r w:rsidRPr="00327911">
        <w:t>IS GRANTED</w:t>
      </w:r>
      <w:r w:rsidR="00B80AC5">
        <w:t xml:space="preserve"> to the extent described herein</w:t>
      </w:r>
      <w:r w:rsidRPr="00327911">
        <w:t xml:space="preserve">, and the deadline for filing the </w:t>
      </w:r>
      <w:r>
        <w:t xml:space="preserve">required </w:t>
      </w:r>
      <w:r w:rsidR="00EB691C">
        <w:t>recommendations</w:t>
      </w:r>
      <w:r w:rsidR="00704991">
        <w:t xml:space="preserve"> with the Commission</w:t>
      </w:r>
      <w:r>
        <w:t xml:space="preserve"> </w:t>
      </w:r>
      <w:r w:rsidRPr="00327911">
        <w:t>is extended until</w:t>
      </w:r>
      <w:r>
        <w:t xml:space="preserve"> </w:t>
      </w:r>
      <w:r w:rsidR="00FA1268">
        <w:t>September</w:t>
      </w:r>
      <w:r w:rsidRPr="00AB6B21" w:rsidR="00FA1268">
        <w:t xml:space="preserve"> </w:t>
      </w:r>
      <w:r w:rsidRPr="00AB6B21" w:rsidR="00AB6B21">
        <w:t>13</w:t>
      </w:r>
      <w:r w:rsidRPr="00AB6B21">
        <w:t>, 20</w:t>
      </w:r>
      <w:r w:rsidRPr="00AB6B21" w:rsidR="00AB6B21">
        <w:t>19</w:t>
      </w:r>
      <w:r w:rsidRPr="00AB6B21">
        <w:t>.</w:t>
      </w:r>
    </w:p>
    <w:p w:rsidR="008A57AC" w:rsidP="00F776F9" w14:paraId="7F8C3F16" w14:textId="0ECE5959">
      <w:pPr>
        <w:pStyle w:val="ParaNum"/>
      </w:pPr>
      <w:r w:rsidRPr="00442F8D">
        <w:t xml:space="preserve">IT IS FURTHER ORDERED, </w:t>
      </w:r>
      <w:r>
        <w:t xml:space="preserve">that the NANC </w:t>
      </w:r>
      <w:r w:rsidR="005B3B98">
        <w:t xml:space="preserve">shall </w:t>
      </w:r>
      <w:r>
        <w:t xml:space="preserve">provide to the Commission a report </w:t>
      </w:r>
      <w:r w:rsidR="00204A59">
        <w:t>by July 12</w:t>
      </w:r>
      <w:r>
        <w:t xml:space="preserve">, 2019 detailing its progress </w:t>
      </w:r>
      <w:r w:rsidR="00204A59">
        <w:t xml:space="preserve">toward its recommendations </w:t>
      </w:r>
      <w:r>
        <w:t>as of that date.</w:t>
      </w:r>
    </w:p>
    <w:p w:rsidR="00F776F9" w:rsidP="008A57AC" w14:paraId="6178D292" w14:textId="200FAE1D">
      <w:pPr>
        <w:pStyle w:val="ParaNum"/>
      </w:pPr>
      <w:r w:rsidRPr="00442F8D">
        <w:t xml:space="preserve">IT IS FURTHER ORDERED, </w:t>
      </w:r>
      <w:r w:rsidRPr="00442F8D">
        <w:t>that this Order SHALL BE EFFECTIVE upon release.</w:t>
      </w:r>
    </w:p>
    <w:p w:rsidR="00F776F9" w:rsidRPr="00F166F0" w:rsidP="00F776F9" w14:paraId="7333040D" w14:textId="77777777">
      <w:pPr>
        <w:pStyle w:val="ParaNum"/>
      </w:pPr>
      <w:r w:rsidRPr="00F166F0">
        <w:t>To request materials in accessible formats for people with disabilities (Braille, large print,</w:t>
      </w:r>
      <w:r>
        <w:t xml:space="preserve"> </w:t>
      </w:r>
      <w:r w:rsidRPr="00F166F0">
        <w:t>electronic files, audio format), send an e-mail to fcc504@fcc.gov or call the Consumer and Governmental</w:t>
      </w:r>
      <w:r>
        <w:t xml:space="preserve"> </w:t>
      </w:r>
      <w:r w:rsidRPr="00F166F0">
        <w:t>Affairs Bureau at 202-418-0530 (voice), 202-418-0432 (TTY).</w:t>
      </w:r>
    </w:p>
    <w:p w:rsidR="00F776F9" w:rsidRPr="00F166F0" w:rsidP="00F776F9" w14:paraId="072F5ED6" w14:textId="77777777">
      <w:pPr>
        <w:pStyle w:val="ParaNum"/>
        <w:numPr>
          <w:ilvl w:val="0"/>
          <w:numId w:val="0"/>
        </w:numPr>
        <w:spacing w:after="0"/>
        <w:ind w:left="4680"/>
      </w:pPr>
      <w:r w:rsidRPr="00F166F0">
        <w:t>FEDERAL COMMUNICATIONS COMMISSION</w:t>
      </w:r>
    </w:p>
    <w:p w:rsidR="00F776F9" w:rsidP="00F776F9" w14:paraId="3F55F1D0" w14:textId="77777777">
      <w:pPr>
        <w:pStyle w:val="ParaNum"/>
        <w:numPr>
          <w:ilvl w:val="0"/>
          <w:numId w:val="0"/>
        </w:numPr>
        <w:spacing w:after="0"/>
        <w:ind w:left="4680"/>
      </w:pPr>
    </w:p>
    <w:p w:rsidR="00F776F9" w:rsidP="00F776F9" w14:paraId="7DEEFA38" w14:textId="77777777">
      <w:pPr>
        <w:pStyle w:val="ParaNum"/>
        <w:numPr>
          <w:ilvl w:val="0"/>
          <w:numId w:val="0"/>
        </w:numPr>
        <w:spacing w:after="0"/>
        <w:ind w:left="4680"/>
      </w:pPr>
    </w:p>
    <w:p w:rsidR="00F776F9" w:rsidRPr="00F166F0" w:rsidP="00F776F9" w14:paraId="54022589" w14:textId="77777777">
      <w:pPr>
        <w:pStyle w:val="ParaNum"/>
        <w:numPr>
          <w:ilvl w:val="0"/>
          <w:numId w:val="0"/>
        </w:numPr>
        <w:spacing w:after="0"/>
        <w:ind w:left="4680"/>
      </w:pPr>
      <w:r>
        <w:t xml:space="preserve">Patrick Webre, </w:t>
      </w:r>
      <w:r w:rsidRPr="00F166F0">
        <w:t>Chief</w:t>
      </w:r>
    </w:p>
    <w:p w:rsidR="00F776F9" w:rsidP="00F776F9" w14:paraId="7166E7E3" w14:textId="77777777">
      <w:pPr>
        <w:pStyle w:val="ParaNum"/>
        <w:numPr>
          <w:ilvl w:val="0"/>
          <w:numId w:val="0"/>
        </w:numPr>
        <w:spacing w:after="0"/>
        <w:ind w:left="4680"/>
      </w:pPr>
      <w:r w:rsidRPr="00F166F0">
        <w:t>Consumer and Governmental Affairs Bureau</w:t>
      </w:r>
    </w:p>
    <w:p w:rsidR="00F776F9" w:rsidP="00F776F9" w14:paraId="13DAD79E" w14:textId="77777777">
      <w:pPr>
        <w:pStyle w:val="ParaNum"/>
        <w:numPr>
          <w:ilvl w:val="0"/>
          <w:numId w:val="0"/>
        </w:numPr>
        <w:spacing w:after="0"/>
        <w:ind w:left="4680"/>
      </w:pPr>
    </w:p>
    <w:p w:rsidR="00F776F9" w:rsidP="00F776F9" w14:paraId="4D8E8E75" w14:textId="77777777">
      <w:pPr>
        <w:pStyle w:val="ParaNum"/>
        <w:numPr>
          <w:ilvl w:val="0"/>
          <w:numId w:val="0"/>
        </w:numPr>
        <w:spacing w:after="0"/>
        <w:ind w:left="4680"/>
      </w:pPr>
    </w:p>
    <w:p w:rsidR="00F776F9" w:rsidRPr="00F166F0" w:rsidP="00F776F9" w14:paraId="0C7EC4A3" w14:textId="77777777">
      <w:pPr>
        <w:pStyle w:val="ParaNum"/>
        <w:numPr>
          <w:ilvl w:val="0"/>
          <w:numId w:val="0"/>
        </w:numPr>
        <w:spacing w:after="0"/>
        <w:ind w:left="4680"/>
      </w:pPr>
      <w:r>
        <w:t xml:space="preserve">Kris A. Monteith, </w:t>
      </w:r>
      <w:r w:rsidRPr="00F166F0">
        <w:t>Chief</w:t>
      </w:r>
    </w:p>
    <w:p w:rsidR="00520A3A" w:rsidRPr="00520A3A" w:rsidP="001753C6" w14:paraId="1D5213F5" w14:textId="0A84FC50">
      <w:pPr>
        <w:pStyle w:val="ParaNum"/>
        <w:numPr>
          <w:ilvl w:val="0"/>
          <w:numId w:val="0"/>
        </w:numPr>
        <w:spacing w:after="0"/>
        <w:ind w:left="4680"/>
      </w:pPr>
      <w:r>
        <w:t>Wireline Competition Bureau</w:t>
      </w:r>
      <w:bookmarkEnd w:id="2"/>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w:panose1 w:val="02020803070505020304"/>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18D" w:rsidP="0055614C" w14:paraId="5FE8C5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B8218D" w14:paraId="7FE85B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18D" w14:paraId="4892615F" w14:textId="77777777">
    <w:pPr>
      <w:pStyle w:val="Footer"/>
      <w:jc w:val="center"/>
    </w:pPr>
    <w:r>
      <w:fldChar w:fldCharType="begin"/>
    </w:r>
    <w:r>
      <w:instrText xml:space="preserve"> PAGE   \* MERGEFORMAT </w:instrText>
    </w:r>
    <w:r>
      <w:fldChar w:fldCharType="separate"/>
    </w:r>
    <w:r w:rsidR="00704991">
      <w:rPr>
        <w:noProof/>
      </w:rPr>
      <w:t>2</w:t>
    </w:r>
    <w:r>
      <w:rPr>
        <w:noProof/>
      </w:rPr>
      <w:fldChar w:fldCharType="end"/>
    </w:r>
  </w:p>
  <w:p w:rsidR="00B8218D" w14:paraId="32AE52D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18D" w14:paraId="7E09AD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0489" w14:paraId="3B3E6203" w14:textId="77777777">
      <w:r>
        <w:separator/>
      </w:r>
    </w:p>
  </w:footnote>
  <w:footnote w:type="continuationSeparator" w:id="1">
    <w:p w:rsidR="00550489" w:rsidP="00C721AC" w14:paraId="186E4C77" w14:textId="77777777">
      <w:pPr>
        <w:spacing w:before="120"/>
        <w:rPr>
          <w:sz w:val="20"/>
        </w:rPr>
      </w:pPr>
      <w:r>
        <w:rPr>
          <w:sz w:val="20"/>
        </w:rPr>
        <w:t xml:space="preserve">(Continued from previous page)  </w:t>
      </w:r>
      <w:r>
        <w:rPr>
          <w:sz w:val="20"/>
        </w:rPr>
        <w:separator/>
      </w:r>
    </w:p>
  </w:footnote>
  <w:footnote w:type="continuationNotice" w:id="2">
    <w:p w:rsidR="00550489" w:rsidP="00C721AC" w14:paraId="4DB20A99" w14:textId="77777777">
      <w:pPr>
        <w:jc w:val="right"/>
        <w:rPr>
          <w:sz w:val="20"/>
        </w:rPr>
      </w:pPr>
      <w:r>
        <w:rPr>
          <w:sz w:val="20"/>
        </w:rPr>
        <w:t>(continued….)</w:t>
      </w:r>
    </w:p>
  </w:footnote>
  <w:footnote w:id="3">
    <w:p w:rsidR="00B8218D" w:rsidP="00BD30EE" w14:paraId="6C92370B" w14:textId="77777777">
      <w:pPr>
        <w:pStyle w:val="FootnoteText"/>
      </w:pPr>
      <w:r>
        <w:rPr>
          <w:rStyle w:val="FootnoteReference"/>
        </w:rPr>
        <w:footnoteRef/>
      </w:r>
      <w:r>
        <w:t xml:space="preserve"> Letter from Travis </w:t>
      </w:r>
      <w:r>
        <w:t>Kavulla</w:t>
      </w:r>
      <w:r>
        <w:t xml:space="preserve">, Chairman of the North American Numbering Council (NANC) to Patrick Webre, Chief, FCC Consumer and Governmental Affairs Bureau and Kris Monteith, Chief, FCC Wireline Competition Bureau at </w:t>
      </w:r>
      <w:r w:rsidRPr="00EF673A">
        <w:t>1 (April 30, 2019) (on file in CG Docket No. 17-59) (Request for Extension)</w:t>
      </w:r>
      <w:r>
        <w:t>.</w:t>
      </w:r>
    </w:p>
  </w:footnote>
  <w:footnote w:id="4">
    <w:p w:rsidR="00B8218D" w:rsidP="00DA2AF4" w14:paraId="4056857A" w14:textId="35F0F205">
      <w:pPr>
        <w:pStyle w:val="FootnoteText"/>
      </w:pPr>
      <w:r>
        <w:rPr>
          <w:rStyle w:val="FootnoteReference"/>
        </w:rPr>
        <w:footnoteRef/>
      </w:r>
      <w:r>
        <w:t xml:space="preserve"> </w:t>
      </w:r>
      <w:r w:rsidRPr="00EF673A">
        <w:rPr>
          <w:i/>
        </w:rPr>
        <w:t>Advanced Methods to Target and Eliminate Unlawful Robocalls</w:t>
      </w:r>
      <w:r w:rsidRPr="00EF673A">
        <w:t xml:space="preserve">, Second Report and Order, </w:t>
      </w:r>
      <w:bookmarkStart w:id="3" w:name="_Hlk8379403"/>
      <w:r w:rsidR="003D45E1">
        <w:t xml:space="preserve">33 FCC </w:t>
      </w:r>
      <w:r w:rsidR="003D45E1">
        <w:t>Rcd</w:t>
      </w:r>
      <w:r w:rsidR="003D45E1">
        <w:t xml:space="preserve"> 12024</w:t>
      </w:r>
      <w:bookmarkEnd w:id="3"/>
      <w:r w:rsidR="003D45E1">
        <w:t>, 12029, 12051</w:t>
      </w:r>
      <w:r>
        <w:t>, para</w:t>
      </w:r>
      <w:r w:rsidR="00562A88">
        <w:t>s</w:t>
      </w:r>
      <w:r w:rsidR="002A76EC">
        <w:t xml:space="preserve">. </w:t>
      </w:r>
      <w:r w:rsidR="00562A88">
        <w:t xml:space="preserve">11, </w:t>
      </w:r>
      <w:r w:rsidR="002A76EC">
        <w:t>80</w:t>
      </w:r>
      <w:r w:rsidR="00944501">
        <w:t xml:space="preserve"> </w:t>
      </w:r>
      <w:r>
        <w:t xml:space="preserve">(2018) </w:t>
      </w:r>
      <w:r w:rsidRPr="00EF673A">
        <w:t>(</w:t>
      </w:r>
      <w:r w:rsidRPr="00240653">
        <w:rPr>
          <w:i/>
        </w:rPr>
        <w:t>Second Report and Order</w:t>
      </w:r>
      <w:r w:rsidRPr="00EF673A">
        <w:t>)</w:t>
      </w:r>
      <w:r>
        <w:t>.</w:t>
      </w:r>
    </w:p>
  </w:footnote>
  <w:footnote w:id="5">
    <w:p w:rsidR="00B8218D" w:rsidRPr="009F6DC7" w14:paraId="524B6320" w14:textId="77777777">
      <w:pPr>
        <w:pStyle w:val="FootnoteText"/>
      </w:pPr>
      <w:r>
        <w:rPr>
          <w:rStyle w:val="FootnoteReference"/>
        </w:rPr>
        <w:footnoteRef/>
      </w:r>
      <w:r>
        <w:t xml:space="preserve"> </w:t>
      </w:r>
      <w:r>
        <w:rPr>
          <w:i/>
        </w:rPr>
        <w:t>Id.</w:t>
      </w:r>
      <w:r>
        <w:t xml:space="preserve"> at paras. 59-62.</w:t>
      </w:r>
    </w:p>
  </w:footnote>
  <w:footnote w:id="6">
    <w:p w:rsidR="00B8218D" w:rsidP="00F776F9" w14:paraId="30D1B877" w14:textId="77777777">
      <w:pPr>
        <w:pStyle w:val="FootnoteText"/>
      </w:pPr>
      <w:r>
        <w:rPr>
          <w:rStyle w:val="FootnoteReference"/>
        </w:rPr>
        <w:footnoteRef/>
      </w:r>
      <w:r>
        <w:t xml:space="preserve"> Request for Extension at 1.</w:t>
      </w:r>
    </w:p>
  </w:footnote>
  <w:footnote w:id="7">
    <w:p w:rsidR="00B8218D" w:rsidRPr="006B062D" w:rsidP="00F776F9" w14:paraId="789E7801" w14:textId="77777777">
      <w:pPr>
        <w:pStyle w:val="FootnoteText"/>
      </w:pPr>
      <w:r>
        <w:rPr>
          <w:rStyle w:val="FootnoteReference"/>
        </w:rPr>
        <w:footnoteRef/>
      </w:r>
      <w:r>
        <w:t xml:space="preserve"> </w:t>
      </w:r>
      <w:r>
        <w:rPr>
          <w:i/>
        </w:rPr>
        <w:t>Id</w:t>
      </w:r>
      <w:r>
        <w:t>.</w:t>
      </w:r>
    </w:p>
  </w:footnote>
  <w:footnote w:id="8">
    <w:p w:rsidR="00B8218D" w:rsidP="00F776F9" w14:paraId="726EC934" w14:textId="77777777">
      <w:pPr>
        <w:pStyle w:val="FootnoteText"/>
      </w:pPr>
      <w:r>
        <w:rPr>
          <w:rStyle w:val="FootnoteReference"/>
        </w:rPr>
        <w:footnoteRef/>
      </w:r>
      <w:r>
        <w:t xml:space="preserve"> </w:t>
      </w:r>
      <w:r>
        <w:rPr>
          <w:i/>
        </w:rPr>
        <w:t xml:space="preserve">Id </w:t>
      </w:r>
      <w:r>
        <w:t>at 2.</w:t>
      </w:r>
    </w:p>
  </w:footnote>
  <w:footnote w:id="9">
    <w:p w:rsidR="00B8218D" w:rsidP="00F776F9" w14:paraId="1F29C010" w14:textId="77777777">
      <w:pPr>
        <w:pStyle w:val="FootnoteText"/>
      </w:pPr>
      <w:r>
        <w:rPr>
          <w:rStyle w:val="FootnoteReference"/>
        </w:rPr>
        <w:footnoteRef/>
      </w:r>
      <w:r>
        <w:t xml:space="preserve"> </w:t>
      </w:r>
      <w:r>
        <w:rPr>
          <w:i/>
        </w:rPr>
        <w:t>Id</w:t>
      </w:r>
      <w:r>
        <w:t>.</w:t>
      </w:r>
    </w:p>
  </w:footnote>
  <w:footnote w:id="10">
    <w:p w:rsidR="00B8218D" w:rsidP="00F776F9" w14:paraId="1FB9D625" w14:textId="77777777">
      <w:pPr>
        <w:pStyle w:val="FootnoteText"/>
      </w:pPr>
      <w:r>
        <w:rPr>
          <w:rStyle w:val="FootnoteReference"/>
        </w:rPr>
        <w:footnoteRef/>
      </w:r>
      <w:r>
        <w:t xml:space="preserve"> </w:t>
      </w:r>
      <w:r>
        <w:rPr>
          <w:i/>
        </w:rPr>
        <w:t>Id</w:t>
      </w:r>
      <w:r>
        <w:t>.</w:t>
      </w:r>
    </w:p>
  </w:footnote>
  <w:footnote w:id="11">
    <w:p w:rsidR="00B8218D" w:rsidP="00F776F9" w14:paraId="375902FD" w14:textId="77777777">
      <w:pPr>
        <w:pStyle w:val="FootnoteText"/>
      </w:pPr>
      <w:r>
        <w:rPr>
          <w:rStyle w:val="FootnoteReference"/>
        </w:rPr>
        <w:footnoteRef/>
      </w:r>
      <w:r>
        <w:t xml:space="preserve"> 47 CFR § 1.46.</w:t>
      </w:r>
    </w:p>
  </w:footnote>
  <w:footnote w:id="12">
    <w:p w:rsidR="008204F5" w:rsidRPr="008204F5" w14:paraId="7AA4284D" w14:textId="543BB851">
      <w:pPr>
        <w:pStyle w:val="FootnoteText"/>
      </w:pPr>
      <w:r>
        <w:rPr>
          <w:rStyle w:val="FootnoteReference"/>
        </w:rPr>
        <w:footnoteRef/>
      </w:r>
      <w:r>
        <w:t xml:space="preserve"> </w:t>
      </w:r>
      <w:r w:rsidRPr="00240653">
        <w:rPr>
          <w:i/>
        </w:rPr>
        <w:t>Second Report and Order</w:t>
      </w:r>
      <w:r w:rsidR="003D45E1">
        <w:t xml:space="preserve">, 33 FCC </w:t>
      </w:r>
      <w:r w:rsidR="003D45E1">
        <w:t>Rcd</w:t>
      </w:r>
      <w:r w:rsidR="003D45E1">
        <w:t xml:space="preserve"> at </w:t>
      </w:r>
      <w:r w:rsidRPr="003D45E1" w:rsidR="003D45E1">
        <w:t>12046</w:t>
      </w:r>
      <w:r w:rsidR="003D45E1">
        <w:t>,</w:t>
      </w:r>
      <w:r>
        <w:t xml:space="preserve"> para.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18D" w:rsidP="00810B6F" w14:paraId="4769A4BC" w14:textId="4B4741B7">
    <w:pPr>
      <w:pStyle w:val="Header"/>
      <w:rPr>
        <w:b w:val="0"/>
      </w:rPr>
    </w:pPr>
    <w:r>
      <w:tab/>
      <w:t>Federal Communications Commission</w:t>
    </w:r>
    <w:r>
      <w:tab/>
      <w:t xml:space="preserve">DA </w:t>
    </w:r>
    <w:r w:rsidRPr="00304535">
      <w:t>19-</w:t>
    </w:r>
    <w:r w:rsidR="00A114CA">
      <w:t>554</w:t>
    </w:r>
  </w:p>
  <w:p w:rsidR="00B8218D" w14:paraId="3AE19FAE"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B8218D" w14:paraId="7CB7B8D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18D" w:rsidP="00810B6F" w14:paraId="42768B4E" w14:textId="61890987">
    <w:pPr>
      <w:pStyle w:val="Header"/>
      <w:rPr>
        <w:b w:val="0"/>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Pr>
        <w:spacing w:val="-2"/>
      </w:rPr>
      <w:t xml:space="preserve">DA </w:t>
    </w:r>
    <w:r w:rsidRPr="00304535">
      <w:rPr>
        <w:spacing w:val="-2"/>
      </w:rPr>
      <w:t>19-</w:t>
    </w:r>
    <w:r w:rsidR="00A114CA">
      <w:rPr>
        <w:spacing w:val="-2"/>
      </w:rPr>
      <w:t>554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21A5E"/>
    <w:rsid w:val="00031860"/>
    <w:rsid w:val="00036039"/>
    <w:rsid w:val="00037F90"/>
    <w:rsid w:val="0005656D"/>
    <w:rsid w:val="0007476B"/>
    <w:rsid w:val="00077AF5"/>
    <w:rsid w:val="000875BF"/>
    <w:rsid w:val="00094A18"/>
    <w:rsid w:val="00096D8C"/>
    <w:rsid w:val="000A5173"/>
    <w:rsid w:val="000B2D0C"/>
    <w:rsid w:val="000B5863"/>
    <w:rsid w:val="000C0B65"/>
    <w:rsid w:val="000E05FE"/>
    <w:rsid w:val="000E3D42"/>
    <w:rsid w:val="00122BD5"/>
    <w:rsid w:val="00133F79"/>
    <w:rsid w:val="00143FF9"/>
    <w:rsid w:val="001753C6"/>
    <w:rsid w:val="00191D58"/>
    <w:rsid w:val="00194A66"/>
    <w:rsid w:val="001A059B"/>
    <w:rsid w:val="001C3F8E"/>
    <w:rsid w:val="001D44DB"/>
    <w:rsid w:val="001D6BCF"/>
    <w:rsid w:val="001E01CA"/>
    <w:rsid w:val="001E13CE"/>
    <w:rsid w:val="00204A59"/>
    <w:rsid w:val="00222391"/>
    <w:rsid w:val="00240653"/>
    <w:rsid w:val="00260A0F"/>
    <w:rsid w:val="00262C66"/>
    <w:rsid w:val="00271AF6"/>
    <w:rsid w:val="002727B1"/>
    <w:rsid w:val="00275CF5"/>
    <w:rsid w:val="0028301F"/>
    <w:rsid w:val="00283709"/>
    <w:rsid w:val="00285017"/>
    <w:rsid w:val="002A2D2E"/>
    <w:rsid w:val="002A376F"/>
    <w:rsid w:val="002A76EC"/>
    <w:rsid w:val="002C00E8"/>
    <w:rsid w:val="002C6660"/>
    <w:rsid w:val="002D15CB"/>
    <w:rsid w:val="002D2E94"/>
    <w:rsid w:val="00304535"/>
    <w:rsid w:val="0031583D"/>
    <w:rsid w:val="00327911"/>
    <w:rsid w:val="00343749"/>
    <w:rsid w:val="00354964"/>
    <w:rsid w:val="003660ED"/>
    <w:rsid w:val="00367868"/>
    <w:rsid w:val="003A2954"/>
    <w:rsid w:val="003B0550"/>
    <w:rsid w:val="003B1900"/>
    <w:rsid w:val="003B5D84"/>
    <w:rsid w:val="003B694F"/>
    <w:rsid w:val="003D45E1"/>
    <w:rsid w:val="003F171C"/>
    <w:rsid w:val="00412FC5"/>
    <w:rsid w:val="00422276"/>
    <w:rsid w:val="004242F1"/>
    <w:rsid w:val="00442F8D"/>
    <w:rsid w:val="00445A00"/>
    <w:rsid w:val="00451B0F"/>
    <w:rsid w:val="00480744"/>
    <w:rsid w:val="004824B1"/>
    <w:rsid w:val="004969A8"/>
    <w:rsid w:val="004B1EE6"/>
    <w:rsid w:val="004C0FCD"/>
    <w:rsid w:val="004C2EE3"/>
    <w:rsid w:val="004E4A22"/>
    <w:rsid w:val="00503760"/>
    <w:rsid w:val="00511968"/>
    <w:rsid w:val="00520A3A"/>
    <w:rsid w:val="00535FFC"/>
    <w:rsid w:val="00537D78"/>
    <w:rsid w:val="00550489"/>
    <w:rsid w:val="0055614C"/>
    <w:rsid w:val="00562A88"/>
    <w:rsid w:val="00566D06"/>
    <w:rsid w:val="0057071D"/>
    <w:rsid w:val="005A7915"/>
    <w:rsid w:val="005B3B98"/>
    <w:rsid w:val="005C4BBE"/>
    <w:rsid w:val="005E14C2"/>
    <w:rsid w:val="00607BA5"/>
    <w:rsid w:val="0061180A"/>
    <w:rsid w:val="006251F1"/>
    <w:rsid w:val="00626EB6"/>
    <w:rsid w:val="00655D03"/>
    <w:rsid w:val="00661CD3"/>
    <w:rsid w:val="00662503"/>
    <w:rsid w:val="00673C70"/>
    <w:rsid w:val="00674AC0"/>
    <w:rsid w:val="0068175F"/>
    <w:rsid w:val="00683388"/>
    <w:rsid w:val="00683F84"/>
    <w:rsid w:val="006A6A81"/>
    <w:rsid w:val="006B062D"/>
    <w:rsid w:val="006F24DC"/>
    <w:rsid w:val="006F7393"/>
    <w:rsid w:val="00701536"/>
    <w:rsid w:val="0070224F"/>
    <w:rsid w:val="00704991"/>
    <w:rsid w:val="007115F7"/>
    <w:rsid w:val="00736466"/>
    <w:rsid w:val="007578B6"/>
    <w:rsid w:val="00762359"/>
    <w:rsid w:val="00785689"/>
    <w:rsid w:val="0079754B"/>
    <w:rsid w:val="007A0314"/>
    <w:rsid w:val="007A1E6D"/>
    <w:rsid w:val="007B0EB2"/>
    <w:rsid w:val="007D5E1E"/>
    <w:rsid w:val="0080151F"/>
    <w:rsid w:val="00810B6F"/>
    <w:rsid w:val="008204F5"/>
    <w:rsid w:val="00822CE0"/>
    <w:rsid w:val="00834A71"/>
    <w:rsid w:val="00841AB1"/>
    <w:rsid w:val="00863132"/>
    <w:rsid w:val="008733DF"/>
    <w:rsid w:val="008832A9"/>
    <w:rsid w:val="008A57AC"/>
    <w:rsid w:val="008C68F1"/>
    <w:rsid w:val="008D26FE"/>
    <w:rsid w:val="008F3531"/>
    <w:rsid w:val="00921803"/>
    <w:rsid w:val="00926503"/>
    <w:rsid w:val="00934C7A"/>
    <w:rsid w:val="00944501"/>
    <w:rsid w:val="009726D8"/>
    <w:rsid w:val="009A0B94"/>
    <w:rsid w:val="009B710A"/>
    <w:rsid w:val="009D7308"/>
    <w:rsid w:val="009F3C55"/>
    <w:rsid w:val="009F6DC7"/>
    <w:rsid w:val="009F76DB"/>
    <w:rsid w:val="00A05283"/>
    <w:rsid w:val="00A114CA"/>
    <w:rsid w:val="00A32C3B"/>
    <w:rsid w:val="00A360D1"/>
    <w:rsid w:val="00A45F4F"/>
    <w:rsid w:val="00A57E32"/>
    <w:rsid w:val="00A600A9"/>
    <w:rsid w:val="00AA55B7"/>
    <w:rsid w:val="00AA5B9E"/>
    <w:rsid w:val="00AB2407"/>
    <w:rsid w:val="00AB53DF"/>
    <w:rsid w:val="00AB6B21"/>
    <w:rsid w:val="00AE34D2"/>
    <w:rsid w:val="00AE3C2E"/>
    <w:rsid w:val="00AE4449"/>
    <w:rsid w:val="00AF21E9"/>
    <w:rsid w:val="00AF50EE"/>
    <w:rsid w:val="00B07E5C"/>
    <w:rsid w:val="00B110FE"/>
    <w:rsid w:val="00B80AC5"/>
    <w:rsid w:val="00B811F7"/>
    <w:rsid w:val="00B8218D"/>
    <w:rsid w:val="00B86543"/>
    <w:rsid w:val="00BA093A"/>
    <w:rsid w:val="00BA5DC6"/>
    <w:rsid w:val="00BA6196"/>
    <w:rsid w:val="00BC6D8C"/>
    <w:rsid w:val="00BD30EE"/>
    <w:rsid w:val="00BE5E1E"/>
    <w:rsid w:val="00BF7900"/>
    <w:rsid w:val="00C217AD"/>
    <w:rsid w:val="00C34006"/>
    <w:rsid w:val="00C36B4C"/>
    <w:rsid w:val="00C426B1"/>
    <w:rsid w:val="00C65180"/>
    <w:rsid w:val="00C66160"/>
    <w:rsid w:val="00C721AC"/>
    <w:rsid w:val="00C90D6A"/>
    <w:rsid w:val="00CA19B9"/>
    <w:rsid w:val="00CA247E"/>
    <w:rsid w:val="00CA2D72"/>
    <w:rsid w:val="00CA6D21"/>
    <w:rsid w:val="00CC72B6"/>
    <w:rsid w:val="00CD4798"/>
    <w:rsid w:val="00CD541A"/>
    <w:rsid w:val="00CE2536"/>
    <w:rsid w:val="00CF4DE3"/>
    <w:rsid w:val="00D0218D"/>
    <w:rsid w:val="00D25FB5"/>
    <w:rsid w:val="00D3537D"/>
    <w:rsid w:val="00D44223"/>
    <w:rsid w:val="00D61059"/>
    <w:rsid w:val="00DA2529"/>
    <w:rsid w:val="00DA2AF4"/>
    <w:rsid w:val="00DB130A"/>
    <w:rsid w:val="00DB2EBB"/>
    <w:rsid w:val="00DB5C9E"/>
    <w:rsid w:val="00DB5D39"/>
    <w:rsid w:val="00DB7AE4"/>
    <w:rsid w:val="00DC10A1"/>
    <w:rsid w:val="00DC655F"/>
    <w:rsid w:val="00DD0B59"/>
    <w:rsid w:val="00DD7EBD"/>
    <w:rsid w:val="00DF62B6"/>
    <w:rsid w:val="00DF7CA7"/>
    <w:rsid w:val="00E0273C"/>
    <w:rsid w:val="00E07225"/>
    <w:rsid w:val="00E15E81"/>
    <w:rsid w:val="00E164CF"/>
    <w:rsid w:val="00E34C48"/>
    <w:rsid w:val="00E359C1"/>
    <w:rsid w:val="00E479A4"/>
    <w:rsid w:val="00E5409F"/>
    <w:rsid w:val="00E95368"/>
    <w:rsid w:val="00EB691C"/>
    <w:rsid w:val="00ED4AF7"/>
    <w:rsid w:val="00EE6488"/>
    <w:rsid w:val="00EF673A"/>
    <w:rsid w:val="00F021FA"/>
    <w:rsid w:val="00F166F0"/>
    <w:rsid w:val="00F263A1"/>
    <w:rsid w:val="00F41EEF"/>
    <w:rsid w:val="00F62E97"/>
    <w:rsid w:val="00F64209"/>
    <w:rsid w:val="00F6671E"/>
    <w:rsid w:val="00F71E4C"/>
    <w:rsid w:val="00F776F9"/>
    <w:rsid w:val="00F77976"/>
    <w:rsid w:val="00F82C5E"/>
    <w:rsid w:val="00F92CAA"/>
    <w:rsid w:val="00F93BF5"/>
    <w:rsid w:val="00FA1268"/>
    <w:rsid w:val="00FA3F91"/>
    <w:rsid w:val="00FA6D9D"/>
    <w:rsid w:val="00FE540C"/>
    <w:rsid w:val="00FE590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
    <w:link w:val="FootnoteText"/>
    <w:locked/>
    <w:rsid w:val="00F776F9"/>
  </w:style>
  <w:style w:type="character" w:customStyle="1" w:styleId="ParaNumChar1">
    <w:name w:val="ParaNum Char1"/>
    <w:link w:val="ParaNum"/>
    <w:rsid w:val="00F776F9"/>
    <w:rPr>
      <w:snapToGrid w:val="0"/>
      <w:kern w:val="28"/>
      <w:sz w:val="22"/>
    </w:rPr>
  </w:style>
  <w:style w:type="paragraph" w:styleId="BalloonText">
    <w:name w:val="Balloon Text"/>
    <w:basedOn w:val="Normal"/>
    <w:link w:val="BalloonTextChar"/>
    <w:rsid w:val="00DA2AF4"/>
    <w:rPr>
      <w:rFonts w:ascii="Lucida Grande" w:hAnsi="Lucida Grande"/>
      <w:sz w:val="18"/>
      <w:szCs w:val="18"/>
    </w:rPr>
  </w:style>
  <w:style w:type="character" w:customStyle="1" w:styleId="BalloonTextChar">
    <w:name w:val="Balloon Text Char"/>
    <w:basedOn w:val="DefaultParagraphFont"/>
    <w:link w:val="BalloonText"/>
    <w:rsid w:val="00DA2AF4"/>
    <w:rPr>
      <w:rFonts w:ascii="Lucida Grande" w:hAnsi="Lucida Grande"/>
      <w:snapToGrid w:val="0"/>
      <w:kern w:val="28"/>
      <w:sz w:val="18"/>
      <w:szCs w:val="18"/>
    </w:rPr>
  </w:style>
  <w:style w:type="character" w:styleId="CommentReference">
    <w:name w:val="annotation reference"/>
    <w:basedOn w:val="DefaultParagraphFont"/>
    <w:rsid w:val="002D15CB"/>
    <w:rPr>
      <w:sz w:val="18"/>
      <w:szCs w:val="18"/>
    </w:rPr>
  </w:style>
  <w:style w:type="paragraph" w:styleId="CommentText">
    <w:name w:val="annotation text"/>
    <w:basedOn w:val="Normal"/>
    <w:link w:val="CommentTextChar"/>
    <w:rsid w:val="002D15CB"/>
    <w:rPr>
      <w:sz w:val="24"/>
      <w:szCs w:val="24"/>
    </w:rPr>
  </w:style>
  <w:style w:type="character" w:customStyle="1" w:styleId="CommentTextChar">
    <w:name w:val="Comment Text Char"/>
    <w:basedOn w:val="DefaultParagraphFont"/>
    <w:link w:val="CommentText"/>
    <w:rsid w:val="002D15CB"/>
    <w:rPr>
      <w:snapToGrid w:val="0"/>
      <w:kern w:val="28"/>
      <w:sz w:val="24"/>
      <w:szCs w:val="24"/>
    </w:rPr>
  </w:style>
  <w:style w:type="paragraph" w:styleId="CommentSubject">
    <w:name w:val="annotation subject"/>
    <w:basedOn w:val="CommentText"/>
    <w:next w:val="CommentText"/>
    <w:link w:val="CommentSubjectChar"/>
    <w:rsid w:val="002D15CB"/>
    <w:rPr>
      <w:b/>
      <w:bCs/>
      <w:sz w:val="20"/>
      <w:szCs w:val="20"/>
    </w:rPr>
  </w:style>
  <w:style w:type="character" w:customStyle="1" w:styleId="CommentSubjectChar">
    <w:name w:val="Comment Subject Char"/>
    <w:basedOn w:val="CommentTextChar"/>
    <w:link w:val="CommentSubject"/>
    <w:rsid w:val="002D15CB"/>
    <w:rPr>
      <w:b/>
      <w:bCs/>
      <w:snapToGrid w:val="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