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D6044" w:rsidP="009D6044">
      <w:pPr>
        <w:jc w:val="center"/>
        <w:rPr>
          <w:b/>
          <w:bCs/>
        </w:rPr>
      </w:pPr>
      <w:r>
        <w:rPr>
          <w:b/>
          <w:bCs/>
        </w:rPr>
        <w:t>Before the</w:t>
      </w:r>
      <w:bookmarkStart w:id="0" w:name="_GoBack"/>
      <w:bookmarkEnd w:id="0"/>
    </w:p>
    <w:p w:rsidR="009D6044" w:rsidP="009D6044">
      <w:pPr>
        <w:jc w:val="center"/>
        <w:rPr>
          <w:b/>
          <w:bCs/>
        </w:rPr>
      </w:pPr>
      <w:r>
        <w:rPr>
          <w:b/>
          <w:bCs/>
        </w:rPr>
        <w:t>Federal Communications Commission</w:t>
      </w:r>
    </w:p>
    <w:p w:rsidR="009D6044" w:rsidP="009D6044">
      <w:pPr>
        <w:jc w:val="center"/>
        <w:rPr>
          <w:b/>
          <w:bCs/>
        </w:rPr>
      </w:pPr>
      <w:r>
        <w:rPr>
          <w:b/>
          <w:bCs/>
        </w:rPr>
        <w:t>Washington, D.C. 20554</w:t>
      </w:r>
    </w:p>
    <w:p w:rsidR="009D6044" w:rsidP="009D6044">
      <w:pPr>
        <w:jc w:val="center"/>
        <w:rPr>
          <w:b/>
          <w:bCs/>
        </w:rPr>
      </w:pPr>
    </w:p>
    <w:p w:rsidR="009D6044" w:rsidP="009D6044"/>
    <w:tbl>
      <w:tblPr>
        <w:tblW w:w="0" w:type="auto"/>
        <w:tblInd w:w="-106" w:type="dxa"/>
        <w:tblLayout w:type="fixed"/>
        <w:tblLook w:val="0000"/>
      </w:tblPr>
      <w:tblGrid>
        <w:gridCol w:w="4698"/>
        <w:gridCol w:w="826"/>
        <w:gridCol w:w="2448"/>
      </w:tblGrid>
      <w:tr w:rsidTr="00D20FBC">
        <w:tblPrEx>
          <w:tblW w:w="0" w:type="auto"/>
          <w:tblInd w:w="-106" w:type="dxa"/>
          <w:tblLayout w:type="fixed"/>
          <w:tblLook w:val="0000"/>
        </w:tblPrEx>
        <w:tc>
          <w:tcPr>
            <w:tcW w:w="4698" w:type="dxa"/>
          </w:tcPr>
          <w:p w:rsidR="009D6044" w:rsidP="00D20FBC">
            <w:pPr>
              <w:ind w:right="-18"/>
            </w:pPr>
            <w:r>
              <w:t>In the Matter of</w:t>
            </w:r>
          </w:p>
          <w:p w:rsidR="009D6044" w:rsidP="00D20FBC">
            <w:pPr>
              <w:ind w:right="-18"/>
            </w:pPr>
          </w:p>
          <w:p w:rsidR="009D6044" w:rsidP="00D20FBC">
            <w:pPr>
              <w:ind w:right="-18"/>
            </w:pPr>
          </w:p>
          <w:p w:rsidR="009D6044" w:rsidP="00D20FBC">
            <w:pPr>
              <w:ind w:right="-18"/>
            </w:pPr>
            <w:r>
              <w:t>Rules and Regulations Implementing the Telephone Consumer Protection Act of 1991</w:t>
            </w:r>
          </w:p>
          <w:p w:rsidR="009D6044" w:rsidP="00D20FBC">
            <w:pPr>
              <w:ind w:right="-18"/>
            </w:pPr>
          </w:p>
          <w:p w:rsidR="009D6044" w:rsidP="00D20FBC">
            <w:pPr>
              <w:ind w:right="-18"/>
            </w:pPr>
            <w:r>
              <w:t xml:space="preserve">Petitions for Waiver and/or Retroactive Waiver of 47 CFR Section 64.1200(a)(2) Regarding the </w:t>
            </w:r>
            <w:bookmarkStart w:id="1" w:name="_Hlk11252529"/>
            <w:r>
              <w:t>Commission’s Prior Express Written Consent Requirement</w:t>
            </w:r>
            <w:bookmarkEnd w:id="1"/>
          </w:p>
          <w:p w:rsidR="009D6044" w:rsidP="00D20FBC">
            <w:pPr>
              <w:ind w:right="-18"/>
            </w:pPr>
          </w:p>
          <w:p w:rsidR="009D6044" w:rsidP="00D20FBC">
            <w:pPr>
              <w:ind w:right="-18"/>
            </w:pPr>
          </w:p>
        </w:tc>
        <w:tc>
          <w:tcPr>
            <w:tcW w:w="826" w:type="dxa"/>
          </w:tcPr>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r>
              <w:rPr>
                <w:b/>
                <w:bCs/>
              </w:rPr>
              <w:t>)</w:t>
            </w:r>
          </w:p>
          <w:p w:rsidR="009D6044" w:rsidP="00D20FBC">
            <w:pPr>
              <w:rPr>
                <w:b/>
                <w:bCs/>
              </w:rPr>
            </w:pPr>
          </w:p>
        </w:tc>
        <w:tc>
          <w:tcPr>
            <w:tcW w:w="2448" w:type="dxa"/>
          </w:tcPr>
          <w:p w:rsidR="009D6044" w:rsidP="00D20FBC">
            <w:pPr>
              <w:rPr>
                <w:b/>
                <w:bCs/>
              </w:rPr>
            </w:pPr>
          </w:p>
          <w:p w:rsidR="009D6044" w:rsidP="00D20FBC">
            <w:pPr>
              <w:rPr>
                <w:b/>
                <w:bCs/>
              </w:rPr>
            </w:pPr>
          </w:p>
          <w:p w:rsidR="009D6044" w:rsidP="00D20FBC">
            <w:pPr>
              <w:rPr>
                <w:bCs/>
              </w:rPr>
            </w:pPr>
          </w:p>
          <w:p w:rsidR="009D6044" w:rsidP="00D20FBC">
            <w:pPr>
              <w:rPr>
                <w:b/>
                <w:bCs/>
              </w:rPr>
            </w:pPr>
            <w:r>
              <w:rPr>
                <w:bCs/>
              </w:rPr>
              <w:t>CG Docket No. 02-278</w:t>
            </w:r>
          </w:p>
          <w:p w:rsidR="009D6044" w:rsidP="00D20FBC">
            <w:pPr>
              <w:rPr>
                <w:b/>
                <w:bCs/>
              </w:rPr>
            </w:pPr>
          </w:p>
          <w:p w:rsidR="009D6044" w:rsidP="00D20FBC">
            <w:pPr>
              <w:rPr>
                <w:b/>
                <w:bCs/>
              </w:rPr>
            </w:pPr>
          </w:p>
          <w:p w:rsidR="009D6044" w:rsidP="00D20FBC">
            <w:pPr>
              <w:rPr>
                <w:b/>
                <w:bCs/>
              </w:rPr>
            </w:pPr>
          </w:p>
          <w:p w:rsidR="009D6044" w:rsidRPr="000507BE" w:rsidP="00D20FBC">
            <w:pPr>
              <w:rPr>
                <w:bCs/>
              </w:rPr>
            </w:pPr>
          </w:p>
        </w:tc>
      </w:tr>
      <w:tr w:rsidTr="00D20FBC">
        <w:tblPrEx>
          <w:tblW w:w="0" w:type="auto"/>
          <w:tblInd w:w="-106" w:type="dxa"/>
          <w:tblLayout w:type="fixed"/>
          <w:tblLook w:val="0000"/>
        </w:tblPrEx>
        <w:tc>
          <w:tcPr>
            <w:tcW w:w="4698" w:type="dxa"/>
          </w:tcPr>
          <w:p w:rsidR="009D6044" w:rsidP="00D20FBC">
            <w:pPr>
              <w:ind w:right="-18"/>
            </w:pPr>
          </w:p>
        </w:tc>
        <w:tc>
          <w:tcPr>
            <w:tcW w:w="826" w:type="dxa"/>
          </w:tcPr>
          <w:p w:rsidR="009D6044" w:rsidP="00D20FBC">
            <w:pPr>
              <w:rPr>
                <w:b/>
                <w:bCs/>
              </w:rPr>
            </w:pPr>
          </w:p>
        </w:tc>
        <w:tc>
          <w:tcPr>
            <w:tcW w:w="2448" w:type="dxa"/>
          </w:tcPr>
          <w:p w:rsidR="009D6044" w:rsidP="00D20FBC">
            <w:pPr>
              <w:rPr>
                <w:b/>
                <w:bCs/>
              </w:rPr>
            </w:pPr>
          </w:p>
        </w:tc>
      </w:tr>
    </w:tbl>
    <w:p w:rsidR="009D6044" w:rsidP="009D6044">
      <w:pPr>
        <w:spacing w:before="120"/>
        <w:jc w:val="center"/>
        <w:rPr>
          <w:b/>
          <w:bCs/>
        </w:rPr>
      </w:pPr>
      <w:r>
        <w:rPr>
          <w:b/>
          <w:bCs/>
          <w:spacing w:val="-2"/>
        </w:rPr>
        <w:t>ORDER</w:t>
      </w:r>
    </w:p>
    <w:p w:rsidR="009D6044" w:rsidP="009D6044">
      <w:pPr>
        <w:tabs>
          <w:tab w:val="left" w:pos="5760"/>
        </w:tabs>
        <w:rPr>
          <w:b/>
          <w:bCs/>
        </w:rPr>
      </w:pPr>
    </w:p>
    <w:p w:rsidR="009D6044" w:rsidP="009D6044">
      <w:pPr>
        <w:tabs>
          <w:tab w:val="left" w:pos="720"/>
          <w:tab w:val="left" w:pos="5760"/>
          <w:tab w:val="right" w:pos="9360"/>
        </w:tabs>
        <w:suppressAutoHyphens/>
        <w:spacing w:line="227" w:lineRule="auto"/>
        <w:rPr>
          <w:spacing w:val="-2"/>
        </w:rPr>
      </w:pPr>
      <w:r>
        <w:rPr>
          <w:b/>
          <w:bCs/>
          <w:spacing w:val="-2"/>
        </w:rPr>
        <w:t>Adopted:</w:t>
      </w:r>
      <w:r w:rsidR="00BB09F5">
        <w:rPr>
          <w:b/>
          <w:bCs/>
          <w:spacing w:val="-2"/>
        </w:rPr>
        <w:t xml:space="preserve"> </w:t>
      </w:r>
      <w:r>
        <w:rPr>
          <w:b/>
          <w:bCs/>
          <w:spacing w:val="-2"/>
        </w:rPr>
        <w:t xml:space="preserve"> June </w:t>
      </w:r>
      <w:r w:rsidR="005873C2">
        <w:rPr>
          <w:b/>
          <w:bCs/>
          <w:spacing w:val="-2"/>
        </w:rPr>
        <w:t>13</w:t>
      </w:r>
      <w:r>
        <w:rPr>
          <w:b/>
          <w:bCs/>
          <w:spacing w:val="-2"/>
        </w:rPr>
        <w:t>, 2019</w:t>
      </w:r>
      <w:r>
        <w:rPr>
          <w:b/>
          <w:bCs/>
          <w:spacing w:val="-2"/>
        </w:rPr>
        <w:tab/>
      </w:r>
      <w:r>
        <w:rPr>
          <w:b/>
          <w:bCs/>
          <w:spacing w:val="-2"/>
        </w:rPr>
        <w:tab/>
        <w:t xml:space="preserve">Released:  June </w:t>
      </w:r>
      <w:r w:rsidR="00717675">
        <w:rPr>
          <w:b/>
          <w:bCs/>
          <w:spacing w:val="-2"/>
        </w:rPr>
        <w:t>13</w:t>
      </w:r>
      <w:r>
        <w:rPr>
          <w:b/>
          <w:bCs/>
          <w:spacing w:val="-2"/>
        </w:rPr>
        <w:t>, 2019</w:t>
      </w:r>
    </w:p>
    <w:p w:rsidR="009D6044" w:rsidP="009D6044">
      <w:pPr>
        <w:tabs>
          <w:tab w:val="left" w:pos="5760"/>
        </w:tabs>
        <w:rPr>
          <w:b/>
          <w:bCs/>
        </w:rPr>
      </w:pPr>
    </w:p>
    <w:p w:rsidR="009D6044" w:rsidP="009D6044">
      <w:pPr>
        <w:tabs>
          <w:tab w:val="left" w:pos="5760"/>
        </w:tabs>
        <w:rPr>
          <w:b/>
          <w:bCs/>
        </w:rPr>
      </w:pPr>
    </w:p>
    <w:p w:rsidR="009D6044" w:rsidP="009D6044">
      <w:pPr>
        <w:tabs>
          <w:tab w:val="left" w:pos="5760"/>
        </w:tabs>
        <w:rPr>
          <w:spacing w:val="-2"/>
        </w:rPr>
      </w:pPr>
      <w:r>
        <w:t xml:space="preserve">By the </w:t>
      </w:r>
      <w:r>
        <w:rPr>
          <w:spacing w:val="-2"/>
        </w:rPr>
        <w:t>Chief, Consumer and Governmental Affairs Bureau:</w:t>
      </w:r>
    </w:p>
    <w:p w:rsidR="009D6044" w:rsidP="009D6044"/>
    <w:p w:rsidR="009D6044" w:rsidP="009D6044"/>
    <w:p w:rsidR="009D6044" w:rsidP="009D6044">
      <w:pPr>
        <w:pStyle w:val="Heading1"/>
        <w:numPr>
          <w:ilvl w:val="0"/>
          <w:numId w:val="7"/>
        </w:numPr>
        <w:spacing w:after="220"/>
        <w:jc w:val="both"/>
      </w:pPr>
      <w:r>
        <w:t xml:space="preserve">Introduction </w:t>
      </w:r>
    </w:p>
    <w:p w:rsidR="009D6044" w:rsidRPr="00EE0641" w:rsidP="009D6044">
      <w:pPr>
        <w:pStyle w:val="ParaNum"/>
        <w:numPr>
          <w:ilvl w:val="0"/>
          <w:numId w:val="8"/>
        </w:numPr>
        <w:tabs>
          <w:tab w:val="clear" w:pos="1080"/>
          <w:tab w:val="num" w:pos="1440"/>
        </w:tabs>
        <w:spacing w:after="220"/>
      </w:pPr>
      <w:r>
        <w:t>In this order, we grant limited waivers of the Commission’s prior-express-written-consent rules to two petitioners, bebe stores, inc. and ViSalus, Inc., in light of confusion about the rules and consistent with the Commission’s prior grant of similar waivers.</w:t>
      </w:r>
      <w:r>
        <w:rPr>
          <w:rStyle w:val="FootnoteReference"/>
        </w:rPr>
        <w:footnoteReference w:id="3"/>
      </w:r>
      <w:r>
        <w:t xml:space="preserve">  Specifically, we find good cause exists to find that bebe and ViSalus needed additional time to obtain updated written consent in compliance with the Commission’s 2012 rule changes, which were adopted under the Telephone Consumer Protection Act (TCPA) to ensure that telemarketers have proof of consent from consumers to make robocalls.</w:t>
      </w:r>
      <w:r>
        <w:rPr>
          <w:rStyle w:val="FootnoteReference"/>
        </w:rPr>
        <w:footnoteReference w:id="4"/>
      </w:r>
      <w:r>
        <w:t xml:space="preserve">  As discussed more fully below</w:t>
      </w:r>
      <w:r>
        <w:rPr>
          <w:i/>
        </w:rPr>
        <w:t xml:space="preserve">, </w:t>
      </w:r>
      <w:r>
        <w:t xml:space="preserve">these waivers </w:t>
      </w:r>
      <w:r w:rsidRPr="00434792">
        <w:t>only appl</w:t>
      </w:r>
      <w:r>
        <w:t>y</w:t>
      </w:r>
      <w:r w:rsidRPr="00434792">
        <w:t xml:space="preserve"> to calls for which </w:t>
      </w:r>
      <w:r>
        <w:t xml:space="preserve">the petitioner had </w:t>
      </w:r>
      <w:r w:rsidRPr="00434792">
        <w:t xml:space="preserve">obtained some form of </w:t>
      </w:r>
      <w:r w:rsidRPr="000A2657">
        <w:rPr>
          <w:i/>
        </w:rPr>
        <w:t>written</w:t>
      </w:r>
      <w:r w:rsidRPr="00434792">
        <w:t xml:space="preserve"> consent</w:t>
      </w:r>
      <w:r>
        <w:t>.  We emphasize that the</w:t>
      </w:r>
      <w:r w:rsidR="00E748F3">
        <w:t xml:space="preserve"> </w:t>
      </w:r>
      <w:r>
        <w:t xml:space="preserve">petitioners should already be in full compliance with the Commission’s requirements for any calls made 90 days or more after the Commission’s 2015 clarification of the written-consent rule because they had the benefit of that clarification in making such calls.  </w:t>
      </w:r>
    </w:p>
    <w:p w:rsidR="009D6044" w:rsidP="009D6044">
      <w:pPr>
        <w:pStyle w:val="Heading1"/>
        <w:numPr>
          <w:ilvl w:val="0"/>
          <w:numId w:val="7"/>
        </w:numPr>
        <w:spacing w:after="220"/>
        <w:jc w:val="both"/>
      </w:pPr>
      <w:r>
        <w:t>Background</w:t>
      </w:r>
    </w:p>
    <w:p w:rsidR="009D6044" w:rsidP="009D6044">
      <w:pPr>
        <w:pStyle w:val="Heading2"/>
        <w:numPr>
          <w:ilvl w:val="1"/>
          <w:numId w:val="7"/>
        </w:numPr>
        <w:spacing w:after="220"/>
        <w:jc w:val="both"/>
      </w:pPr>
      <w:r>
        <w:t>The Telephone Consumer Protection Act and Commission’s Rules</w:t>
      </w:r>
    </w:p>
    <w:p w:rsidR="009D6044" w:rsidP="009D6044">
      <w:pPr>
        <w:pStyle w:val="ParaNum"/>
        <w:numPr>
          <w:ilvl w:val="0"/>
          <w:numId w:val="8"/>
        </w:numPr>
        <w:tabs>
          <w:tab w:val="clear" w:pos="1080"/>
          <w:tab w:val="num" w:pos="1440"/>
        </w:tabs>
        <w:spacing w:after="220"/>
      </w:pPr>
      <w:r>
        <w:t xml:space="preserve">In 1991, Congress enacted the TCPA to address a growing number of telephone marketing calls and other calling practices that can be an invasion of consumer privacy.  Before the Commission’s 2012 revisions, the Commission’s implementing rules, in relevant part, prohibited:  (1) making telemarketing calls using an artificial or prerecorded voice to </w:t>
      </w:r>
      <w:r>
        <w:rPr>
          <w:i/>
        </w:rPr>
        <w:t xml:space="preserve">residential </w:t>
      </w:r>
      <w:r>
        <w:t xml:space="preserve">telephones without prior express consent; and (2) making any non-emergency call using an automatic telephone dialing system (“autodialer”) or an artificial or prerecorded voice to a </w:t>
      </w:r>
      <w:r>
        <w:rPr>
          <w:i/>
        </w:rPr>
        <w:t>wireless</w:t>
      </w:r>
      <w:r>
        <w:t xml:space="preserve"> telephone number without prior express consent.</w:t>
      </w:r>
      <w:r>
        <w:rPr>
          <w:rStyle w:val="FootnoteReference"/>
        </w:rPr>
        <w:footnoteReference w:id="5"/>
      </w:r>
      <w:r>
        <w:t xml:space="preserve">  The consent could be provided in either oral or written form.</w:t>
      </w:r>
      <w:r>
        <w:rPr>
          <w:rStyle w:val="FootnoteReference"/>
        </w:rPr>
        <w:footnoteReference w:id="6"/>
      </w:r>
    </w:p>
    <w:p w:rsidR="009D6044" w:rsidP="009D6044">
      <w:pPr>
        <w:pStyle w:val="ParaNum"/>
        <w:numPr>
          <w:ilvl w:val="0"/>
          <w:numId w:val="8"/>
        </w:numPr>
        <w:tabs>
          <w:tab w:val="clear" w:pos="1080"/>
          <w:tab w:val="num" w:pos="1440"/>
        </w:tabs>
        <w:spacing w:after="220"/>
      </w:pPr>
      <w:r>
        <w:t>In 2012</w:t>
      </w:r>
      <w:r>
        <w:rPr>
          <w:i/>
        </w:rPr>
        <w:t xml:space="preserve">, </w:t>
      </w:r>
      <w:r>
        <w:t xml:space="preserve">the Commission made its rules consistent with the parallel Federal Trade Commission (FTC) rules by requiring, among other things, prior express </w:t>
      </w:r>
      <w:r w:rsidRPr="000D202E">
        <w:rPr>
          <w:i/>
        </w:rPr>
        <w:t>written</w:t>
      </w:r>
      <w:r>
        <w:t xml:space="preserve"> consent for all autodialed or prerecorded telemarketing calls to wireless numbers and for all prerecorded telemarketing calls to residential lines.</w:t>
      </w:r>
      <w:r>
        <w:rPr>
          <w:rStyle w:val="FootnoteReference"/>
        </w:rPr>
        <w:footnoteReference w:id="7"/>
      </w:r>
      <w:r>
        <w:t xml:space="preserve">  Additionally, the Commission</w:t>
      </w:r>
      <w:r w:rsidRPr="00A726F2">
        <w:t xml:space="preserve"> </w:t>
      </w:r>
      <w:r>
        <w:t>required that any request for a consumer’s written consent to receive telemarketing robocalls must include the telephone number to which the consumer authorizes such telemarketing messages to be delivered, and clear and conspicuous disclosures informing the consumer that</w:t>
      </w:r>
      <w:r>
        <w:rPr>
          <w:color w:val="000000"/>
        </w:rPr>
        <w:t>:  (1) the consumer authorizes the seller to deliver telemarketing calls to that number using an automatic telephone dialing system or an artificial or prerecorded voice; and (2) the consumer is not required, directly or indirectly, to provide written consent as a condition of purchasing any property, goods, or services.</w:t>
      </w:r>
      <w:r>
        <w:rPr>
          <w:rStyle w:val="FootnoteReference"/>
          <w:color w:val="000000"/>
        </w:rPr>
        <w:footnoteReference w:id="8"/>
      </w:r>
      <w:r>
        <w:rPr>
          <w:color w:val="000000"/>
        </w:rPr>
        <w:t xml:space="preserve">  The 2012 rule changes became effective on October </w:t>
      </w:r>
      <w:r w:rsidRPr="008C5A0A">
        <w:rPr>
          <w:color w:val="000000"/>
        </w:rPr>
        <w:t>16</w:t>
      </w:r>
      <w:r>
        <w:rPr>
          <w:color w:val="000000"/>
        </w:rPr>
        <w:t>, 2013.</w:t>
      </w:r>
      <w:r>
        <w:rPr>
          <w:rStyle w:val="FootnoteReference"/>
          <w:color w:val="000000"/>
        </w:rPr>
        <w:footnoteReference w:id="9"/>
      </w:r>
    </w:p>
    <w:p w:rsidR="009D6044" w:rsidP="009D6044">
      <w:pPr>
        <w:pStyle w:val="ParaNum"/>
        <w:numPr>
          <w:ilvl w:val="0"/>
          <w:numId w:val="8"/>
        </w:numPr>
        <w:tabs>
          <w:tab w:val="clear" w:pos="1080"/>
          <w:tab w:val="num" w:pos="1440"/>
        </w:tabs>
        <w:spacing w:after="220"/>
      </w:pPr>
      <w:r>
        <w:t>Immediately after the effective date of the 2012 rule changes, two parties, the Direct Marketing Association (DMA) and the Coalition of Mobile Engagement Providers (Coalition), filed petitions asking the Commission, respectively, to forbear from enforcing the new written consent requirements when noncompliant written consent had already been obtained and to clarify that the revised rules did not nullify noncompliant written consent (</w:t>
      </w:r>
      <w:r>
        <w:rPr>
          <w:i/>
        </w:rPr>
        <w:t xml:space="preserve">i.e., </w:t>
      </w:r>
      <w:r>
        <w:t>consent that did not meet the new 2012 requirements) obtained prior to the effective date of the revised rules.</w:t>
      </w:r>
      <w:r>
        <w:rPr>
          <w:rStyle w:val="FootnoteReference"/>
        </w:rPr>
        <w:footnoteReference w:id="10"/>
      </w:r>
      <w:r>
        <w:t xml:space="preserve">  </w:t>
      </w:r>
    </w:p>
    <w:p w:rsidR="009D6044" w:rsidP="009D6044">
      <w:pPr>
        <w:pStyle w:val="ParaNum"/>
        <w:numPr>
          <w:ilvl w:val="0"/>
          <w:numId w:val="8"/>
        </w:numPr>
        <w:tabs>
          <w:tab w:val="clear" w:pos="1080"/>
          <w:tab w:val="num" w:pos="1440"/>
        </w:tabs>
        <w:spacing w:after="220"/>
      </w:pPr>
      <w:r>
        <w:t xml:space="preserve">In its </w:t>
      </w:r>
      <w:r w:rsidRPr="0066235E">
        <w:rPr>
          <w:i/>
        </w:rPr>
        <w:t>2015 TCPA Declaratory Ruling</w:t>
      </w:r>
      <w:r>
        <w:t>, the Commission clarified the application of the 2012 rule change, saying that the new requirements apply “</w:t>
      </w:r>
      <w:r w:rsidRPr="0066235E">
        <w:rPr>
          <w:i/>
        </w:rPr>
        <w:t>per call</w:t>
      </w:r>
      <w:r>
        <w:t xml:space="preserve"> and … telemarketers should not rely on a consumer’s written consent obtained before the 2012 rules took effect.”</w:t>
      </w:r>
      <w:r>
        <w:rPr>
          <w:rStyle w:val="FootnoteReference"/>
        </w:rPr>
        <w:footnoteReference w:id="11"/>
      </w:r>
      <w:r>
        <w:t xml:space="preserve">  Addressing the DMA and Coalition petitions in the </w:t>
      </w:r>
      <w:r w:rsidRPr="0066235E">
        <w:rPr>
          <w:i/>
        </w:rPr>
        <w:t xml:space="preserve">2015 TCPA Declaratory Ruling, </w:t>
      </w:r>
      <w:r>
        <w:t>the Commission recognized that special circumstances warranted a deviation from strict enforcement of the revised prior-express-written-consent rules.  It therefore provided the two petitioners</w:t>
      </w:r>
      <w:r w:rsidR="00143A9C">
        <w:t xml:space="preserve">, </w:t>
      </w:r>
      <w:r>
        <w:t>and their members</w:t>
      </w:r>
      <w:r w:rsidR="00143A9C">
        <w:t xml:space="preserve">, </w:t>
      </w:r>
      <w:r>
        <w:t xml:space="preserve">with temporary relief by granting retroactive waivers to those parties that allowed them to rely on previously obtained written consents for a limited </w:t>
      </w:r>
      <w:r>
        <w:t>period of time</w:t>
      </w:r>
      <w:r>
        <w:t xml:space="preserve">.  During that time, the petitioners did not have to obtain new consent after making </w:t>
      </w:r>
      <w:r>
        <w:t>the required disclosures from these same consumers.</w:t>
      </w:r>
      <w:r>
        <w:rPr>
          <w:rStyle w:val="FootnoteReference"/>
        </w:rPr>
        <w:footnoteReference w:id="12"/>
      </w:r>
      <w:r>
        <w:t xml:space="preserve">  In reaching its decision, the Commission concluded that there was evidence in the record that petitioners could have been confused as to whether written consent obtained previously would remain valid after the new rules became effective.  The Commission therefore found it reasonable to recognize a limited period of time within which the parties could be expected to obtain the prior express written consent as required by the 2012 rules, including the necessary disclosures.</w:t>
      </w:r>
      <w:r>
        <w:rPr>
          <w:rStyle w:val="FootnoteReference"/>
        </w:rPr>
        <w:footnoteReference w:id="13"/>
      </w:r>
      <w:r>
        <w:t xml:space="preserve">  Consequently, the Commission granted the petitioners and their members a retroactive waiver from the original effective date of the rules, October 16, 2013, to release date of the </w:t>
      </w:r>
      <w:r w:rsidRPr="0066235E">
        <w:rPr>
          <w:i/>
        </w:rPr>
        <w:t xml:space="preserve">2015 TCPA Declaratory Ruling </w:t>
      </w:r>
      <w:r>
        <w:t xml:space="preserve">(which was July 10, 2015), and then a waiver from the release date of the </w:t>
      </w:r>
      <w:r w:rsidRPr="0066235E">
        <w:rPr>
          <w:i/>
        </w:rPr>
        <w:t xml:space="preserve">2015 TCPA </w:t>
      </w:r>
      <w:r w:rsidRPr="009341FD">
        <w:rPr>
          <w:i/>
        </w:rPr>
        <w:t>Declaratory Ruling</w:t>
      </w:r>
      <w:r>
        <w:t xml:space="preserve"> through a period of 89 days (or until October 7, 2015), during which the affected parties were allowed to rely on the previously obtained prior express written consents already provided by their consumers before October 16, 2013.</w:t>
      </w:r>
      <w:r>
        <w:rPr>
          <w:rStyle w:val="FootnoteReference"/>
        </w:rPr>
        <w:footnoteReference w:id="14"/>
      </w:r>
      <w:r>
        <w:t xml:space="preserve">  After October 7, 2015, the petitioners and their members were required to be in full compliance with the Commission’s requirements for each subject call.</w:t>
      </w:r>
      <w:r>
        <w:rPr>
          <w:rStyle w:val="FootnoteReference"/>
        </w:rPr>
        <w:footnoteReference w:id="15"/>
      </w:r>
    </w:p>
    <w:p w:rsidR="009D6044" w:rsidP="009D6044">
      <w:pPr>
        <w:pStyle w:val="ParaNum"/>
        <w:numPr>
          <w:ilvl w:val="0"/>
          <w:numId w:val="8"/>
        </w:numPr>
        <w:tabs>
          <w:tab w:val="clear" w:pos="1080"/>
          <w:tab w:val="num" w:pos="1440"/>
        </w:tabs>
        <w:spacing w:after="220"/>
      </w:pPr>
      <w:r w:rsidRPr="0047771D">
        <w:t xml:space="preserve">Subsequently, the Consumer and Governmental Affairs Bureau (Bureau), </w:t>
      </w:r>
      <w:r>
        <w:t xml:space="preserve">acting </w:t>
      </w:r>
      <w:r w:rsidRPr="0047771D">
        <w:t xml:space="preserve">on delegated authority, granted waivers to seven </w:t>
      </w:r>
      <w:r>
        <w:t xml:space="preserve">additional </w:t>
      </w:r>
      <w:r w:rsidRPr="0047771D">
        <w:t>petitioners that demonstrated they were similarly situated to the DMA and Coalition.</w:t>
      </w:r>
      <w:r>
        <w:rPr>
          <w:rStyle w:val="FootnoteReference"/>
        </w:rPr>
        <w:footnoteReference w:id="16"/>
      </w:r>
      <w:r w:rsidRPr="0047771D">
        <w:t xml:space="preserve">  The Bureau found that there was good cause to waive the Commission’s rules as to each of the seven petitioners</w:t>
      </w:r>
      <w:r>
        <w:t xml:space="preserve"> and </w:t>
      </w:r>
      <w:r w:rsidRPr="007C4075">
        <w:t>find that the</w:t>
      </w:r>
      <w:r>
        <w:t>y</w:t>
      </w:r>
      <w:r w:rsidRPr="007C4075">
        <w:t xml:space="preserve"> needed additional time to obtain updated written consent in compliance with the Commission's 2012 rule changes</w:t>
      </w:r>
      <w:r w:rsidRPr="0047771D">
        <w:t>.</w:t>
      </w:r>
      <w:r>
        <w:rPr>
          <w:rStyle w:val="FootnoteReference"/>
        </w:rPr>
        <w:footnoteReference w:id="17"/>
      </w:r>
      <w:r w:rsidRPr="0047771D">
        <w:t xml:space="preserve">  </w:t>
      </w:r>
      <w:r>
        <w:t>In granting the limited retroactive waivers, t</w:t>
      </w:r>
      <w:r w:rsidRPr="0047771D">
        <w:t xml:space="preserve">he Bureau found that special circumstances warranted </w:t>
      </w:r>
      <w:r>
        <w:t xml:space="preserve">granting </w:t>
      </w:r>
      <w:r w:rsidRPr="0047771D">
        <w:t xml:space="preserve">a waiver to </w:t>
      </w:r>
      <w:r>
        <w:t>each</w:t>
      </w:r>
      <w:r w:rsidRPr="0047771D">
        <w:t xml:space="preserve"> petitioner</w:t>
      </w:r>
      <w:r>
        <w:t xml:space="preserve">. </w:t>
      </w:r>
      <w:r w:rsidRPr="0047771D">
        <w:t xml:space="preserve"> </w:t>
      </w:r>
      <w:r>
        <w:t>A</w:t>
      </w:r>
      <w:r w:rsidRPr="0047771D">
        <w:t xml:space="preserve">s </w:t>
      </w:r>
      <w:r>
        <w:t xml:space="preserve">the Commission had previously </w:t>
      </w:r>
      <w:r w:rsidRPr="0047771D">
        <w:t xml:space="preserve">stated in the </w:t>
      </w:r>
      <w:r w:rsidRPr="00BC50AE">
        <w:rPr>
          <w:i/>
        </w:rPr>
        <w:t>2015 TCPA Declaratory Ruling</w:t>
      </w:r>
      <w:r w:rsidRPr="0047771D">
        <w:t xml:space="preserve">, </w:t>
      </w:r>
      <w:r>
        <w:t xml:space="preserve">the Bureau concluded that </w:t>
      </w:r>
      <w:r w:rsidRPr="0047771D">
        <w:t>there was confusion about the 2012 prior</w:t>
      </w:r>
      <w:r>
        <w:t>-</w:t>
      </w:r>
      <w:r w:rsidRPr="0047771D">
        <w:t>express</w:t>
      </w:r>
      <w:r>
        <w:t>-</w:t>
      </w:r>
      <w:r w:rsidRPr="0047771D">
        <w:t>written</w:t>
      </w:r>
      <w:r>
        <w:t>-</w:t>
      </w:r>
      <w:r w:rsidRPr="0047771D">
        <w:t xml:space="preserve">consent rule changes because they could reasonably have been interpreted to mean that written consent obtained prior to the </w:t>
      </w:r>
      <w:r w:rsidRPr="00BC50AE">
        <w:rPr>
          <w:i/>
        </w:rPr>
        <w:t>2012 TCPA Order</w:t>
      </w:r>
      <w:r w:rsidRPr="0047771D">
        <w:t xml:space="preserve"> was still valid.</w:t>
      </w:r>
      <w:r>
        <w:rPr>
          <w:rStyle w:val="FootnoteReference"/>
        </w:rPr>
        <w:footnoteReference w:id="18"/>
      </w:r>
      <w:r w:rsidRPr="0047771D">
        <w:t xml:space="preserve">  </w:t>
      </w:r>
      <w:r>
        <w:t>Each of t</w:t>
      </w:r>
      <w:r w:rsidRPr="0047771D">
        <w:t xml:space="preserve">he seven petitioners asserted that there was industry-wide confusion after the </w:t>
      </w:r>
      <w:r w:rsidRPr="00BC50AE">
        <w:rPr>
          <w:i/>
        </w:rPr>
        <w:t>2012 TCPA Order</w:t>
      </w:r>
      <w:r w:rsidRPr="0047771D">
        <w:t xml:space="preserve"> went into effec</w:t>
      </w:r>
      <w:r>
        <w:t>t,</w:t>
      </w:r>
      <w:r w:rsidRPr="0047771D">
        <w:t xml:space="preserve"> that they would need more time to obtain new consents under the </w:t>
      </w:r>
      <w:r w:rsidRPr="00BC50AE">
        <w:rPr>
          <w:i/>
        </w:rPr>
        <w:t>2012 TCPA Order</w:t>
      </w:r>
      <w:r>
        <w:t>,</w:t>
      </w:r>
      <w:r w:rsidRPr="0047771D">
        <w:t xml:space="preserve"> and that they would benefit from a retroactive waiver.</w:t>
      </w:r>
      <w:r>
        <w:rPr>
          <w:rStyle w:val="FootnoteReference"/>
        </w:rPr>
        <w:footnoteReference w:id="19"/>
      </w:r>
      <w:r w:rsidRPr="0047771D">
        <w:t xml:space="preserve">  Each of the petitioners demonstrated that they incorrectly but reasonably interpreted the Commission’s </w:t>
      </w:r>
      <w:r w:rsidRPr="00981859">
        <w:rPr>
          <w:i/>
        </w:rPr>
        <w:t>2012 TCPA Order</w:t>
      </w:r>
      <w:r w:rsidRPr="0047771D">
        <w:t xml:space="preserve"> by citing that order’s language and the lack of evidence to refute their claimed confusion.</w:t>
      </w:r>
      <w:r>
        <w:rPr>
          <w:rStyle w:val="FootnoteReference"/>
        </w:rPr>
        <w:footnoteReference w:id="20"/>
      </w:r>
      <w:r w:rsidRPr="0047771D">
        <w:t xml:space="preserve">  </w:t>
      </w:r>
      <w:r>
        <w:t>Finally, just as t</w:t>
      </w:r>
      <w:r w:rsidRPr="0047771D">
        <w:t xml:space="preserve">he Commission did not require proof of actual confusion for the DMA or </w:t>
      </w:r>
      <w:r>
        <w:t xml:space="preserve">the </w:t>
      </w:r>
      <w:r w:rsidRPr="0047771D">
        <w:t xml:space="preserve">Coalition, the Bureau </w:t>
      </w:r>
      <w:r>
        <w:t xml:space="preserve">did not </w:t>
      </w:r>
      <w:r w:rsidRPr="0047771D">
        <w:t>require proof of actual confusion from the seven petitioners granted waivers in October</w:t>
      </w:r>
      <w:r>
        <w:t>,</w:t>
      </w:r>
      <w:r w:rsidRPr="0047771D">
        <w:t xml:space="preserve"> 2016.</w:t>
      </w:r>
      <w:r>
        <w:rPr>
          <w:rStyle w:val="FootnoteReference"/>
        </w:rPr>
        <w:footnoteReference w:id="21"/>
      </w:r>
    </w:p>
    <w:p w:rsidR="009D6044" w:rsidP="009D6044">
      <w:pPr>
        <w:pStyle w:val="Heading2"/>
        <w:numPr>
          <w:ilvl w:val="1"/>
          <w:numId w:val="7"/>
        </w:numPr>
        <w:spacing w:after="220"/>
        <w:jc w:val="both"/>
      </w:pPr>
      <w:r>
        <w:t>The bebe and ViSalus Petitions</w:t>
      </w:r>
    </w:p>
    <w:p w:rsidR="009D6044" w:rsidP="009D6044">
      <w:pPr>
        <w:pStyle w:val="ParaNum"/>
        <w:numPr>
          <w:ilvl w:val="0"/>
          <w:numId w:val="8"/>
        </w:numPr>
        <w:tabs>
          <w:tab w:val="clear" w:pos="1080"/>
          <w:tab w:val="num" w:pos="1440"/>
        </w:tabs>
        <w:spacing w:after="220"/>
      </w:pPr>
      <w:r>
        <w:t>B</w:t>
      </w:r>
      <w:r>
        <w:t xml:space="preserve">ebe and ViSalus filed petitions seeking similar waivers </w:t>
      </w:r>
      <w:r>
        <w:t xml:space="preserve">after the Bureau’s </w:t>
      </w:r>
      <w:r>
        <w:rPr>
          <w:i/>
        </w:rPr>
        <w:t>2016 Waiver Order</w:t>
      </w:r>
      <w:r>
        <w:t xml:space="preserve">.  In general, these petitioners contend they are similarly situated to the parties who received waivers in the </w:t>
      </w:r>
      <w:r>
        <w:rPr>
          <w:i/>
        </w:rPr>
        <w:t xml:space="preserve">2015 TCPA Declaratory Ruling </w:t>
      </w:r>
      <w:r>
        <w:t xml:space="preserve">and the </w:t>
      </w:r>
      <w:r>
        <w:rPr>
          <w:i/>
        </w:rPr>
        <w:t>2016 Waiver Order.</w:t>
      </w:r>
      <w:r>
        <w:rPr>
          <w:rStyle w:val="FootnoteReference"/>
        </w:rPr>
        <w:footnoteReference w:id="22"/>
      </w:r>
      <w:r>
        <w:rPr>
          <w:i/>
        </w:rPr>
        <w:t xml:space="preserve">  </w:t>
      </w:r>
      <w:r w:rsidRPr="000F34AA">
        <w:t>Specifically</w:t>
      </w:r>
      <w:r>
        <w:t>, they assert that they faced similar confusion and needed additional time to obtain new consents under the 2012 rules without running the risk of being subject to litigation.</w:t>
      </w:r>
      <w:r>
        <w:rPr>
          <w:rStyle w:val="FootnoteReference"/>
        </w:rPr>
        <w:footnoteReference w:id="23"/>
      </w:r>
      <w:r>
        <w:t xml:space="preserve">  They also contend they would benefit from the same additional time granted for compliance with the 2012 prior-express-written-consent requirements.</w:t>
      </w:r>
      <w:r>
        <w:rPr>
          <w:rStyle w:val="FootnoteReference"/>
        </w:rPr>
        <w:footnoteReference w:id="24"/>
      </w:r>
      <w:r>
        <w:t xml:space="preserve"> </w:t>
      </w:r>
    </w:p>
    <w:p w:rsidR="009D6044" w:rsidP="009D6044">
      <w:pPr>
        <w:pStyle w:val="ParaNum"/>
        <w:numPr>
          <w:ilvl w:val="0"/>
          <w:numId w:val="8"/>
        </w:numPr>
        <w:tabs>
          <w:tab w:val="clear" w:pos="1080"/>
          <w:tab w:val="num" w:pos="1440"/>
        </w:tabs>
        <w:spacing w:after="220"/>
      </w:pPr>
      <w:r>
        <w:t>The Commission sought comment on the petitions.</w:t>
      </w:r>
      <w:r>
        <w:rPr>
          <w:rStyle w:val="FootnoteReference"/>
        </w:rPr>
        <w:footnoteReference w:id="25"/>
      </w:r>
      <w:r>
        <w:t xml:space="preserve">  There were no comments filed regarding the </w:t>
      </w:r>
      <w:r>
        <w:rPr>
          <w:i/>
        </w:rPr>
        <w:t>ViSalus Petition</w:t>
      </w:r>
      <w:r>
        <w:t xml:space="preserve">. </w:t>
      </w:r>
      <w:r>
        <w:rPr>
          <w:i/>
        </w:rPr>
        <w:t xml:space="preserve"> </w:t>
      </w:r>
      <w:r>
        <w:t xml:space="preserve">Parties in the litigation against bebe (the Meyer parties) filed an opposition to the </w:t>
      </w:r>
      <w:r>
        <w:rPr>
          <w:i/>
        </w:rPr>
        <w:t>bebe Petition.</w:t>
      </w:r>
      <w:r>
        <w:rPr>
          <w:rStyle w:val="FootnoteReference"/>
        </w:rPr>
        <w:footnoteReference w:id="26"/>
      </w:r>
      <w:r>
        <w:t xml:space="preserve">  Bebe filed reply comments in response.</w:t>
      </w:r>
      <w:r>
        <w:rPr>
          <w:rStyle w:val="FootnoteReference"/>
        </w:rPr>
        <w:footnoteReference w:id="27"/>
      </w:r>
    </w:p>
    <w:p w:rsidR="009D6044" w:rsidP="009D6044">
      <w:pPr>
        <w:pStyle w:val="ParaNum"/>
        <w:numPr>
          <w:ilvl w:val="0"/>
          <w:numId w:val="8"/>
        </w:numPr>
        <w:tabs>
          <w:tab w:val="clear" w:pos="1080"/>
          <w:tab w:val="num" w:pos="1440"/>
        </w:tabs>
        <w:spacing w:after="220"/>
      </w:pPr>
      <w:r>
        <w:t xml:space="preserve">Opponents of the </w:t>
      </w:r>
      <w:r>
        <w:rPr>
          <w:i/>
        </w:rPr>
        <w:t>bebe Petition</w:t>
      </w:r>
      <w:r>
        <w:t xml:space="preserve"> argue that bebe is not similarly situated to the prior waiver recipients because:  (1) bebe has not established and/or cannot establish that it has received prior express written consent for all autodialed or prerecorded telemarketing calls to wireless numbers;</w:t>
      </w:r>
      <w:r>
        <w:rPr>
          <w:rStyle w:val="FootnoteReference"/>
        </w:rPr>
        <w:footnoteReference w:id="28"/>
      </w:r>
      <w:r>
        <w:t xml:space="preserve"> (2) bebe improperly suggests that the mere provision of telephone numbers to a caller constitutes written consent;</w:t>
      </w:r>
      <w:r>
        <w:rPr>
          <w:rStyle w:val="FootnoteReference"/>
        </w:rPr>
        <w:footnoteReference w:id="29"/>
      </w:r>
      <w:r>
        <w:t xml:space="preserve"> (3) bebe seeks relief only because it has been sued for violating the TCPA and seeks to evade potential liability and circumvent the court’s class certification order;</w:t>
      </w:r>
      <w:r>
        <w:rPr>
          <w:rStyle w:val="FootnoteReference"/>
        </w:rPr>
        <w:footnoteReference w:id="30"/>
      </w:r>
      <w:r>
        <w:t xml:space="preserve"> (4) bebe seeks to avoid making an evidentiary showing regarding consent;</w:t>
      </w:r>
      <w:r>
        <w:rPr>
          <w:rStyle w:val="FootnoteReference"/>
        </w:rPr>
        <w:footnoteReference w:id="31"/>
      </w:r>
      <w:r>
        <w:t xml:space="preserve"> and (5) the requested waiver would far exceed the scope of previous waivers by covering calls made both to phone numbers obtained in writing and also to phone numbers obtained through oral exchanges at a point of sale.</w:t>
      </w:r>
      <w:r>
        <w:rPr>
          <w:rStyle w:val="FootnoteReference"/>
        </w:rPr>
        <w:footnoteReference w:id="32"/>
      </w:r>
      <w:r>
        <w:t xml:space="preserve">  </w:t>
      </w:r>
    </w:p>
    <w:p w:rsidR="009D6044" w:rsidP="009D6044">
      <w:pPr>
        <w:pStyle w:val="ParaNum"/>
        <w:numPr>
          <w:ilvl w:val="0"/>
          <w:numId w:val="8"/>
        </w:numPr>
        <w:tabs>
          <w:tab w:val="clear" w:pos="1080"/>
          <w:tab w:val="num" w:pos="1440"/>
        </w:tabs>
        <w:spacing w:after="220"/>
      </w:pPr>
      <w:r>
        <w:t xml:space="preserve">In response to these arguments, bebe asserts that the Meyer parties and other similarly situated individuals provided the requisite consent to being called by bebe prior to October 16, 2013 when </w:t>
      </w:r>
      <w:r>
        <w:t>they enrolled in bebe’s loyalty program, continued their membership in that program, and enjoyed the benefits of it.</w:t>
      </w:r>
      <w:r>
        <w:rPr>
          <w:rStyle w:val="FootnoteReference"/>
        </w:rPr>
        <w:footnoteReference w:id="33"/>
      </w:r>
      <w:r>
        <w:t xml:space="preserve">  Further, bebe asserts that the Meyer parties and other similarly situated individuals agreed to be bound by the full clubbebe terms and conditions, including consenting to bebe communicating with them using the information they voluntarily provided and consented to be called by bebe at any telephone number provided.</w:t>
      </w:r>
      <w:r>
        <w:rPr>
          <w:rStyle w:val="FootnoteReference"/>
        </w:rPr>
        <w:footnoteReference w:id="34"/>
      </w:r>
      <w:r>
        <w:t xml:space="preserve">  Bebe states that by their participation in clubbebe, including signing the receipts which reflected their membership number, the Meyer parties and other clubbebe members “manifested their assent to be bound by the written clubbebe Terms &amp; Conditions.”</w:t>
      </w:r>
      <w:r>
        <w:rPr>
          <w:rStyle w:val="FootnoteReference"/>
        </w:rPr>
        <w:footnoteReference w:id="35"/>
      </w:r>
      <w:r>
        <w:t xml:space="preserve">  Bebe additionally asserts that “the process by which customers enroll in clubbebe creates a contract between bebe and the customer, and the Terms and Conditions form the written contract between them.”</w:t>
      </w:r>
      <w:r>
        <w:rPr>
          <w:rStyle w:val="FootnoteReference"/>
        </w:rPr>
        <w:footnoteReference w:id="36"/>
      </w:r>
    </w:p>
    <w:p w:rsidR="009D6044" w:rsidP="009D6044">
      <w:pPr>
        <w:pStyle w:val="Heading1"/>
        <w:numPr>
          <w:ilvl w:val="0"/>
          <w:numId w:val="7"/>
        </w:numPr>
        <w:spacing w:after="220"/>
        <w:jc w:val="both"/>
      </w:pPr>
      <w:r w:rsidRPr="00F67974">
        <w:t>Discussion</w:t>
      </w:r>
    </w:p>
    <w:p w:rsidR="009D6044" w:rsidP="009D6044">
      <w:pPr>
        <w:pStyle w:val="ParaNum"/>
        <w:numPr>
          <w:ilvl w:val="0"/>
          <w:numId w:val="8"/>
        </w:numPr>
        <w:tabs>
          <w:tab w:val="clear" w:pos="1080"/>
          <w:tab w:val="num" w:pos="1440"/>
        </w:tabs>
        <w:spacing w:after="220"/>
      </w:pPr>
      <w:r>
        <w:t xml:space="preserve">In this Order, we grant waivers to ViSalus and bebe as described more fully below.  </w:t>
      </w:r>
      <w:r w:rsidRPr="00FE0C50">
        <w:t>Specifically, we find good cause exists</w:t>
      </w:r>
      <w:r>
        <w:t xml:space="preserve"> to grant individual retroactive waivers of section 64.1200(a)(2) of the Commission’s rules </w:t>
      </w:r>
      <w:r w:rsidR="006B7EF3">
        <w:t xml:space="preserve">to calls made on or before October 7, 2015 because petitioners have demonstrated that they are similarly situated to petitioners granted relief in the </w:t>
      </w:r>
      <w:r w:rsidR="006B7EF3">
        <w:rPr>
          <w:i/>
        </w:rPr>
        <w:t>2015 TCPA Declaratory Ruling</w:t>
      </w:r>
      <w:r w:rsidR="004D4542">
        <w:t>.</w:t>
      </w:r>
      <w:r>
        <w:t xml:space="preserve">  We emphasize that these waivers do not apply to calls for which there was not some form of </w:t>
      </w:r>
      <w:r w:rsidRPr="00C87381">
        <w:rPr>
          <w:i/>
        </w:rPr>
        <w:t>written</w:t>
      </w:r>
      <w:r>
        <w:t xml:space="preserve"> consent previously obtained prior to the 2012 rule changes.  </w:t>
      </w:r>
      <w:r w:rsidR="006B7EF3">
        <w:t>A</w:t>
      </w:r>
      <w:r>
        <w:t>fter October 7, 2015, we find that each petitioner should have been in full compliance with the Commission’s rules for each subject call</w:t>
      </w:r>
      <w:r w:rsidR="004D4542">
        <w:t>.</w:t>
      </w:r>
      <w:r>
        <w:t xml:space="preserve"> </w:t>
      </w:r>
    </w:p>
    <w:p w:rsidR="004D4542" w:rsidP="004D4542">
      <w:pPr>
        <w:pStyle w:val="ParaNum"/>
        <w:numPr>
          <w:ilvl w:val="0"/>
          <w:numId w:val="8"/>
        </w:numPr>
        <w:tabs>
          <w:tab w:val="clear" w:pos="1080"/>
          <w:tab w:val="left" w:pos="1440"/>
        </w:tabs>
        <w:spacing w:after="220"/>
      </w:pPr>
      <w:r>
        <w:t>The Commission may waive its rules for good cause shown.</w:t>
      </w:r>
      <w:r>
        <w:rPr>
          <w:rStyle w:val="FootnoteReference"/>
        </w:rPr>
        <w:footnoteReference w:id="37"/>
      </w:r>
      <w:r>
        <w:t xml:space="preserve">  A waiver may be granted if:  (1) the waiver would better serve the public interest than would application of the rule; and (2) special circumstances warrant a deviation from the general rule.</w:t>
      </w:r>
      <w:r>
        <w:rPr>
          <w:rStyle w:val="FootnoteReference"/>
        </w:rPr>
        <w:footnoteReference w:id="38"/>
      </w:r>
      <w:r>
        <w:t xml:space="preserve">  Generally, the Commission or th</w:t>
      </w:r>
      <w:r>
        <w:t>e</w:t>
      </w:r>
      <w:r>
        <w:t xml:space="preserve"> Bureau, through properly exercised delegated authority, may waive</w:t>
      </w:r>
      <w:r>
        <w:t xml:space="preserve"> </w:t>
      </w:r>
      <w:r>
        <w:t xml:space="preserve">Commission rules if the relief requested would not undermine the </w:t>
      </w:r>
      <w:r>
        <w:t xml:space="preserve">rule’s </w:t>
      </w:r>
      <w:r>
        <w:t>policy objectives and would otherwise serve the public interest.</w:t>
      </w:r>
      <w:r>
        <w:rPr>
          <w:rStyle w:val="FootnoteReference"/>
        </w:rPr>
        <w:footnoteReference w:id="39"/>
      </w:r>
      <w:r>
        <w:t xml:space="preserve">  </w:t>
      </w:r>
      <w:r w:rsidR="006B7EF3">
        <w:t>The Commission and th</w:t>
      </w:r>
      <w:r>
        <w:t>e</w:t>
      </w:r>
      <w:r w:rsidR="006B7EF3">
        <w:t xml:space="preserve"> Bureau </w:t>
      </w:r>
      <w:r>
        <w:t xml:space="preserve">have each </w:t>
      </w:r>
      <w:r w:rsidR="006B7EF3">
        <w:t>previously found</w:t>
      </w:r>
      <w:r>
        <w:rPr>
          <w:i/>
        </w:rPr>
        <w:t xml:space="preserve"> </w:t>
      </w:r>
      <w:r w:rsidR="006B7EF3">
        <w:t xml:space="preserve">that special circumstances </w:t>
      </w:r>
      <w:r>
        <w:t xml:space="preserve">similar to petitioners’ </w:t>
      </w:r>
      <w:r w:rsidR="006B7EF3">
        <w:t xml:space="preserve">warranted </w:t>
      </w:r>
      <w:r>
        <w:t>waivers.</w:t>
      </w:r>
      <w:r>
        <w:rPr>
          <w:rStyle w:val="FootnoteReference"/>
        </w:rPr>
        <w:footnoteReference w:id="40"/>
      </w:r>
      <w:r w:rsidR="006B7EF3">
        <w:t xml:space="preserve">  </w:t>
      </w:r>
    </w:p>
    <w:p w:rsidR="009D6044" w:rsidP="001B307E">
      <w:pPr>
        <w:pStyle w:val="ParaNum"/>
        <w:numPr>
          <w:ilvl w:val="0"/>
          <w:numId w:val="8"/>
        </w:numPr>
        <w:tabs>
          <w:tab w:val="clear" w:pos="1080"/>
          <w:tab w:val="left" w:pos="1440"/>
        </w:tabs>
        <w:spacing w:after="220"/>
      </w:pPr>
      <w:r>
        <w:t xml:space="preserve">We find that the two petitioners before us have adequately demonstrated that they are similarly situated to </w:t>
      </w:r>
      <w:r w:rsidR="004D4542">
        <w:t xml:space="preserve">earlier </w:t>
      </w:r>
      <w:r>
        <w:t>waiver recipients</w:t>
      </w:r>
      <w:r w:rsidR="004D4542">
        <w:t>.</w:t>
      </w:r>
      <w:r>
        <w:rPr>
          <w:rStyle w:val="FootnoteReference"/>
        </w:rPr>
        <w:footnoteReference w:id="41"/>
      </w:r>
      <w:r>
        <w:t xml:space="preserve"> </w:t>
      </w:r>
      <w:r w:rsidR="00DE4337">
        <w:t xml:space="preserve"> </w:t>
      </w:r>
      <w:r w:rsidR="004D4542">
        <w:t xml:space="preserve">Specifically, both </w:t>
      </w:r>
      <w:r w:rsidRPr="0047771D" w:rsidR="004D4542">
        <w:t xml:space="preserve">petitioners assert that there was </w:t>
      </w:r>
      <w:r w:rsidRPr="0047771D" w:rsidR="004D4542">
        <w:t xml:space="preserve">industry-wide confusion after the </w:t>
      </w:r>
      <w:r w:rsidRPr="00BC50AE" w:rsidR="004D4542">
        <w:rPr>
          <w:i/>
        </w:rPr>
        <w:t>2012 TCPA Order</w:t>
      </w:r>
      <w:r w:rsidRPr="0047771D" w:rsidR="004D4542">
        <w:t xml:space="preserve"> went into effec</w:t>
      </w:r>
      <w:r w:rsidR="004D4542">
        <w:t>t,</w:t>
      </w:r>
      <w:r w:rsidRPr="0047771D" w:rsidR="004D4542">
        <w:t xml:space="preserve"> that they need</w:t>
      </w:r>
      <w:r w:rsidR="004D4542">
        <w:t>ed</w:t>
      </w:r>
      <w:r w:rsidRPr="0047771D" w:rsidR="004D4542">
        <w:t xml:space="preserve"> more time to obtain new consents under the </w:t>
      </w:r>
      <w:r w:rsidRPr="00BC50AE" w:rsidR="004D4542">
        <w:rPr>
          <w:i/>
        </w:rPr>
        <w:t>2012 TCPA Order</w:t>
      </w:r>
      <w:r w:rsidR="004D4542">
        <w:t>,</w:t>
      </w:r>
      <w:r w:rsidRPr="0047771D" w:rsidR="004D4542">
        <w:t xml:space="preserve"> and that they would benefit from a retroactive waiver.</w:t>
      </w:r>
      <w:r>
        <w:rPr>
          <w:rStyle w:val="FootnoteReference"/>
        </w:rPr>
        <w:footnoteReference w:id="42"/>
      </w:r>
      <w:r w:rsidRPr="0047771D" w:rsidR="004D4542">
        <w:t xml:space="preserve">  </w:t>
      </w:r>
      <w:r w:rsidR="004D4542">
        <w:t xml:space="preserve">Both have </w:t>
      </w:r>
      <w:r w:rsidRPr="0047771D" w:rsidR="004D4542">
        <w:t xml:space="preserve">demonstrated that they incorrectly but reasonably interpreted the Commission’s </w:t>
      </w:r>
      <w:r w:rsidRPr="00981859" w:rsidR="004D4542">
        <w:rPr>
          <w:i/>
        </w:rPr>
        <w:t>2012 TCPA Order</w:t>
      </w:r>
      <w:r w:rsidRPr="0047771D" w:rsidR="004D4542">
        <w:t xml:space="preserve"> by citing that order’s language and the lack of evidence to refute their claimed confusion.</w:t>
      </w:r>
      <w:r>
        <w:rPr>
          <w:rStyle w:val="FootnoteReference"/>
        </w:rPr>
        <w:footnoteReference w:id="43"/>
      </w:r>
      <w:r w:rsidR="004D4542">
        <w:t xml:space="preserve">  Finally, we note that neither petitioner</w:t>
      </w:r>
      <w:r w:rsidR="00DE4337">
        <w:t xml:space="preserve"> is</w:t>
      </w:r>
      <w:r w:rsidR="004D4542">
        <w:t xml:space="preserve"> required to provide </w:t>
      </w:r>
      <w:r w:rsidRPr="0047771D" w:rsidR="004D4542">
        <w:t>proof of actual confusion</w:t>
      </w:r>
      <w:r w:rsidR="004D4542">
        <w:t xml:space="preserve">, consistent with our precedent, and there is no </w:t>
      </w:r>
      <w:r w:rsidR="004E5F2E">
        <w:t xml:space="preserve">evidence in the record that </w:t>
      </w:r>
      <w:r w:rsidR="004D4542">
        <w:t xml:space="preserve">challenges </w:t>
      </w:r>
      <w:r w:rsidR="004E5F2E">
        <w:t xml:space="preserve">their claimed confusion.  </w:t>
      </w:r>
    </w:p>
    <w:p w:rsidR="00FA2461" w:rsidP="00432DC2">
      <w:pPr>
        <w:pStyle w:val="ParaNum"/>
        <w:numPr>
          <w:ilvl w:val="0"/>
          <w:numId w:val="8"/>
        </w:numPr>
        <w:tabs>
          <w:tab w:val="clear" w:pos="1080"/>
          <w:tab w:val="num" w:pos="1440"/>
        </w:tabs>
        <w:spacing w:after="220"/>
      </w:pPr>
      <w:r>
        <w:t>While there is no dispute in the record that ViSalus obtained written consent for the calls at issue, the record indicates that bebe may not have done so for each such call.</w:t>
      </w:r>
      <w:r>
        <w:rPr>
          <w:rStyle w:val="FootnoteReference"/>
        </w:rPr>
        <w:footnoteReference w:id="44"/>
      </w:r>
      <w:r w:rsidR="00036A44">
        <w:t xml:space="preserve">  As the Meyer parties point out, bebe </w:t>
      </w:r>
      <w:r w:rsidRPr="00697A95" w:rsidR="00036A44">
        <w:t>describe</w:t>
      </w:r>
      <w:r w:rsidR="00036A44">
        <w:t>s</w:t>
      </w:r>
      <w:r w:rsidRPr="00697A95" w:rsidR="00036A44">
        <w:t xml:space="preserve"> </w:t>
      </w:r>
      <w:r>
        <w:t xml:space="preserve">one of its methods to get consent </w:t>
      </w:r>
      <w:r w:rsidR="00356CD5">
        <w:t xml:space="preserve">requiring only oral consent from </w:t>
      </w:r>
      <w:r w:rsidR="00965636">
        <w:t xml:space="preserve">the </w:t>
      </w:r>
      <w:r w:rsidR="00356CD5">
        <w:t>consumer when providing their telephone number.</w:t>
      </w:r>
      <w:r>
        <w:rPr>
          <w:rStyle w:val="FootnoteReference"/>
        </w:rPr>
        <w:footnoteReference w:id="45"/>
      </w:r>
      <w:r w:rsidR="00036A44">
        <w:t xml:space="preserve">  </w:t>
      </w:r>
      <w:r w:rsidR="00DC46CD">
        <w:t xml:space="preserve">In </w:t>
      </w:r>
      <w:r w:rsidR="00356CD5">
        <w:t xml:space="preserve">its </w:t>
      </w:r>
      <w:r w:rsidR="00DC46CD">
        <w:t>reply, b</w:t>
      </w:r>
      <w:r w:rsidR="00036A44">
        <w:t xml:space="preserve">ebe </w:t>
      </w:r>
      <w:r w:rsidR="00356CD5">
        <w:t>is not clear whether it in fact obtained written consent under our earlier rule.</w:t>
      </w:r>
      <w:r>
        <w:rPr>
          <w:rStyle w:val="FootnoteReference"/>
        </w:rPr>
        <w:footnoteReference w:id="46"/>
      </w:r>
      <w:r w:rsidR="00036A44">
        <w:t xml:space="preserve">  </w:t>
      </w:r>
      <w:r w:rsidR="00356CD5">
        <w:t>We thus emphasize that this waiver applies only to calls for which bebe obtained written consent.</w:t>
      </w:r>
      <w:r w:rsidR="00356CD5">
        <w:t xml:space="preserve"> </w:t>
      </w:r>
    </w:p>
    <w:p w:rsidR="009D6044" w:rsidP="004B614C">
      <w:pPr>
        <w:pStyle w:val="ParaNum"/>
        <w:numPr>
          <w:ilvl w:val="0"/>
          <w:numId w:val="8"/>
        </w:numPr>
        <w:tabs>
          <w:tab w:val="clear" w:pos="1080"/>
          <w:tab w:val="num" w:pos="1440"/>
        </w:tabs>
        <w:spacing w:after="220"/>
      </w:pPr>
      <w:r>
        <w:t xml:space="preserve">Finally, we reject the other arguments of those opposing </w:t>
      </w:r>
      <w:r w:rsidR="004B614C">
        <w:t>bebe’s</w:t>
      </w:r>
      <w:r>
        <w:t xml:space="preserve"> waiver.  Consistent with previous waiver grants, we find the relief bebe seeks here is rooted in uncertainty in the Commission’s 2012 order, irrespective of ongoing TCPA litigation.</w:t>
      </w:r>
      <w:r>
        <w:rPr>
          <w:rStyle w:val="FootnoteReference"/>
        </w:rPr>
        <w:footnoteReference w:id="47"/>
      </w:r>
      <w:r>
        <w:t xml:space="preserve">  We also find unavailing the argument that bebe merely seeks to avoid making a showing on consent it obtained for specific calls because the confusion bebe and others have demonstrated in seeking waivers is exactly the reason they cannot produce evidence of </w:t>
      </w:r>
      <w:r w:rsidR="00432DC2">
        <w:t>consent under the new rules.</w:t>
      </w:r>
    </w:p>
    <w:p w:rsidR="009D6044" w:rsidRPr="009E1648" w:rsidP="009D6044">
      <w:pPr>
        <w:pStyle w:val="Heading1"/>
        <w:numPr>
          <w:ilvl w:val="0"/>
          <w:numId w:val="7"/>
        </w:numPr>
        <w:spacing w:after="220"/>
        <w:jc w:val="both"/>
      </w:pPr>
      <w:r w:rsidRPr="00D664C0">
        <w:t>ordering clause</w:t>
      </w:r>
      <w:r>
        <w:t>S</w:t>
      </w:r>
    </w:p>
    <w:p w:rsidR="009D6044" w:rsidP="009D6044">
      <w:pPr>
        <w:pStyle w:val="ParaNum"/>
        <w:widowControl/>
        <w:numPr>
          <w:ilvl w:val="0"/>
          <w:numId w:val="8"/>
        </w:numPr>
        <w:tabs>
          <w:tab w:val="clear" w:pos="1080"/>
          <w:tab w:val="num" w:pos="1440"/>
        </w:tabs>
        <w:spacing w:after="220"/>
      </w:pPr>
      <w:r>
        <w:t>A</w:t>
      </w:r>
      <w:r w:rsidRPr="0033593C">
        <w:t xml:space="preserve">ccordingly, </w:t>
      </w:r>
      <w:r w:rsidRPr="00C879C8">
        <w:rPr>
          <w:caps/>
        </w:rPr>
        <w:t xml:space="preserve">it is </w:t>
      </w:r>
      <w:r w:rsidRPr="0033593C">
        <w:t xml:space="preserve">ORDERED, pursuant to sections </w:t>
      </w:r>
      <w:r>
        <w:t>4(i), 4(j) and</w:t>
      </w:r>
      <w:r w:rsidRPr="0033593C">
        <w:t xml:space="preserve"> 227 of the Communications Act of 1934, as amended, 47 U.S.C. §§ 15</w:t>
      </w:r>
      <w:r>
        <w:t>4(i), 154(j)</w:t>
      </w:r>
      <w:r w:rsidRPr="0033593C">
        <w:t xml:space="preserve">, 227, </w:t>
      </w:r>
      <w:r>
        <w:t xml:space="preserve">and </w:t>
      </w:r>
      <w:r w:rsidRPr="0033593C">
        <w:t xml:space="preserve">sections </w:t>
      </w:r>
      <w:r>
        <w:t xml:space="preserve">1.3, </w:t>
      </w:r>
      <w:r w:rsidRPr="0033593C">
        <w:t xml:space="preserve">64.1200 of the Commission’s </w:t>
      </w:r>
      <w:r w:rsidRPr="00C87F00">
        <w:t>rules</w:t>
      </w:r>
      <w:r w:rsidRPr="0033593C">
        <w:t xml:space="preserve">, 47 CFR §§ </w:t>
      </w:r>
      <w:r>
        <w:t>1.3,</w:t>
      </w:r>
      <w:r w:rsidRPr="0033593C">
        <w:t xml:space="preserve"> 64.1200, and pursuant to the authority delegated in sections 0.141 and 0.361 of the Commission’s </w:t>
      </w:r>
      <w:r w:rsidRPr="00C87F00">
        <w:t>rules</w:t>
      </w:r>
      <w:r w:rsidRPr="0033593C">
        <w:t xml:space="preserve">, 47 CFR §§ 0.141, 0.361, that </w:t>
      </w:r>
      <w:r>
        <w:t xml:space="preserve">the </w:t>
      </w:r>
      <w:r w:rsidRPr="008D7F1F">
        <w:t>Petition for Retroactive Waiver and Request for Expedited Rulin</w:t>
      </w:r>
      <w:r>
        <w:t xml:space="preserve">g, </w:t>
      </w:r>
      <w:r w:rsidRPr="0033593C">
        <w:t xml:space="preserve">filed by </w:t>
      </w:r>
      <w:r>
        <w:t xml:space="preserve">ViSalus, Inc. </w:t>
      </w:r>
      <w:r w:rsidR="007239C2">
        <w:t xml:space="preserve">in CG Docket No. 02-278 </w:t>
      </w:r>
      <w:r>
        <w:t xml:space="preserve">on September 14, 2017 IS </w:t>
      </w:r>
      <w:r w:rsidRPr="0033593C">
        <w:t>GRANTED</w:t>
      </w:r>
      <w:r>
        <w:t>.</w:t>
      </w:r>
    </w:p>
    <w:p w:rsidR="009D6044" w:rsidP="009D6044">
      <w:pPr>
        <w:pStyle w:val="ParaNum"/>
        <w:widowControl/>
        <w:numPr>
          <w:ilvl w:val="0"/>
          <w:numId w:val="8"/>
        </w:numPr>
        <w:tabs>
          <w:tab w:val="clear" w:pos="1080"/>
          <w:tab w:val="num" w:pos="1440"/>
        </w:tabs>
        <w:spacing w:after="220"/>
      </w:pPr>
      <w:r w:rsidRPr="0033593C">
        <w:rPr>
          <w:caps/>
        </w:rPr>
        <w:t xml:space="preserve">it is </w:t>
      </w:r>
      <w:r>
        <w:rPr>
          <w:caps/>
        </w:rPr>
        <w:t xml:space="preserve">FURTHER </w:t>
      </w:r>
      <w:r w:rsidRPr="0033593C">
        <w:t xml:space="preserve">ORDERED, pursuant to sections </w:t>
      </w:r>
      <w:r>
        <w:t>4(i), 4(j) and</w:t>
      </w:r>
      <w:r w:rsidRPr="0033593C">
        <w:t xml:space="preserve"> 227 of the Communications Act of 1934, as amended, 47 U.S.C. §§ 15</w:t>
      </w:r>
      <w:r>
        <w:t>4(i), 154(j)</w:t>
      </w:r>
      <w:r w:rsidRPr="0033593C">
        <w:t xml:space="preserve">, 227, </w:t>
      </w:r>
      <w:r>
        <w:t xml:space="preserve">and </w:t>
      </w:r>
      <w:r w:rsidRPr="0033593C">
        <w:t xml:space="preserve">sections </w:t>
      </w:r>
      <w:r>
        <w:t xml:space="preserve">1.3, </w:t>
      </w:r>
      <w:r w:rsidRPr="0033593C">
        <w:t xml:space="preserve">64.1200 of the Commission’s rules, 47 CFR §§ </w:t>
      </w:r>
      <w:r>
        <w:t>1.3,</w:t>
      </w:r>
      <w:r w:rsidRPr="0033593C">
        <w:t xml:space="preserve"> 64.1200, and pursuant to the authority delegated in sections 0.141 and 0.361 of the Commission’s rules, 47 CFR §§ 0.141, 0.361, that the </w:t>
      </w:r>
      <w:r w:rsidRPr="008D7F1F">
        <w:t xml:space="preserve">Petition for Expedited </w:t>
      </w:r>
      <w:r w:rsidRPr="008D7F1F">
        <w:t>Declaratory Ruling Granting a Limited, Retroactive Waiver of 47 CFR § 64.1200(a)(2) of the Federal Communications Commission’s Rules,</w:t>
      </w:r>
      <w:r>
        <w:t xml:space="preserve"> </w:t>
      </w:r>
      <w:r w:rsidRPr="009B3ECF">
        <w:t>filed by</w:t>
      </w:r>
      <w:r>
        <w:t xml:space="preserve"> bebe stores, inc.</w:t>
      </w:r>
      <w:r w:rsidRPr="009B3ECF">
        <w:t xml:space="preserve"> </w:t>
      </w:r>
      <w:r w:rsidR="007239C2">
        <w:t xml:space="preserve">in CG Docket No. 02-278 </w:t>
      </w:r>
      <w:r>
        <w:t>on November 18</w:t>
      </w:r>
      <w:r w:rsidRPr="009B3ECF">
        <w:t>, 201</w:t>
      </w:r>
      <w:r>
        <w:t xml:space="preserve">6 IS </w:t>
      </w:r>
      <w:r w:rsidRPr="0033593C">
        <w:t>GRANTED IN PART AND OTHERWISE D</w:t>
      </w:r>
      <w:r>
        <w:t>ENIED</w:t>
      </w:r>
      <w:r w:rsidRPr="0033593C">
        <w:t xml:space="preserve"> to the extent indicated herein.</w:t>
      </w:r>
    </w:p>
    <w:p w:rsidR="009D6044" w:rsidRPr="00D664C0" w:rsidP="009D6044">
      <w:pPr>
        <w:pStyle w:val="ParaNum"/>
        <w:widowControl/>
        <w:numPr>
          <w:ilvl w:val="0"/>
          <w:numId w:val="8"/>
        </w:numPr>
        <w:tabs>
          <w:tab w:val="clear" w:pos="1080"/>
          <w:tab w:val="num" w:pos="1440"/>
        </w:tabs>
        <w:spacing w:after="220"/>
      </w:pPr>
      <w:r w:rsidRPr="00D664C0">
        <w:t xml:space="preserve">IT IS FURTHER ORDERED that this </w:t>
      </w:r>
      <w:r>
        <w:t>ORDER</w:t>
      </w:r>
      <w:r w:rsidRPr="00D664C0">
        <w:t xml:space="preserve"> shall be effective upon release.</w:t>
      </w:r>
      <w:r>
        <w:t xml:space="preserve"> </w:t>
      </w:r>
    </w:p>
    <w:p w:rsidR="009D6044" w:rsidP="009D6044">
      <w:pPr>
        <w:keepNext/>
        <w:ind w:firstLine="4320"/>
      </w:pPr>
    </w:p>
    <w:p w:rsidR="009D6044" w:rsidP="009D6044">
      <w:pPr>
        <w:keepNext/>
        <w:ind w:firstLine="4320"/>
      </w:pPr>
    </w:p>
    <w:p w:rsidR="009D6044" w:rsidP="009D6044">
      <w:pPr>
        <w:keepNext/>
        <w:ind w:firstLine="4320"/>
      </w:pPr>
      <w:r>
        <w:t>FEDERAL COMMUNICATIONS COMMISSION</w:t>
      </w:r>
    </w:p>
    <w:p w:rsidR="009D6044" w:rsidP="009D6044">
      <w:pPr>
        <w:keepNext/>
        <w:ind w:firstLine="4320"/>
      </w:pPr>
    </w:p>
    <w:p w:rsidR="009D6044" w:rsidP="009D6044">
      <w:r>
        <w:tab/>
      </w:r>
      <w:r>
        <w:tab/>
      </w:r>
      <w:r>
        <w:tab/>
      </w:r>
      <w:r>
        <w:tab/>
      </w:r>
      <w:r>
        <w:tab/>
      </w:r>
      <w:r>
        <w:tab/>
      </w:r>
    </w:p>
    <w:p w:rsidR="009D6044" w:rsidP="009D6044">
      <w:r>
        <w:tab/>
      </w:r>
      <w:r>
        <w:tab/>
      </w:r>
      <w:r>
        <w:tab/>
      </w:r>
      <w:r>
        <w:tab/>
      </w:r>
      <w:r>
        <w:tab/>
      </w:r>
      <w:r>
        <w:tab/>
      </w:r>
    </w:p>
    <w:p w:rsidR="009D6044" w:rsidP="009D6044">
      <w:pPr>
        <w:ind w:firstLine="4320"/>
      </w:pPr>
    </w:p>
    <w:p w:rsidR="009D6044" w:rsidP="009D6044">
      <w:pPr>
        <w:ind w:firstLine="4320"/>
      </w:pPr>
    </w:p>
    <w:p w:rsidR="009D6044" w:rsidP="009D6044">
      <w:pPr>
        <w:ind w:firstLine="4320"/>
      </w:pPr>
      <w:r>
        <w:t>Patrick Webre</w:t>
      </w:r>
    </w:p>
    <w:p w:rsidR="009D6044" w:rsidP="009D6044">
      <w:pPr>
        <w:ind w:firstLine="4320"/>
      </w:pPr>
      <w:r>
        <w:t xml:space="preserve">Chief </w:t>
      </w:r>
    </w:p>
    <w:p w:rsidR="009D6044" w:rsidP="009D6044">
      <w:pPr>
        <w:ind w:firstLine="4320"/>
      </w:pPr>
      <w:r>
        <w:t xml:space="preserve">Consumer and Governmental Affairs Bureau </w:t>
      </w:r>
    </w:p>
    <w:p w:rsidR="009D6044" w:rsidP="009D6044">
      <w:pPr>
        <w:pStyle w:val="ParaNum"/>
        <w:numPr>
          <w:ilvl w:val="0"/>
          <w:numId w:val="0"/>
        </w:numPr>
        <w:jc w:val="center"/>
        <w:rPr>
          <w:b/>
          <w:bCs/>
        </w:rPr>
      </w:pPr>
      <w:r>
        <w:br w:type="page"/>
      </w:r>
      <w:r>
        <w:rPr>
          <w:b/>
          <w:bCs/>
        </w:rPr>
        <w:t>Appendix A</w:t>
      </w:r>
    </w:p>
    <w:p w:rsidR="009D6044" w:rsidP="009D6044">
      <w:pPr>
        <w:pStyle w:val="ParaNum"/>
        <w:numPr>
          <w:ilvl w:val="0"/>
          <w:numId w:val="0"/>
        </w:numPr>
        <w:jc w:val="center"/>
        <w:rPr>
          <w:b/>
          <w:bCs/>
        </w:rPr>
      </w:pPr>
      <w:r>
        <w:rPr>
          <w:b/>
          <w:bCs/>
        </w:rPr>
        <w:t xml:space="preserve">List of Commenters </w:t>
      </w:r>
    </w:p>
    <w:p w:rsidR="009D6044" w:rsidP="009D6044">
      <w:pPr>
        <w:tabs>
          <w:tab w:val="left" w:pos="-720"/>
        </w:tabs>
        <w:suppressAutoHyphens/>
      </w:pPr>
      <w:r>
        <w:t>The following parties filed comments in response to the two Public Notices issued in this matter (CG Docket 02-278):</w:t>
      </w:r>
    </w:p>
    <w:p w:rsidR="009D6044" w:rsidP="009D6044"/>
    <w:p w:rsidR="009D6044" w:rsidRPr="00E1437F" w:rsidP="009D6044">
      <w:pPr>
        <w:tabs>
          <w:tab w:val="left" w:pos="6300"/>
        </w:tabs>
      </w:pPr>
      <w:r>
        <w:rPr>
          <w:b/>
          <w:u w:val="single"/>
        </w:rPr>
        <w:t>Commenter</w:t>
      </w:r>
      <w:r>
        <w:tab/>
      </w:r>
      <w:r>
        <w:rPr>
          <w:b/>
          <w:u w:val="single"/>
        </w:rPr>
        <w:t>Petition</w:t>
      </w:r>
      <w:r>
        <w:rPr>
          <w:b/>
        </w:rPr>
        <w:tab/>
      </w:r>
      <w:r>
        <w:rPr>
          <w:b/>
        </w:rPr>
        <w:tab/>
      </w:r>
      <w:r w:rsidRPr="00E1437F">
        <w:rPr>
          <w:b/>
          <w:u w:val="single"/>
        </w:rPr>
        <w:t>Abbreviation</w:t>
      </w:r>
      <w:r w:rsidRPr="00E1437F">
        <w:tab/>
      </w:r>
    </w:p>
    <w:p w:rsidR="009D6044" w:rsidP="009D6044">
      <w:pPr>
        <w:tabs>
          <w:tab w:val="left" w:pos="6300"/>
        </w:tabs>
        <w:rPr>
          <w:bCs/>
        </w:rPr>
      </w:pPr>
    </w:p>
    <w:p w:rsidR="009D6044" w:rsidP="009D6044">
      <w:pPr>
        <w:tabs>
          <w:tab w:val="left" w:pos="6300"/>
        </w:tabs>
        <w:rPr>
          <w:bCs/>
        </w:rPr>
      </w:pPr>
      <w:r>
        <w:rPr>
          <w:bCs/>
        </w:rPr>
        <w:t xml:space="preserve">Melita Meyer, Samantha Rodriquez, Courtney Barrett </w:t>
      </w:r>
    </w:p>
    <w:p w:rsidR="009D6044" w:rsidRPr="00445EFC" w:rsidP="009D6044">
      <w:pPr>
        <w:tabs>
          <w:tab w:val="left" w:pos="6300"/>
        </w:tabs>
        <w:rPr>
          <w:bCs/>
        </w:rPr>
      </w:pPr>
      <w:r>
        <w:rPr>
          <w:bCs/>
        </w:rPr>
        <w:t xml:space="preserve">and the </w:t>
      </w:r>
      <w:r>
        <w:rPr>
          <w:bCs/>
          <w:i/>
        </w:rPr>
        <w:t xml:space="preserve">Meyer </w:t>
      </w:r>
      <w:r>
        <w:rPr>
          <w:bCs/>
        </w:rPr>
        <w:t xml:space="preserve">Classes </w:t>
      </w:r>
      <w:r>
        <w:rPr>
          <w:bCs/>
        </w:rPr>
        <w:tab/>
        <w:t xml:space="preserve">bebe </w:t>
      </w:r>
      <w:r>
        <w:rPr>
          <w:bCs/>
        </w:rPr>
        <w:tab/>
      </w:r>
      <w:r>
        <w:rPr>
          <w:bCs/>
        </w:rPr>
        <w:tab/>
      </w:r>
      <w:r w:rsidRPr="00C2595D">
        <w:rPr>
          <w:bCs/>
        </w:rPr>
        <w:t>Meyer</w:t>
      </w:r>
      <w:r>
        <w:rPr>
          <w:bCs/>
        </w:rPr>
        <w:t xml:space="preserve"> parties</w:t>
      </w:r>
    </w:p>
    <w:p w:rsidR="009D6044" w:rsidP="009D6044">
      <w:pPr>
        <w:tabs>
          <w:tab w:val="left" w:pos="6300"/>
        </w:tabs>
        <w:rPr>
          <w:bCs/>
        </w:rPr>
      </w:pPr>
      <w:r>
        <w:rPr>
          <w:bCs/>
        </w:rPr>
        <w:tab/>
      </w:r>
    </w:p>
    <w:p w:rsidR="009D6044" w:rsidRPr="00445EFC" w:rsidP="009D6044">
      <w:pPr>
        <w:tabs>
          <w:tab w:val="left" w:pos="6300"/>
        </w:tabs>
        <w:rPr>
          <w:b/>
          <w:bCs/>
        </w:rPr>
      </w:pPr>
      <w:r w:rsidRPr="00445EFC">
        <w:rPr>
          <w:b/>
          <w:bCs/>
        </w:rPr>
        <w:t xml:space="preserve">bebe </w:t>
      </w:r>
      <w:r>
        <w:rPr>
          <w:b/>
          <w:bCs/>
        </w:rPr>
        <w:t>s</w:t>
      </w:r>
      <w:r w:rsidRPr="00445EFC">
        <w:rPr>
          <w:b/>
          <w:bCs/>
        </w:rPr>
        <w:t xml:space="preserve">tores, </w:t>
      </w:r>
      <w:r>
        <w:rPr>
          <w:b/>
          <w:bCs/>
        </w:rPr>
        <w:t>i</w:t>
      </w:r>
      <w:r w:rsidRPr="00445EFC">
        <w:rPr>
          <w:b/>
          <w:bCs/>
        </w:rPr>
        <w:t>nc.</w:t>
      </w:r>
      <w:r>
        <w:rPr>
          <w:b/>
          <w:bCs/>
        </w:rPr>
        <w:tab/>
      </w:r>
      <w:r w:rsidRPr="00C2595D">
        <w:rPr>
          <w:bCs/>
        </w:rPr>
        <w:t>b</w:t>
      </w:r>
      <w:r>
        <w:rPr>
          <w:bCs/>
        </w:rPr>
        <w:t xml:space="preserve">ebe </w:t>
      </w:r>
      <w:r>
        <w:rPr>
          <w:bCs/>
        </w:rPr>
        <w:tab/>
      </w:r>
      <w:r>
        <w:rPr>
          <w:bCs/>
        </w:rPr>
        <w:tab/>
        <w:t xml:space="preserve"> </w:t>
      </w:r>
    </w:p>
    <w:p w:rsidR="009D6044" w:rsidP="009D6044">
      <w:pPr>
        <w:tabs>
          <w:tab w:val="left" w:pos="0"/>
          <w:tab w:val="left" w:pos="180"/>
          <w:tab w:val="left" w:pos="720"/>
          <w:tab w:val="left" w:pos="5760"/>
        </w:tabs>
        <w:suppressAutoHyphens/>
        <w:rPr>
          <w:b/>
          <w:bCs/>
        </w:rPr>
      </w:pPr>
    </w:p>
    <w:p w:rsidR="009D6044" w:rsidP="009D6044">
      <w:pPr>
        <w:tabs>
          <w:tab w:val="left" w:pos="6300"/>
        </w:tabs>
        <w:ind w:left="360"/>
      </w:pPr>
    </w:p>
    <w:p w:rsidR="009D6044" w:rsidP="009D6044">
      <w:pPr>
        <w:tabs>
          <w:tab w:val="left" w:pos="6300"/>
        </w:tabs>
        <w:ind w:left="360"/>
      </w:pPr>
    </w:p>
    <w:p w:rsidR="009D6044" w:rsidP="009D6044">
      <w:pPr>
        <w:tabs>
          <w:tab w:val="left" w:pos="6300"/>
        </w:tabs>
        <w:ind w:left="360"/>
      </w:pPr>
    </w:p>
    <w:p w:rsidR="009D6044" w:rsidP="009D6044">
      <w:pPr>
        <w:tabs>
          <w:tab w:val="left" w:pos="6300"/>
        </w:tabs>
        <w:ind w:left="360"/>
      </w:pPr>
      <w:r w:rsidRPr="00AC5D15">
        <w:rPr>
          <w:b/>
        </w:rPr>
        <w:t>bold</w:t>
      </w:r>
      <w:r>
        <w:t xml:space="preserve"> – filing reply comments only.  </w:t>
      </w:r>
    </w:p>
    <w:p w:rsidR="009D6044" w:rsidP="009D6044">
      <w:pPr>
        <w:tabs>
          <w:tab w:val="left" w:pos="6300"/>
        </w:tabs>
        <w:ind w:left="360"/>
      </w:pPr>
    </w:p>
    <w:p w:rsidR="00412FC5" w:rsidRPr="009D6044" w:rsidP="009D604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5F36">
      <w:r>
        <w:separator/>
      </w:r>
    </w:p>
  </w:footnote>
  <w:footnote w:type="continuationSeparator" w:id="1">
    <w:p w:rsidR="00295F36" w:rsidP="00C721AC">
      <w:pPr>
        <w:spacing w:before="120"/>
        <w:rPr>
          <w:sz w:val="20"/>
        </w:rPr>
      </w:pPr>
      <w:r>
        <w:rPr>
          <w:sz w:val="20"/>
        </w:rPr>
        <w:t xml:space="preserve">(Continued from previous page)  </w:t>
      </w:r>
      <w:r>
        <w:rPr>
          <w:sz w:val="20"/>
        </w:rPr>
        <w:separator/>
      </w:r>
    </w:p>
  </w:footnote>
  <w:footnote w:type="continuationNotice" w:id="2">
    <w:p w:rsidR="00295F36" w:rsidP="00C721AC">
      <w:pPr>
        <w:jc w:val="right"/>
        <w:rPr>
          <w:sz w:val="20"/>
        </w:rPr>
      </w:pPr>
      <w:r>
        <w:rPr>
          <w:sz w:val="20"/>
        </w:rPr>
        <w:t>(continued….)</w:t>
      </w:r>
    </w:p>
  </w:footnote>
  <w:footnote w:id="3">
    <w:p w:rsidR="009D6044" w:rsidRPr="00DA3AFC" w:rsidP="009D6044">
      <w:pPr>
        <w:pStyle w:val="FootnoteText"/>
      </w:pPr>
      <w:r>
        <w:rPr>
          <w:rStyle w:val="FootnoteReference"/>
        </w:rPr>
        <w:footnoteRef/>
      </w:r>
      <w:r>
        <w:t xml:space="preserve"> </w:t>
      </w:r>
      <w:r>
        <w:rPr>
          <w:i/>
        </w:rPr>
        <w:t xml:space="preserve">See </w:t>
      </w:r>
      <w:r w:rsidRPr="009B3ECF">
        <w:rPr>
          <w:i/>
        </w:rPr>
        <w:t xml:space="preserve">Petition for Expedited Declaratory Ruling </w:t>
      </w:r>
      <w:r>
        <w:rPr>
          <w:i/>
        </w:rPr>
        <w:t xml:space="preserve">Granting a Limited, </w:t>
      </w:r>
      <w:r w:rsidRPr="00290D4E">
        <w:rPr>
          <w:i/>
        </w:rPr>
        <w:t>Retroactive Waiver of 47 CFR § 64.1200(a)(2</w:t>
      </w:r>
      <w:r>
        <w:t xml:space="preserve">) </w:t>
      </w:r>
      <w:r w:rsidRPr="00155856">
        <w:rPr>
          <w:i/>
        </w:rPr>
        <w:t xml:space="preserve">of the Federal Communications </w:t>
      </w:r>
      <w:r>
        <w:rPr>
          <w:i/>
        </w:rPr>
        <w:t xml:space="preserve">Commission’s </w:t>
      </w:r>
      <w:r w:rsidRPr="00155856">
        <w:rPr>
          <w:i/>
        </w:rPr>
        <w:t>Rules</w:t>
      </w:r>
      <w:r w:rsidRPr="009B3ECF">
        <w:rPr>
          <w:i/>
        </w:rPr>
        <w:t xml:space="preserve">, </w:t>
      </w:r>
      <w:r w:rsidRPr="009B3ECF">
        <w:t>CG Docket No. 02-278</w:t>
      </w:r>
      <w:r w:rsidR="00752400">
        <w:t>, filed by bebe stores, inc.</w:t>
      </w:r>
      <w:r w:rsidRPr="009B3ECF">
        <w:t xml:space="preserve"> (filed </w:t>
      </w:r>
      <w:r>
        <w:t>Nov. 18</w:t>
      </w:r>
      <w:r w:rsidRPr="009B3ECF">
        <w:t>, 201</w:t>
      </w:r>
      <w:r>
        <w:t>6</w:t>
      </w:r>
      <w:r w:rsidRPr="009B3ECF">
        <w:t>)</w:t>
      </w:r>
      <w:r>
        <w:t xml:space="preserve"> </w:t>
      </w:r>
      <w:r w:rsidRPr="009B3ECF">
        <w:rPr>
          <w:i/>
        </w:rPr>
        <w:t>(</w:t>
      </w:r>
      <w:r>
        <w:rPr>
          <w:i/>
        </w:rPr>
        <w:t>bebe Petition);</w:t>
      </w:r>
      <w:r>
        <w:t xml:space="preserve"> </w:t>
      </w:r>
      <w:r w:rsidRPr="00290D4E">
        <w:rPr>
          <w:i/>
        </w:rPr>
        <w:t xml:space="preserve">Petition </w:t>
      </w:r>
      <w:r>
        <w:rPr>
          <w:i/>
        </w:rPr>
        <w:t xml:space="preserve">for </w:t>
      </w:r>
      <w:r w:rsidRPr="00290D4E">
        <w:rPr>
          <w:i/>
        </w:rPr>
        <w:t xml:space="preserve">Retroactive Waiver </w:t>
      </w:r>
      <w:r>
        <w:rPr>
          <w:i/>
        </w:rPr>
        <w:t>and Request for Expedited Ruling</w:t>
      </w:r>
      <w:r>
        <w:t xml:space="preserve">, </w:t>
      </w:r>
      <w:r w:rsidRPr="009B3ECF">
        <w:t>CG Docket No. 02-278</w:t>
      </w:r>
      <w:r w:rsidR="00752400">
        <w:t>, filed by ViSalus, Inc.</w:t>
      </w:r>
      <w:r>
        <w:t xml:space="preserve"> (filed Sept. 14, 2017) (</w:t>
      </w:r>
      <w:r>
        <w:rPr>
          <w:i/>
        </w:rPr>
        <w:t>ViSalus Petition</w:t>
      </w:r>
      <w:r>
        <w:t xml:space="preserve">); </w:t>
      </w:r>
      <w:r>
        <w:rPr>
          <w:i/>
        </w:rPr>
        <w:t xml:space="preserve">see also </w:t>
      </w:r>
      <w:r>
        <w:t>Letter from Glenn S. Richards and Amy L. Pierce</w:t>
      </w:r>
      <w:r w:rsidR="00752400">
        <w:t xml:space="preserve">, </w:t>
      </w:r>
      <w:r>
        <w:t>counsel for bebe stores, inc., to Marlene H. Dortch, Secretary, FCC, CG Docket no. 02-278, at 2-8 (filed Mar. 9, 2017) (</w:t>
      </w:r>
      <w:r>
        <w:rPr>
          <w:i/>
        </w:rPr>
        <w:t>bebe Ex Parte)</w:t>
      </w:r>
      <w:r>
        <w:t>.</w:t>
      </w:r>
    </w:p>
  </w:footnote>
  <w:footnote w:id="4">
    <w:p w:rsidR="009D6044" w:rsidP="009D6044">
      <w:pPr>
        <w:pStyle w:val="FootnoteText"/>
      </w:pPr>
      <w:r>
        <w:rPr>
          <w:rStyle w:val="FootnoteReference"/>
        </w:rPr>
        <w:footnoteRef/>
      </w:r>
      <w:r>
        <w:t xml:space="preserve"> </w:t>
      </w:r>
      <w:r w:rsidRPr="00FF53CE">
        <w:t>Telephone Consumer Protection Act of 1991, Pub. L. No. 102-243, 105 Stat. 2394 (1991),</w:t>
      </w:r>
      <w:r>
        <w:rPr>
          <w:i/>
          <w:iCs/>
        </w:rPr>
        <w:t xml:space="preserve"> codified at </w:t>
      </w:r>
      <w:r w:rsidRPr="00FF53CE">
        <w:t>47</w:t>
      </w:r>
      <w:r>
        <w:rPr>
          <w:i/>
          <w:iCs/>
        </w:rPr>
        <w:t xml:space="preserve"> </w:t>
      </w:r>
      <w:r w:rsidRPr="00EE0641">
        <w:t>U.S.C. § 227.</w:t>
      </w:r>
      <w:r>
        <w:t xml:space="preserve">  The Commission’s implementing rules are codified at 47 CFR § 64.1200.</w:t>
      </w:r>
    </w:p>
  </w:footnote>
  <w:footnote w:id="5">
    <w:p w:rsidR="009D6044" w:rsidP="009D6044">
      <w:pPr>
        <w:pStyle w:val="FootnoteText"/>
      </w:pPr>
      <w:r w:rsidRPr="009D6044">
        <w:rPr>
          <w:rStyle w:val="FootnoteReference"/>
        </w:rPr>
        <w:footnoteRef/>
      </w:r>
      <w:r>
        <w:t xml:space="preserve"> </w:t>
      </w:r>
      <w:r>
        <w:rPr>
          <w:i/>
        </w:rPr>
        <w:t>See</w:t>
      </w:r>
      <w:r w:rsidRPr="008C5A0A">
        <w:rPr>
          <w:i/>
        </w:rPr>
        <w:t xml:space="preserve"> </w:t>
      </w:r>
      <w:r>
        <w:t xml:space="preserve">47 CFR §§ 64.1200(a)(1)-(2) (2011).  This restriction also applied to such calls directed to emergency numbers and other specified locations.  </w:t>
      </w:r>
    </w:p>
  </w:footnote>
  <w:footnote w:id="6">
    <w:p w:rsidR="009D6044" w:rsidP="009D6044">
      <w:pPr>
        <w:pStyle w:val="FootnoteText"/>
      </w:pPr>
      <w:r>
        <w:rPr>
          <w:rStyle w:val="FootnoteReference"/>
        </w:rPr>
        <w:footnoteRef/>
      </w:r>
      <w:r>
        <w:t xml:space="preserve"> </w:t>
      </w:r>
      <w:r>
        <w:rPr>
          <w:i/>
        </w:rPr>
        <w:t>See Rules and Regulations Implementing the Telephone Consumer Protection Act of 1991</w:t>
      </w:r>
      <w:r>
        <w:t>, CG Docket No. 02-278, Report and Order, 27 FCC Rcd 1830,</w:t>
      </w:r>
      <w:r w:rsidRPr="00BA6956">
        <w:t xml:space="preserve"> </w:t>
      </w:r>
      <w:r>
        <w:t>1833, para. 7 (2012) (</w:t>
      </w:r>
      <w:r>
        <w:rPr>
          <w:i/>
        </w:rPr>
        <w:t>2012 TCPA Order</w:t>
      </w:r>
      <w:r>
        <w:t>).</w:t>
      </w:r>
    </w:p>
  </w:footnote>
  <w:footnote w:id="7">
    <w:p w:rsidR="009D6044" w:rsidRPr="00A726F2" w:rsidP="009D6044">
      <w:pPr>
        <w:pStyle w:val="FootnoteText"/>
      </w:pPr>
      <w:r>
        <w:rPr>
          <w:rStyle w:val="FootnoteReference"/>
        </w:rPr>
        <w:footnoteRef/>
      </w:r>
      <w:r>
        <w:t xml:space="preserve"> </w:t>
      </w:r>
      <w:r>
        <w:rPr>
          <w:i/>
        </w:rPr>
        <w:t xml:space="preserve">Id. </w:t>
      </w:r>
      <w:r>
        <w:t>at 1838, para. 20.</w:t>
      </w:r>
    </w:p>
  </w:footnote>
  <w:footnote w:id="8">
    <w:p w:rsidR="009D6044" w:rsidP="009D6044">
      <w:pPr>
        <w:pStyle w:val="FootnoteText"/>
      </w:pPr>
      <w:r>
        <w:rPr>
          <w:rStyle w:val="FootnoteReference"/>
        </w:rPr>
        <w:footnoteRef/>
      </w:r>
      <w:r>
        <w:t xml:space="preserve"> 47 CFR § 64.1200(f)(8); </w:t>
      </w:r>
      <w:r>
        <w:rPr>
          <w:i/>
        </w:rPr>
        <w:t xml:space="preserve">see also 2012 TCPA Order, </w:t>
      </w:r>
      <w:r>
        <w:t xml:space="preserve">27 FCC Rcd </w:t>
      </w:r>
      <w:r w:rsidRPr="003A346A">
        <w:t>at</w:t>
      </w:r>
      <w:r>
        <w:t xml:space="preserve"> 1844, para. 33.  </w:t>
      </w:r>
    </w:p>
  </w:footnote>
  <w:footnote w:id="9">
    <w:p w:rsidR="009D6044" w:rsidP="009D6044">
      <w:pPr>
        <w:pStyle w:val="FootnoteText"/>
      </w:pPr>
      <w:r>
        <w:rPr>
          <w:rStyle w:val="FootnoteReference"/>
        </w:rPr>
        <w:footnoteRef/>
      </w:r>
      <w:r>
        <w:t xml:space="preserve"> </w:t>
      </w:r>
      <w:r>
        <w:rPr>
          <w:i/>
        </w:rPr>
        <w:t xml:space="preserve">See </w:t>
      </w:r>
      <w:r>
        <w:t>77 Fed. Reg. 63240 (Oct. 16, 2012).</w:t>
      </w:r>
    </w:p>
  </w:footnote>
  <w:footnote w:id="10">
    <w:p w:rsidR="009D6044" w:rsidRPr="002C0E0B" w:rsidP="009D6044">
      <w:pPr>
        <w:pStyle w:val="FootnoteText"/>
      </w:pPr>
      <w:r>
        <w:rPr>
          <w:rStyle w:val="FootnoteReference"/>
        </w:rPr>
        <w:footnoteRef/>
      </w:r>
      <w:r>
        <w:t xml:space="preserve"> </w:t>
      </w:r>
      <w:r>
        <w:rPr>
          <w:i/>
        </w:rPr>
        <w:t>See Rules and Regulations Implementing the Telephone Consumer Protection Act of 1991</w:t>
      </w:r>
      <w:r>
        <w:t>, CG Docket No. 02-278, Declaratory Ruling and Order, 30 FCC Rcd 7961, 8012-13, para. 98 (2015) (</w:t>
      </w:r>
      <w:r>
        <w:rPr>
          <w:i/>
        </w:rPr>
        <w:t>2015 TCPA Declaratory Ruling</w:t>
      </w:r>
      <w:r>
        <w:t>).</w:t>
      </w:r>
    </w:p>
  </w:footnote>
  <w:footnote w:id="11">
    <w:p w:rsidR="009D6044" w:rsidP="009D6044">
      <w:pPr>
        <w:pStyle w:val="FootnoteText"/>
      </w:pPr>
      <w:r>
        <w:rPr>
          <w:rStyle w:val="FootnoteReference"/>
        </w:rPr>
        <w:footnoteRef/>
      </w:r>
      <w:r>
        <w:t xml:space="preserve"> </w:t>
      </w:r>
      <w:r>
        <w:rPr>
          <w:i/>
        </w:rPr>
        <w:t>2015 TCPA Declaratory Ruling</w:t>
      </w:r>
      <w:r>
        <w:t>, 30 FCC Rcd at 8014, para. 100.</w:t>
      </w:r>
    </w:p>
  </w:footnote>
  <w:footnote w:id="12">
    <w:p w:rsidR="009D6044" w:rsidP="009D6044">
      <w:pPr>
        <w:pStyle w:val="FootnoteText"/>
      </w:pPr>
      <w:r w:rsidRPr="009D6044">
        <w:rPr>
          <w:rStyle w:val="FootnoteReference"/>
        </w:rPr>
        <w:footnoteRef/>
      </w:r>
      <w:r>
        <w:t xml:space="preserve"> </w:t>
      </w:r>
      <w:r>
        <w:rPr>
          <w:i/>
        </w:rPr>
        <w:t>Id.</w:t>
      </w:r>
      <w:r w:rsidRPr="008C5A0A">
        <w:rPr>
          <w:i/>
        </w:rPr>
        <w:t xml:space="preserve"> </w:t>
      </w:r>
      <w:r>
        <w:t xml:space="preserve">at 8014, para. 100; 47 CFR §§ 64.1200(a)(2), (f)(8); </w:t>
      </w:r>
      <w:r>
        <w:rPr>
          <w:i/>
        </w:rPr>
        <w:t xml:space="preserve">see also </w:t>
      </w:r>
      <w:r>
        <w:t>47 CFR</w:t>
      </w:r>
      <w:r>
        <w:rPr>
          <w:i/>
        </w:rPr>
        <w:t xml:space="preserve"> </w:t>
      </w:r>
      <w:r>
        <w:t xml:space="preserve">§ 64.1200(a)(1)(iii); </w:t>
      </w:r>
      <w:r>
        <w:rPr>
          <w:i/>
        </w:rPr>
        <w:t>2012 TCPA Order,</w:t>
      </w:r>
      <w:r>
        <w:t xml:space="preserve"> 27 FCC Rcd at 1843-44, paras. 32-33; </w:t>
      </w:r>
      <w:r w:rsidRPr="00BA6956">
        <w:rPr>
          <w:i/>
        </w:rPr>
        <w:t>2015</w:t>
      </w:r>
      <w:r>
        <w:rPr>
          <w:i/>
        </w:rPr>
        <w:t xml:space="preserve"> TCPA Declaratory Ruling, </w:t>
      </w:r>
      <w:r>
        <w:t>30 FCC Rcd at 8012-15, paras. 98-102.</w:t>
      </w:r>
    </w:p>
  </w:footnote>
  <w:footnote w:id="13">
    <w:p w:rsidR="009D6044" w:rsidP="009D6044">
      <w:pPr>
        <w:pStyle w:val="FootnoteText"/>
      </w:pPr>
      <w:r w:rsidRPr="009D6044">
        <w:rPr>
          <w:rStyle w:val="FootnoteReference"/>
        </w:rPr>
        <w:footnoteRef/>
      </w:r>
      <w:r>
        <w:t xml:space="preserve"> </w:t>
      </w:r>
      <w:r w:rsidR="00752400">
        <w:t>30 FCC Rcd at</w:t>
      </w:r>
      <w:r>
        <w:t xml:space="preserve"> 8014, para. 101.</w:t>
      </w:r>
    </w:p>
  </w:footnote>
  <w:footnote w:id="14">
    <w:p w:rsidR="009D6044" w:rsidP="009D6044">
      <w:pPr>
        <w:pStyle w:val="FootnoteText"/>
        <w:rPr>
          <w:i/>
        </w:rPr>
      </w:pPr>
      <w:r w:rsidRPr="009D6044">
        <w:rPr>
          <w:rStyle w:val="FootnoteReference"/>
        </w:rPr>
        <w:footnoteRef/>
      </w:r>
      <w:r>
        <w:t xml:space="preserve"> </w:t>
      </w:r>
      <w:r>
        <w:rPr>
          <w:i/>
        </w:rPr>
        <w:t xml:space="preserve">Id. </w:t>
      </w:r>
      <w:r>
        <w:t>at 8014-15, para. 102.</w:t>
      </w:r>
    </w:p>
  </w:footnote>
  <w:footnote w:id="15">
    <w:p w:rsidR="009D6044" w:rsidP="009D6044">
      <w:pPr>
        <w:pStyle w:val="FootnoteText"/>
      </w:pPr>
      <w:r w:rsidRPr="009D6044">
        <w:rPr>
          <w:rStyle w:val="FootnoteReference"/>
        </w:rPr>
        <w:footnoteRef/>
      </w:r>
      <w:r>
        <w:rPr>
          <w:i/>
        </w:rPr>
        <w:t xml:space="preserve"> Id.</w:t>
      </w:r>
    </w:p>
  </w:footnote>
  <w:footnote w:id="16">
    <w:p w:rsidR="009D6044" w:rsidRPr="00981859" w:rsidP="009D6044">
      <w:pPr>
        <w:pStyle w:val="FootnoteText"/>
      </w:pPr>
      <w:r>
        <w:rPr>
          <w:rStyle w:val="FootnoteReference"/>
        </w:rPr>
        <w:footnoteRef/>
      </w:r>
      <w:r>
        <w:t xml:space="preserve"> </w:t>
      </w:r>
      <w:r>
        <w:rPr>
          <w:i/>
        </w:rPr>
        <w:t>Rules and Regulations Implementing the Telephone Consumer Protection Act of 1991</w:t>
      </w:r>
      <w:r>
        <w:t xml:space="preserve">, </w:t>
      </w:r>
      <w:r w:rsidRPr="00981859">
        <w:rPr>
          <w:i/>
        </w:rPr>
        <w:t>Petitions for Waiver and/or Retroactive Waiver of 47 CFR Section 64.1200(a)(2) Regarding the Commission's Prior Express Written Consent Requirement</w:t>
      </w:r>
      <w:r>
        <w:rPr>
          <w:i/>
        </w:rPr>
        <w:t xml:space="preserve">, </w:t>
      </w:r>
      <w:r>
        <w:t xml:space="preserve">CG Docket No. 02-278, Order, </w:t>
      </w:r>
      <w:r w:rsidRPr="007C4075">
        <w:t>31 FCC Rcd 11643</w:t>
      </w:r>
      <w:r>
        <w:t>, 11647-48, paras. 10, 12</w:t>
      </w:r>
      <w:r w:rsidRPr="007C4075">
        <w:t xml:space="preserve"> </w:t>
      </w:r>
      <w:r>
        <w:t>(CGB 2016) (</w:t>
      </w:r>
      <w:r w:rsidRPr="007C4075">
        <w:rPr>
          <w:i/>
        </w:rPr>
        <w:t>2016 Waiver Order</w:t>
      </w:r>
      <w:r>
        <w:t>).</w:t>
      </w:r>
    </w:p>
  </w:footnote>
  <w:footnote w:id="17">
    <w:p w:rsidR="009D6044" w:rsidP="009D6044">
      <w:pPr>
        <w:pStyle w:val="FootnoteText"/>
      </w:pPr>
      <w:r>
        <w:rPr>
          <w:rStyle w:val="FootnoteReference"/>
        </w:rPr>
        <w:footnoteRef/>
      </w:r>
      <w:r>
        <w:t xml:space="preserve"> </w:t>
      </w:r>
      <w:r>
        <w:rPr>
          <w:i/>
        </w:rPr>
        <w:t xml:space="preserve">Id. </w:t>
      </w:r>
      <w:r>
        <w:t xml:space="preserve">at </w:t>
      </w:r>
      <w:r w:rsidRPr="007C4075">
        <w:t>1164</w:t>
      </w:r>
      <w:r>
        <w:t>8, paras. 11-12.</w:t>
      </w:r>
    </w:p>
  </w:footnote>
  <w:footnote w:id="18">
    <w:p w:rsidR="009D6044" w:rsidRPr="00B91E4A" w:rsidP="009D6044">
      <w:pPr>
        <w:pStyle w:val="FootnoteText"/>
      </w:pPr>
      <w:r>
        <w:rPr>
          <w:rStyle w:val="FootnoteReference"/>
        </w:rPr>
        <w:footnoteRef/>
      </w:r>
      <w:r>
        <w:t xml:space="preserve"> </w:t>
      </w:r>
      <w:r>
        <w:rPr>
          <w:i/>
        </w:rPr>
        <w:t xml:space="preserve">Id. </w:t>
      </w:r>
      <w:r>
        <w:t>at 11648-49, para. 13.</w:t>
      </w:r>
    </w:p>
  </w:footnote>
  <w:footnote w:id="19">
    <w:p w:rsidR="009D6044" w:rsidRPr="00B91E4A" w:rsidP="009D6044">
      <w:pPr>
        <w:pStyle w:val="FootnoteText"/>
        <w:rPr>
          <w:i/>
        </w:rPr>
      </w:pPr>
      <w:r>
        <w:rPr>
          <w:rStyle w:val="FootnoteReference"/>
        </w:rPr>
        <w:footnoteRef/>
      </w:r>
      <w:r>
        <w:t xml:space="preserve"> </w:t>
      </w:r>
      <w:r>
        <w:rPr>
          <w:i/>
        </w:rPr>
        <w:t xml:space="preserve">Id. </w:t>
      </w:r>
      <w:r>
        <w:t>at 11648, para. 12 &amp; n. 45.</w:t>
      </w:r>
      <w:r>
        <w:rPr>
          <w:i/>
        </w:rPr>
        <w:t xml:space="preserve"> </w:t>
      </w:r>
    </w:p>
  </w:footnote>
  <w:footnote w:id="20">
    <w:p w:rsidR="009D6044" w:rsidRPr="00B91E4A" w:rsidP="009D6044">
      <w:pPr>
        <w:pStyle w:val="FootnoteText"/>
      </w:pPr>
      <w:r>
        <w:rPr>
          <w:rStyle w:val="FootnoteReference"/>
        </w:rPr>
        <w:footnoteRef/>
      </w:r>
      <w:r>
        <w:t xml:space="preserve"> </w:t>
      </w:r>
      <w:r>
        <w:rPr>
          <w:i/>
        </w:rPr>
        <w:t xml:space="preserve">Id. </w:t>
      </w:r>
      <w:r>
        <w:t>at 11648-49, para. 13</w:t>
      </w:r>
    </w:p>
  </w:footnote>
  <w:footnote w:id="21">
    <w:p w:rsidR="009D6044" w:rsidRPr="00A1455B" w:rsidP="009D6044">
      <w:pPr>
        <w:pStyle w:val="FootnoteText"/>
      </w:pPr>
      <w:r>
        <w:rPr>
          <w:rStyle w:val="FootnoteReference"/>
        </w:rPr>
        <w:footnoteRef/>
      </w:r>
      <w:r>
        <w:t xml:space="preserve"> </w:t>
      </w:r>
      <w:r w:rsidRPr="00BA6956">
        <w:rPr>
          <w:i/>
        </w:rPr>
        <w:t>2015</w:t>
      </w:r>
      <w:r>
        <w:rPr>
          <w:i/>
        </w:rPr>
        <w:t xml:space="preserve"> TCPA Declaratory Ruling, </w:t>
      </w:r>
      <w:r>
        <w:t xml:space="preserve">30 FCC Rcd at 8014-15, paras. 100-02; </w:t>
      </w:r>
      <w:r>
        <w:rPr>
          <w:i/>
        </w:rPr>
        <w:t xml:space="preserve">2016 Waiver Order, </w:t>
      </w:r>
      <w:r>
        <w:t>31 FCC Rcd at 11650, para. 16.</w:t>
      </w:r>
    </w:p>
  </w:footnote>
  <w:footnote w:id="22">
    <w:p w:rsidR="009D6044" w:rsidRPr="00121E28" w:rsidP="009D6044">
      <w:pPr>
        <w:pStyle w:val="FootnoteText"/>
      </w:pPr>
      <w:r>
        <w:rPr>
          <w:rStyle w:val="FootnoteReference"/>
        </w:rPr>
        <w:footnoteRef/>
      </w:r>
      <w:r>
        <w:t xml:space="preserve"> </w:t>
      </w:r>
      <w:r>
        <w:rPr>
          <w:i/>
        </w:rPr>
        <w:t xml:space="preserve">See bebe Petition </w:t>
      </w:r>
      <w:r>
        <w:t xml:space="preserve">at 1, 8, </w:t>
      </w:r>
      <w:r w:rsidRPr="0051275A">
        <w:t>10;</w:t>
      </w:r>
      <w:r>
        <w:t xml:space="preserve"> </w:t>
      </w:r>
      <w:r>
        <w:rPr>
          <w:i/>
        </w:rPr>
        <w:t xml:space="preserve">ViSalus Petition </w:t>
      </w:r>
      <w:r>
        <w:t>at 1, 3-4.</w:t>
      </w:r>
    </w:p>
  </w:footnote>
  <w:footnote w:id="23">
    <w:p w:rsidR="009D6044" w:rsidRPr="001441A3" w:rsidP="009D6044">
      <w:pPr>
        <w:pStyle w:val="FootnoteText"/>
        <w:rPr>
          <w:i/>
        </w:rPr>
      </w:pPr>
      <w:r>
        <w:rPr>
          <w:rStyle w:val="FootnoteReference"/>
        </w:rPr>
        <w:footnoteRef/>
      </w:r>
      <w:r>
        <w:t xml:space="preserve"> </w:t>
      </w:r>
      <w:r>
        <w:rPr>
          <w:i/>
        </w:rPr>
        <w:t xml:space="preserve">Bebe Petition </w:t>
      </w:r>
      <w:r>
        <w:t xml:space="preserve">at 5, 10-11; </w:t>
      </w:r>
      <w:r>
        <w:rPr>
          <w:i/>
        </w:rPr>
        <w:t xml:space="preserve">ViSalus Petition </w:t>
      </w:r>
      <w:r>
        <w:t xml:space="preserve">at </w:t>
      </w:r>
      <w:r w:rsidR="00752400">
        <w:t>2</w:t>
      </w:r>
      <w:r>
        <w:t xml:space="preserve">-4, </w:t>
      </w:r>
      <w:r w:rsidR="00752400">
        <w:t>7-8</w:t>
      </w:r>
      <w:r>
        <w:t>.</w:t>
      </w:r>
    </w:p>
  </w:footnote>
  <w:footnote w:id="24">
    <w:p w:rsidR="009D6044" w:rsidP="009D6044">
      <w:pPr>
        <w:pStyle w:val="FootnoteText"/>
      </w:pPr>
      <w:r>
        <w:rPr>
          <w:rStyle w:val="FootnoteReference"/>
        </w:rPr>
        <w:footnoteRef/>
      </w:r>
      <w:r>
        <w:t xml:space="preserve"> </w:t>
      </w:r>
      <w:r>
        <w:rPr>
          <w:i/>
        </w:rPr>
        <w:t xml:space="preserve">Bebe Petition </w:t>
      </w:r>
      <w:r>
        <w:t xml:space="preserve">at 11; </w:t>
      </w:r>
      <w:r>
        <w:rPr>
          <w:i/>
        </w:rPr>
        <w:t xml:space="preserve">ViSalus Petition </w:t>
      </w:r>
      <w:r>
        <w:t>at 8.</w:t>
      </w:r>
    </w:p>
  </w:footnote>
  <w:footnote w:id="25">
    <w:p w:rsidR="009D6044" w:rsidP="009D6044">
      <w:pPr>
        <w:pStyle w:val="FootnoteText"/>
      </w:pPr>
      <w:r>
        <w:rPr>
          <w:rStyle w:val="FootnoteReference"/>
        </w:rPr>
        <w:footnoteRef/>
      </w:r>
      <w:r>
        <w:t xml:space="preserve"> </w:t>
      </w:r>
      <w:r>
        <w:rPr>
          <w:i/>
          <w:iCs/>
        </w:rPr>
        <w:t>See</w:t>
      </w:r>
      <w:r>
        <w:t xml:space="preserve"> </w:t>
      </w:r>
      <w:r w:rsidRPr="00C91C78">
        <w:rPr>
          <w:i/>
          <w:iCs/>
        </w:rPr>
        <w:t xml:space="preserve">Consumer and Governmental Affairs Bureau Seeks Comment on </w:t>
      </w:r>
      <w:r>
        <w:rPr>
          <w:i/>
          <w:iCs/>
        </w:rPr>
        <w:t>a Petition</w:t>
      </w:r>
      <w:r w:rsidRPr="00C91C78">
        <w:rPr>
          <w:i/>
          <w:iCs/>
        </w:rPr>
        <w:t xml:space="preserve"> for </w:t>
      </w:r>
      <w:r>
        <w:rPr>
          <w:i/>
          <w:iCs/>
        </w:rPr>
        <w:t>Retroactive Waiver Filed by bebe Stores, Inc.</w:t>
      </w:r>
      <w:r>
        <w:t>, CG Docket No. 02-278, Public Notice, 31 FCC Rcd 12767 (CGB 2016</w:t>
      </w:r>
      <w:r w:rsidRPr="007A469E">
        <w:t>)</w:t>
      </w:r>
      <w:r>
        <w:t xml:space="preserve">; </w:t>
      </w:r>
      <w:r w:rsidRPr="00C91C78">
        <w:rPr>
          <w:i/>
          <w:iCs/>
        </w:rPr>
        <w:t xml:space="preserve">Consumer and Governmental Affairs Bureau Seeks Comment on Petition for </w:t>
      </w:r>
      <w:r>
        <w:rPr>
          <w:i/>
          <w:iCs/>
        </w:rPr>
        <w:t>Retroactive Waiver Filed by ViSalus</w:t>
      </w:r>
      <w:r w:rsidR="00752400">
        <w:rPr>
          <w:i/>
          <w:iCs/>
        </w:rPr>
        <w:t>,</w:t>
      </w:r>
      <w:r>
        <w:rPr>
          <w:i/>
          <w:iCs/>
        </w:rPr>
        <w:t xml:space="preserve"> Inc. Under the Telephone Consumer Protection Act</w:t>
      </w:r>
      <w:r>
        <w:t>, CG Docket No. 02-278, Public Notice, 33 FCC Rcd 6027 (CGB 2018</w:t>
      </w:r>
      <w:r w:rsidRPr="007A469E">
        <w:t>)</w:t>
      </w:r>
      <w:r>
        <w:t xml:space="preserve">. </w:t>
      </w:r>
    </w:p>
  </w:footnote>
  <w:footnote w:id="26">
    <w:p w:rsidR="009D6044" w:rsidRPr="001E6124" w:rsidP="009D6044">
      <w:pPr>
        <w:pStyle w:val="FootnoteText"/>
      </w:pPr>
      <w:r>
        <w:rPr>
          <w:rStyle w:val="FootnoteReference"/>
        </w:rPr>
        <w:footnoteRef/>
      </w:r>
      <w:r>
        <w:t xml:space="preserve"> A list of commenters can be found at </w:t>
      </w:r>
      <w:r w:rsidRPr="001E6124">
        <w:t>Appendix A</w:t>
      </w:r>
      <w:r>
        <w:t xml:space="preserve">.  There were no comments filed regarding the </w:t>
      </w:r>
      <w:r>
        <w:rPr>
          <w:i/>
        </w:rPr>
        <w:t>Visalus Petition</w:t>
      </w:r>
      <w:r>
        <w:t xml:space="preserve">.  There was an opposition filed by the Meyer parties to the </w:t>
      </w:r>
      <w:r>
        <w:rPr>
          <w:i/>
        </w:rPr>
        <w:t xml:space="preserve">bebe Petition, </w:t>
      </w:r>
      <w:r>
        <w:t xml:space="preserve">and </w:t>
      </w:r>
      <w:r w:rsidR="00635C78">
        <w:t xml:space="preserve">bebe filed </w:t>
      </w:r>
      <w:r>
        <w:t>reply comments</w:t>
      </w:r>
      <w:r w:rsidR="005A6BA6">
        <w:t>.</w:t>
      </w:r>
      <w:r>
        <w:rPr>
          <w:i/>
        </w:rPr>
        <w:t xml:space="preserve">  </w:t>
      </w:r>
      <w:r>
        <w:t>We address the issues raised in the petitions, opposition and reply comments</w:t>
      </w:r>
      <w:r>
        <w:rPr>
          <w:i/>
        </w:rPr>
        <w:t xml:space="preserve"> infra.  </w:t>
      </w:r>
    </w:p>
  </w:footnote>
  <w:footnote w:id="27">
    <w:p w:rsidR="009D6044" w:rsidRPr="001E61C1" w:rsidP="009D6044">
      <w:pPr>
        <w:pStyle w:val="FootnoteText"/>
        <w:rPr>
          <w:i/>
        </w:rPr>
      </w:pPr>
      <w:r>
        <w:rPr>
          <w:rStyle w:val="FootnoteReference"/>
        </w:rPr>
        <w:footnoteRef/>
      </w:r>
      <w:r>
        <w:t xml:space="preserve"> </w:t>
      </w:r>
      <w:r>
        <w:rPr>
          <w:i/>
        </w:rPr>
        <w:t xml:space="preserve">See </w:t>
      </w:r>
      <w:r>
        <w:t xml:space="preserve">Appendix A; </w:t>
      </w:r>
      <w:r>
        <w:rPr>
          <w:i/>
        </w:rPr>
        <w:t xml:space="preserve">see also bebe Ex Parte.  </w:t>
      </w:r>
    </w:p>
  </w:footnote>
  <w:footnote w:id="28">
    <w:p w:rsidR="009D6044" w:rsidRPr="000849BE" w:rsidP="009D6044">
      <w:pPr>
        <w:pStyle w:val="FootnoteText"/>
        <w:rPr>
          <w:i/>
        </w:rPr>
      </w:pPr>
      <w:r>
        <w:rPr>
          <w:rStyle w:val="FootnoteReference"/>
        </w:rPr>
        <w:footnoteRef/>
      </w:r>
      <w:r>
        <w:t xml:space="preserve"> </w:t>
      </w:r>
      <w:r w:rsidRPr="0051275A">
        <w:t xml:space="preserve">Opposition to the </w:t>
      </w:r>
      <w:r w:rsidRPr="0051275A">
        <w:rPr>
          <w:i/>
        </w:rPr>
        <w:t>bebe Petition</w:t>
      </w:r>
      <w:r w:rsidRPr="0051275A">
        <w:t xml:space="preserve"> at 4.</w:t>
      </w:r>
      <w:r>
        <w:t xml:space="preserve">  In fact, the opponents state that bebe’s corporate designees have testified that no written disclosures were made, and no written consent was obtained, when the cell phone numbers were communicated to bebe’s employees at the point of sale.  </w:t>
      </w:r>
      <w:r>
        <w:rPr>
          <w:i/>
        </w:rPr>
        <w:t xml:space="preserve">Id. </w:t>
      </w:r>
      <w:r w:rsidRPr="000849BE">
        <w:t>at 4-5</w:t>
      </w:r>
      <w:r>
        <w:rPr>
          <w:i/>
        </w:rPr>
        <w:t>.</w:t>
      </w:r>
    </w:p>
  </w:footnote>
  <w:footnote w:id="29">
    <w:p w:rsidR="009D6044" w:rsidRPr="00B971EC" w:rsidP="009D6044">
      <w:pPr>
        <w:pStyle w:val="FootnoteText"/>
      </w:pPr>
      <w:r>
        <w:rPr>
          <w:rStyle w:val="FootnoteReference"/>
        </w:rPr>
        <w:footnoteRef/>
      </w:r>
      <w:r>
        <w:t xml:space="preserve"> </w:t>
      </w:r>
      <w:r>
        <w:rPr>
          <w:i/>
        </w:rPr>
        <w:t xml:space="preserve">Id. </w:t>
      </w:r>
      <w:r>
        <w:t xml:space="preserve">at 4.  The </w:t>
      </w:r>
      <w:r>
        <w:rPr>
          <w:i/>
        </w:rPr>
        <w:t xml:space="preserve">Meyer </w:t>
      </w:r>
      <w:r w:rsidRPr="00552AA5">
        <w:t>opponents</w:t>
      </w:r>
      <w:r>
        <w:rPr>
          <w:i/>
        </w:rPr>
        <w:t xml:space="preserve"> </w:t>
      </w:r>
      <w:r>
        <w:t xml:space="preserve">cite to the </w:t>
      </w:r>
      <w:r>
        <w:rPr>
          <w:i/>
        </w:rPr>
        <w:t>bebe Petition</w:t>
      </w:r>
      <w:r w:rsidRPr="00E20684">
        <w:t xml:space="preserve"> at 2</w:t>
      </w:r>
      <w:r>
        <w:t xml:space="preserve"> and the following language</w:t>
      </w:r>
      <w:r>
        <w:t>:  “</w:t>
      </w:r>
      <w:r>
        <w:t>[t]hus, whenever a member provided her cell phone number (</w:t>
      </w:r>
      <w:r w:rsidRPr="000A2657">
        <w:rPr>
          <w:i/>
        </w:rPr>
        <w:t>e.g</w:t>
      </w:r>
      <w:r>
        <w:t>., on-line, at a point of sale or on a client capture card)</w:t>
      </w:r>
      <w:r>
        <w:rPr>
          <w:i/>
        </w:rPr>
        <w:t xml:space="preserve">, </w:t>
      </w:r>
      <w:r>
        <w:t xml:space="preserve">the consumer’s express consent to receive a single, confirmatory, opt-in text message …  was confirmed through his or her participation in clubbebe.”  </w:t>
      </w:r>
      <w:r>
        <w:rPr>
          <w:i/>
        </w:rPr>
        <w:t xml:space="preserve">Id. </w:t>
      </w:r>
      <w:r>
        <w:t xml:space="preserve">at n.13.  Based on that language, opponents contend that bebe suggests, without fully articulating its argument, that the mere provision of a phone number constituted written consent.  </w:t>
      </w:r>
      <w:r>
        <w:rPr>
          <w:i/>
        </w:rPr>
        <w:t xml:space="preserve">Id. </w:t>
      </w:r>
      <w:r>
        <w:t xml:space="preserve">at 4.  </w:t>
      </w:r>
    </w:p>
  </w:footnote>
  <w:footnote w:id="30">
    <w:p w:rsidR="009D6044" w:rsidP="009D6044">
      <w:pPr>
        <w:pStyle w:val="FootnoteText"/>
      </w:pPr>
      <w:r>
        <w:rPr>
          <w:rStyle w:val="FootnoteReference"/>
        </w:rPr>
        <w:footnoteRef/>
      </w:r>
      <w:r>
        <w:t xml:space="preserve"> </w:t>
      </w:r>
      <w:r>
        <w:rPr>
          <w:i/>
        </w:rPr>
        <w:t xml:space="preserve">Id. </w:t>
      </w:r>
      <w:r>
        <w:t>at 1, 4-5, 7.</w:t>
      </w:r>
    </w:p>
  </w:footnote>
  <w:footnote w:id="31">
    <w:p w:rsidR="009D6044" w:rsidP="009D6044">
      <w:pPr>
        <w:pStyle w:val="FootnoteText"/>
      </w:pPr>
      <w:r>
        <w:rPr>
          <w:rStyle w:val="FootnoteReference"/>
        </w:rPr>
        <w:footnoteRef/>
      </w:r>
      <w:r>
        <w:t xml:space="preserve"> </w:t>
      </w:r>
      <w:r>
        <w:rPr>
          <w:i/>
        </w:rPr>
        <w:t xml:space="preserve">Id. </w:t>
      </w:r>
      <w:r>
        <w:t xml:space="preserve">at 7. </w:t>
      </w:r>
    </w:p>
  </w:footnote>
  <w:footnote w:id="32">
    <w:p w:rsidR="009D6044" w:rsidP="009D6044">
      <w:pPr>
        <w:pStyle w:val="FootnoteText"/>
      </w:pPr>
      <w:r>
        <w:rPr>
          <w:rStyle w:val="FootnoteReference"/>
        </w:rPr>
        <w:footnoteRef/>
      </w:r>
      <w:r>
        <w:t xml:space="preserve"> </w:t>
      </w:r>
      <w:r>
        <w:rPr>
          <w:i/>
        </w:rPr>
        <w:t>Id.</w:t>
      </w:r>
      <w:r>
        <w:t xml:space="preserve"> at 6-8.  </w:t>
      </w:r>
    </w:p>
  </w:footnote>
  <w:footnote w:id="33">
    <w:p w:rsidR="009D6044" w:rsidP="009D6044">
      <w:pPr>
        <w:pStyle w:val="FootnoteText"/>
      </w:pPr>
      <w:r>
        <w:rPr>
          <w:rStyle w:val="FootnoteReference"/>
        </w:rPr>
        <w:footnoteRef/>
      </w:r>
      <w:r>
        <w:t xml:space="preserve"> </w:t>
      </w:r>
      <w:r>
        <w:rPr>
          <w:i/>
        </w:rPr>
        <w:t xml:space="preserve">Bebe </w:t>
      </w:r>
      <w:r>
        <w:t xml:space="preserve">Reply Comments at 1-5; </w:t>
      </w:r>
      <w:r>
        <w:rPr>
          <w:i/>
        </w:rPr>
        <w:t xml:space="preserve">see also bebe Ex Parte </w:t>
      </w:r>
      <w:r>
        <w:t>at 3-4.</w:t>
      </w:r>
    </w:p>
  </w:footnote>
  <w:footnote w:id="34">
    <w:p w:rsidR="009D6044" w:rsidRPr="00224060" w:rsidP="009D6044">
      <w:pPr>
        <w:pStyle w:val="FootnoteText"/>
      </w:pPr>
      <w:r>
        <w:rPr>
          <w:rStyle w:val="FootnoteReference"/>
        </w:rPr>
        <w:footnoteRef/>
      </w:r>
      <w:r>
        <w:t xml:space="preserve"> </w:t>
      </w:r>
      <w:r>
        <w:rPr>
          <w:i/>
        </w:rPr>
        <w:t xml:space="preserve">Bebe </w:t>
      </w:r>
      <w:r>
        <w:t xml:space="preserve">Reply Comments at 2.  Bebe notes that enrollment in clubbebe is voluntary; no purchase is necessary; and the customer is not required to provide a mobile telephone number.  </w:t>
      </w:r>
      <w:r>
        <w:rPr>
          <w:i/>
        </w:rPr>
        <w:t xml:space="preserve">Id.  </w:t>
      </w:r>
      <w:r>
        <w:t xml:space="preserve">Bebe also points out that customers could enroll in clubbebe in a bebe store, on bebe.com, on bebe’s mobile application or through bebe’s customer service line.  </w:t>
      </w:r>
      <w:r>
        <w:rPr>
          <w:i/>
        </w:rPr>
        <w:t xml:space="preserve">Bebe </w:t>
      </w:r>
      <w:r>
        <w:t>Reply Comments at 2-3.</w:t>
      </w:r>
    </w:p>
  </w:footnote>
  <w:footnote w:id="35">
    <w:p w:rsidR="009D6044" w:rsidP="009D6044">
      <w:pPr>
        <w:pStyle w:val="FootnoteText"/>
      </w:pPr>
      <w:r>
        <w:rPr>
          <w:rStyle w:val="FootnoteReference"/>
        </w:rPr>
        <w:footnoteRef/>
      </w:r>
      <w:r>
        <w:t xml:space="preserve"> </w:t>
      </w:r>
      <w:r>
        <w:rPr>
          <w:i/>
        </w:rPr>
        <w:t xml:space="preserve">Id. </w:t>
      </w:r>
      <w:r>
        <w:t xml:space="preserve">at 3; </w:t>
      </w:r>
      <w:r>
        <w:rPr>
          <w:i/>
        </w:rPr>
        <w:t xml:space="preserve">see also bebe Ex Parte </w:t>
      </w:r>
      <w:r>
        <w:t xml:space="preserve">at 4.  Bebe further notes that customers were required to complete their enrollment by sending a response “YES” text message to bebe (opt-in text message).  </w:t>
      </w:r>
      <w:r>
        <w:rPr>
          <w:i/>
        </w:rPr>
        <w:t xml:space="preserve">Bebe </w:t>
      </w:r>
      <w:r>
        <w:t xml:space="preserve">Reply Comments at 3, note 3; </w:t>
      </w:r>
      <w:r w:rsidRPr="00B7113D">
        <w:rPr>
          <w:i/>
        </w:rPr>
        <w:t>see also</w:t>
      </w:r>
      <w:r>
        <w:t xml:space="preserve"> </w:t>
      </w:r>
      <w:r>
        <w:rPr>
          <w:i/>
        </w:rPr>
        <w:t xml:space="preserve">bebe Ex Parte </w:t>
      </w:r>
      <w:r>
        <w:t xml:space="preserve">at 8.  Bebe states that because its vendor filed for bankruptcy protection in 2013, it is not able to confirm whether individuals received an opt-in text message.  </w:t>
      </w:r>
      <w:r>
        <w:rPr>
          <w:i/>
        </w:rPr>
        <w:t xml:space="preserve">Bebe </w:t>
      </w:r>
      <w:r>
        <w:t>Reply Comments at 4.</w:t>
      </w:r>
    </w:p>
  </w:footnote>
  <w:footnote w:id="36">
    <w:p w:rsidR="009D6044" w:rsidRPr="005752CD" w:rsidP="009D6044">
      <w:pPr>
        <w:pStyle w:val="FootnoteText"/>
      </w:pPr>
      <w:r>
        <w:rPr>
          <w:rStyle w:val="FootnoteReference"/>
        </w:rPr>
        <w:footnoteRef/>
      </w:r>
      <w:r>
        <w:t xml:space="preserve"> </w:t>
      </w:r>
      <w:r>
        <w:rPr>
          <w:i/>
        </w:rPr>
        <w:t xml:space="preserve">See bebe Ex Parte </w:t>
      </w:r>
      <w:r>
        <w:t>at 4-5.</w:t>
      </w:r>
    </w:p>
  </w:footnote>
  <w:footnote w:id="37">
    <w:p w:rsidR="009D6044" w:rsidP="009D6044">
      <w:pPr>
        <w:pStyle w:val="FootnoteText"/>
      </w:pPr>
      <w:r>
        <w:rPr>
          <w:rStyle w:val="FootnoteReference"/>
        </w:rPr>
        <w:footnoteRef/>
      </w:r>
      <w:r>
        <w:t xml:space="preserve"> 47 CFR</w:t>
      </w:r>
      <w:r w:rsidRPr="00C76264">
        <w:rPr>
          <w:iCs/>
        </w:rPr>
        <w:t xml:space="preserve"> </w:t>
      </w:r>
      <w:r w:rsidRPr="0024744A">
        <w:rPr>
          <w:iCs/>
        </w:rPr>
        <w:t>§</w:t>
      </w:r>
      <w:r>
        <w:rPr>
          <w:iCs/>
        </w:rPr>
        <w:t xml:space="preserve"> 1.3; </w:t>
      </w:r>
      <w:r>
        <w:rPr>
          <w:i/>
          <w:iCs/>
        </w:rPr>
        <w:t>WAIT Radio v. FCC</w:t>
      </w:r>
      <w:r>
        <w:rPr>
          <w:iCs/>
        </w:rPr>
        <w:t xml:space="preserve">, 418 F.2d 1153 (D.C. Cir. 1969), </w:t>
      </w:r>
      <w:r>
        <w:rPr>
          <w:i/>
          <w:iCs/>
        </w:rPr>
        <w:t>appeal after remand</w:t>
      </w:r>
      <w:r>
        <w:rPr>
          <w:iCs/>
        </w:rPr>
        <w:t xml:space="preserve">, 459 F.2d 1203 (D.C. Cir. 1972), </w:t>
      </w:r>
      <w:r>
        <w:rPr>
          <w:i/>
          <w:iCs/>
        </w:rPr>
        <w:t>cert. denied</w:t>
      </w:r>
      <w:r>
        <w:rPr>
          <w:iCs/>
        </w:rPr>
        <w:t xml:space="preserve">, 409 U.S. 1027 (1972); </w:t>
      </w:r>
      <w:r>
        <w:rPr>
          <w:i/>
          <w:iCs/>
        </w:rPr>
        <w:t>Northeast Cellular Tel. Co. v. FCC</w:t>
      </w:r>
      <w:r>
        <w:rPr>
          <w:iCs/>
        </w:rPr>
        <w:t>, 897 F.2d 1164 (D.C. Cir. 1990).</w:t>
      </w:r>
      <w:r>
        <w:t xml:space="preserve"> </w:t>
      </w:r>
    </w:p>
  </w:footnote>
  <w:footnote w:id="38">
    <w:p w:rsidR="009D6044" w:rsidRPr="00C76264" w:rsidP="009D6044">
      <w:pPr>
        <w:pStyle w:val="FootnoteText"/>
      </w:pPr>
      <w:r>
        <w:rPr>
          <w:rStyle w:val="FootnoteReference"/>
        </w:rPr>
        <w:footnoteRef/>
      </w:r>
      <w:r>
        <w:t xml:space="preserve"> </w:t>
      </w:r>
      <w:r>
        <w:rPr>
          <w:i/>
        </w:rPr>
        <w:t>Northeast Cellular</w:t>
      </w:r>
      <w:r>
        <w:t>, 897 F.2d at 1166.</w:t>
      </w:r>
    </w:p>
  </w:footnote>
  <w:footnote w:id="39">
    <w:p w:rsidR="009D6044" w:rsidRPr="00067047" w:rsidP="009D6044">
      <w:pPr>
        <w:pStyle w:val="FootnoteText"/>
      </w:pPr>
      <w:r>
        <w:rPr>
          <w:rStyle w:val="FootnoteReference"/>
        </w:rPr>
        <w:footnoteRef/>
      </w:r>
      <w:r>
        <w:t xml:space="preserve"> </w:t>
      </w:r>
      <w:r>
        <w:rPr>
          <w:i/>
          <w:iCs/>
        </w:rPr>
        <w:t>WAIT Radio,</w:t>
      </w:r>
      <w:r w:rsidRPr="00C80E2E">
        <w:rPr>
          <w:iCs/>
        </w:rPr>
        <w:t xml:space="preserve"> </w:t>
      </w:r>
      <w:r>
        <w:rPr>
          <w:iCs/>
        </w:rPr>
        <w:t>418 F.2d</w:t>
      </w:r>
      <w:r>
        <w:t xml:space="preserve"> at 1157.</w:t>
      </w:r>
    </w:p>
  </w:footnote>
  <w:footnote w:id="40">
    <w:p w:rsidR="006B7EF3" w:rsidP="006B7EF3">
      <w:pPr>
        <w:pStyle w:val="FootnoteText"/>
      </w:pPr>
      <w:r>
        <w:rPr>
          <w:rStyle w:val="FootnoteReference"/>
        </w:rPr>
        <w:footnoteRef/>
      </w:r>
      <w:r>
        <w:t xml:space="preserve"> </w:t>
      </w:r>
      <w:r>
        <w:rPr>
          <w:i/>
        </w:rPr>
        <w:t xml:space="preserve">2015 TCPA Declaratory Ruling, </w:t>
      </w:r>
      <w:r>
        <w:t>30 FCC Rcd</w:t>
      </w:r>
      <w:r>
        <w:rPr>
          <w:i/>
        </w:rPr>
        <w:t xml:space="preserve"> </w:t>
      </w:r>
      <w:r>
        <w:t xml:space="preserve">at 8014, para. 101; </w:t>
      </w:r>
      <w:r>
        <w:rPr>
          <w:i/>
        </w:rPr>
        <w:t xml:space="preserve">2016 Waiver Order, </w:t>
      </w:r>
      <w:r>
        <w:t>33 FCC Rcd at 11648, para. 12.</w:t>
      </w:r>
    </w:p>
  </w:footnote>
  <w:footnote w:id="41">
    <w:p w:rsidR="009D6044" w:rsidRPr="00A54F3B" w:rsidP="009D6044">
      <w:pPr>
        <w:pStyle w:val="FootnoteText"/>
      </w:pPr>
      <w:r>
        <w:rPr>
          <w:rStyle w:val="FootnoteReference"/>
        </w:rPr>
        <w:footnoteRef/>
      </w:r>
      <w:r>
        <w:t xml:space="preserve"> </w:t>
      </w:r>
      <w:r w:rsidRPr="00B22D1B">
        <w:t>The Petitioners assert that there was industry-wide confusion after the new rule went into effect as to whether prior express consent obtained previously would remain valid</w:t>
      </w:r>
      <w:r>
        <w:t>,</w:t>
      </w:r>
      <w:r w:rsidRPr="00B22D1B">
        <w:t xml:space="preserve"> and stated they needed more time to obtain those new consents under the new rule without running the risk of being subject to litigation.</w:t>
      </w:r>
      <w:r>
        <w:t xml:space="preserve">  </w:t>
      </w:r>
      <w:r w:rsidRPr="0094746A">
        <w:rPr>
          <w:i/>
        </w:rPr>
        <w:t>See</w:t>
      </w:r>
      <w:r w:rsidRPr="00B22D1B">
        <w:t xml:space="preserve"> </w:t>
      </w:r>
      <w:r>
        <w:rPr>
          <w:i/>
        </w:rPr>
        <w:t xml:space="preserve">Bebe Petition </w:t>
      </w:r>
      <w:r>
        <w:t xml:space="preserve">at </w:t>
      </w:r>
      <w:r w:rsidR="00752400">
        <w:t>8</w:t>
      </w:r>
      <w:r>
        <w:t xml:space="preserve">, 10-11; </w:t>
      </w:r>
      <w:r>
        <w:rPr>
          <w:i/>
        </w:rPr>
        <w:t xml:space="preserve">ViSalus Petition </w:t>
      </w:r>
      <w:r>
        <w:t xml:space="preserve">at 3-4, </w:t>
      </w:r>
      <w:r w:rsidR="00752400">
        <w:t>7-8</w:t>
      </w:r>
      <w:r>
        <w:t>.</w:t>
      </w:r>
    </w:p>
  </w:footnote>
  <w:footnote w:id="42">
    <w:p w:rsidR="00235D96" w:rsidRPr="00235D96">
      <w:pPr>
        <w:pStyle w:val="FootnoteText"/>
      </w:pPr>
      <w:r>
        <w:rPr>
          <w:rStyle w:val="FootnoteReference"/>
        </w:rPr>
        <w:footnoteRef/>
      </w:r>
      <w:r>
        <w:t xml:space="preserve"> </w:t>
      </w:r>
      <w:r>
        <w:rPr>
          <w:i/>
        </w:rPr>
        <w:t>Bebe Petition</w:t>
      </w:r>
      <w:r>
        <w:t xml:space="preserve"> at 1, 8-10; </w:t>
      </w:r>
      <w:r>
        <w:rPr>
          <w:i/>
        </w:rPr>
        <w:t>ViSalus Petition</w:t>
      </w:r>
      <w:r>
        <w:t xml:space="preserve"> at 1, 3-4, 7-8.</w:t>
      </w:r>
    </w:p>
  </w:footnote>
  <w:footnote w:id="43">
    <w:p w:rsidR="004D4542" w:rsidRPr="0031312E" w:rsidP="004D4542">
      <w:pPr>
        <w:pStyle w:val="FootnoteText"/>
        <w:rPr>
          <w:i/>
        </w:rPr>
      </w:pPr>
      <w:r>
        <w:rPr>
          <w:rStyle w:val="FootnoteReference"/>
        </w:rPr>
        <w:footnoteRef/>
      </w:r>
      <w:r>
        <w:t xml:space="preserve"> </w:t>
      </w:r>
      <w:r>
        <w:rPr>
          <w:i/>
        </w:rPr>
        <w:t>Id.</w:t>
      </w:r>
    </w:p>
  </w:footnote>
  <w:footnote w:id="44">
    <w:p w:rsidR="00036A44" w:rsidRPr="00752400" w:rsidP="00036A44">
      <w:pPr>
        <w:pStyle w:val="FootnoteText"/>
      </w:pPr>
      <w:r>
        <w:rPr>
          <w:rStyle w:val="FootnoteReference"/>
        </w:rPr>
        <w:footnoteRef/>
      </w:r>
      <w:r>
        <w:t xml:space="preserve"> </w:t>
      </w:r>
      <w:r>
        <w:rPr>
          <w:i/>
        </w:rPr>
        <w:t xml:space="preserve">See, e.g., bebe Petition </w:t>
      </w:r>
      <w:r w:rsidRPr="00F63937">
        <w:t>at 2</w:t>
      </w:r>
      <w:r>
        <w:rPr>
          <w:i/>
        </w:rPr>
        <w:t xml:space="preserve"> </w:t>
      </w:r>
      <w:r>
        <w:t>(“[t]hus, whenever a member provided her cell phone number (e.g., on-line, at a point of sale or on a client capture card)</w:t>
      </w:r>
      <w:r>
        <w:rPr>
          <w:i/>
        </w:rPr>
        <w:t xml:space="preserve">, </w:t>
      </w:r>
      <w:r>
        <w:t>the consumer’s express consent to receive a single, confirmatory, opt-in text message [] was confirmed through his or her participation in clubbebe.”)</w:t>
      </w:r>
      <w:r w:rsidR="00752400">
        <w:t xml:space="preserve">; </w:t>
      </w:r>
      <w:r w:rsidR="00752400">
        <w:rPr>
          <w:i/>
        </w:rPr>
        <w:t xml:space="preserve">see also </w:t>
      </w:r>
      <w:r w:rsidR="00027CE3">
        <w:rPr>
          <w:i/>
        </w:rPr>
        <w:t>b</w:t>
      </w:r>
      <w:r w:rsidR="00752400">
        <w:rPr>
          <w:i/>
        </w:rPr>
        <w:t xml:space="preserve">ebe </w:t>
      </w:r>
      <w:r w:rsidR="00752400">
        <w:t>Reply Comments at 2-3</w:t>
      </w:r>
      <w:r w:rsidR="00027CE3">
        <w:t xml:space="preserve"> (noting that customers can enroll in clubbebe in a bebe store, on bebe.com, on bebe’s mobile application, or through bebe’s customer service line)</w:t>
      </w:r>
      <w:r w:rsidR="00752400">
        <w:t>.</w:t>
      </w:r>
    </w:p>
  </w:footnote>
  <w:footnote w:id="45">
    <w:p w:rsidR="00036A44" w:rsidRPr="00697A95" w:rsidP="00036A44">
      <w:pPr>
        <w:pStyle w:val="FootnoteText"/>
      </w:pPr>
      <w:r>
        <w:rPr>
          <w:rStyle w:val="FootnoteReference"/>
        </w:rPr>
        <w:footnoteRef/>
      </w:r>
      <w:r>
        <w:t xml:space="preserve"> </w:t>
      </w:r>
      <w:r>
        <w:rPr>
          <w:i/>
        </w:rPr>
        <w:t>Id.</w:t>
      </w:r>
      <w:r>
        <w:t xml:space="preserve">; </w:t>
      </w:r>
      <w:r>
        <w:rPr>
          <w:i/>
        </w:rPr>
        <w:t xml:space="preserve">see also bebe Ex Parte </w:t>
      </w:r>
      <w:r>
        <w:t>at 4 (noting that, as part of her enrollment, Ms. Barrett orally provided bebe with her information – including her mobile phone number – in a bebe store at the point of sale).</w:t>
      </w:r>
    </w:p>
  </w:footnote>
  <w:footnote w:id="46">
    <w:p w:rsidR="00DC46CD">
      <w:pPr>
        <w:pStyle w:val="FootnoteText"/>
      </w:pPr>
      <w:r>
        <w:rPr>
          <w:rStyle w:val="FootnoteReference"/>
        </w:rPr>
        <w:footnoteRef/>
      </w:r>
      <w:r>
        <w:t xml:space="preserve"> </w:t>
      </w:r>
      <w:r>
        <w:rPr>
          <w:i/>
        </w:rPr>
        <w:t xml:space="preserve">Bebe </w:t>
      </w:r>
      <w:r>
        <w:t>Reply Comments at 2</w:t>
      </w:r>
      <w:r w:rsidR="00404E49">
        <w:t xml:space="preserve">, </w:t>
      </w:r>
      <w:r w:rsidR="00752400">
        <w:t>6</w:t>
      </w:r>
      <w:r w:rsidR="00404E49">
        <w:t>-8</w:t>
      </w:r>
      <w:r>
        <w:t xml:space="preserve">; </w:t>
      </w:r>
      <w:r>
        <w:rPr>
          <w:i/>
        </w:rPr>
        <w:t xml:space="preserve">see also </w:t>
      </w:r>
      <w:r w:rsidR="004B614C">
        <w:rPr>
          <w:i/>
        </w:rPr>
        <w:t>b</w:t>
      </w:r>
      <w:r>
        <w:rPr>
          <w:i/>
        </w:rPr>
        <w:t xml:space="preserve">ebe Ex Parte </w:t>
      </w:r>
      <w:r>
        <w:t xml:space="preserve">at </w:t>
      </w:r>
      <w:r w:rsidR="00965636">
        <w:t>3-</w:t>
      </w:r>
      <w:r>
        <w:t>4.</w:t>
      </w:r>
    </w:p>
  </w:footnote>
  <w:footnote w:id="47">
    <w:p w:rsidR="00FA2461" w:rsidRPr="009341FD" w:rsidP="00FA2461">
      <w:pPr>
        <w:pStyle w:val="FootnoteText"/>
      </w:pPr>
      <w:r>
        <w:rPr>
          <w:rStyle w:val="FootnoteReference"/>
        </w:rPr>
        <w:footnoteRef/>
      </w:r>
      <w:r>
        <w:t xml:space="preserve"> </w:t>
      </w:r>
      <w:r w:rsidR="00127FF8">
        <w:rPr>
          <w:i/>
        </w:rPr>
        <w:t xml:space="preserve">2015 TCPA Declaratory Ruling, </w:t>
      </w:r>
      <w:r w:rsidR="00127FF8">
        <w:t>30 FCC Rcd</w:t>
      </w:r>
      <w:r w:rsidR="00127FF8">
        <w:rPr>
          <w:i/>
        </w:rPr>
        <w:t xml:space="preserve"> </w:t>
      </w:r>
      <w:r w:rsidR="00127FF8">
        <w:t>at 8014</w:t>
      </w:r>
      <w:r w:rsidR="00276F9C">
        <w:t>-15</w:t>
      </w:r>
      <w:r w:rsidR="00127FF8">
        <w:t>, para. 10</w:t>
      </w:r>
      <w:r w:rsidR="00276F9C">
        <w:t>2</w:t>
      </w:r>
      <w:r w:rsidR="00EB0E8E">
        <w:t xml:space="preserve">; </w:t>
      </w:r>
      <w:r w:rsidR="00EB0E8E">
        <w:rPr>
          <w:i/>
        </w:rPr>
        <w:t xml:space="preserve">see also 2016 Waiver Order, </w:t>
      </w:r>
      <w:r w:rsidR="00EB0E8E">
        <w:t>33 FCC Rcd at 11651, para.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7A47">
      <w:t>DA 1</w:t>
    </w:r>
    <w:r w:rsidR="00BD0A0B">
      <w:t>9</w:t>
    </w:r>
    <w:r w:rsidR="00707A47">
      <w:t>-</w:t>
    </w:r>
    <w:r w:rsidR="00421353">
      <w:t>562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C39C4">
      <w:t>DA 1</w:t>
    </w:r>
    <w:r w:rsidR="00D63207">
      <w:t>9</w:t>
    </w:r>
    <w:r w:rsidR="002C39C4">
      <w:t>-</w:t>
    </w:r>
    <w:r w:rsidR="00421353">
      <w:t>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pStyle w:val="TOC6"/>
      <w:lvlText w:val="%1."/>
      <w:lvlJc w:val="left"/>
      <w:pPr>
        <w:tabs>
          <w:tab w:val="num" w:pos="1080"/>
        </w:tabs>
        <w:ind w:firstLine="720"/>
      </w:pPr>
      <w:rPr>
        <w:rFonts w:ascii="Times New Roman" w:hAnsi="Times New Roman" w:cs="Times New Roman" w:hint="default"/>
        <w:b w:val="0"/>
        <w:bCs w:val="0"/>
        <w:i w:val="0"/>
        <w:iCs w:val="0"/>
        <w:caps w:val="0"/>
        <w:strike w:val="0"/>
        <w:dstrike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bCs/>
        <w:i w:val="0"/>
        <w:iCs w:val="0"/>
        <w:caps w:val="0"/>
        <w:strike w:val="0"/>
        <w:dstrike w:val="0"/>
        <w:vanish w:val="0"/>
        <w:color w:val="000000"/>
        <w:sz w:val="22"/>
        <w:szCs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cs="Tahoma" w:hint="default"/>
        <w:b/>
        <w:bCs/>
        <w:i w:val="0"/>
        <w:iCs w:val="0"/>
        <w:caps w:val="0"/>
        <w:strike w:val="0"/>
        <w:dstrike w:val="0"/>
        <w:vanish w:val="0"/>
        <w:sz w:val="22"/>
        <w:szCs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rPr>
        <w:b/>
        <w:bCs/>
        <w:i w:val="0"/>
        <w:iCs w:val="0"/>
        <w:sz w:val="22"/>
        <w:szCs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44"/>
    <w:rsid w:val="00027CE3"/>
    <w:rsid w:val="00036039"/>
    <w:rsid w:val="00036A44"/>
    <w:rsid w:val="00037F90"/>
    <w:rsid w:val="000507BE"/>
    <w:rsid w:val="00067047"/>
    <w:rsid w:val="000849BE"/>
    <w:rsid w:val="000875BF"/>
    <w:rsid w:val="00096D8C"/>
    <w:rsid w:val="000A2657"/>
    <w:rsid w:val="000A7A78"/>
    <w:rsid w:val="000B268F"/>
    <w:rsid w:val="000C0B65"/>
    <w:rsid w:val="000D202E"/>
    <w:rsid w:val="000E05FE"/>
    <w:rsid w:val="000E3D42"/>
    <w:rsid w:val="000F34AA"/>
    <w:rsid w:val="00121E28"/>
    <w:rsid w:val="00122BD5"/>
    <w:rsid w:val="00127FF8"/>
    <w:rsid w:val="00133F79"/>
    <w:rsid w:val="00143A9C"/>
    <w:rsid w:val="001441A3"/>
    <w:rsid w:val="00155856"/>
    <w:rsid w:val="00194A66"/>
    <w:rsid w:val="001B307E"/>
    <w:rsid w:val="001D6BCF"/>
    <w:rsid w:val="001E01CA"/>
    <w:rsid w:val="001E6124"/>
    <w:rsid w:val="001E61C1"/>
    <w:rsid w:val="00224060"/>
    <w:rsid w:val="00235D96"/>
    <w:rsid w:val="0024744A"/>
    <w:rsid w:val="00274ED7"/>
    <w:rsid w:val="00275CF5"/>
    <w:rsid w:val="00276F9C"/>
    <w:rsid w:val="00282F8B"/>
    <w:rsid w:val="0028301F"/>
    <w:rsid w:val="00285017"/>
    <w:rsid w:val="00290D4E"/>
    <w:rsid w:val="00295F36"/>
    <w:rsid w:val="00297987"/>
    <w:rsid w:val="002A13BF"/>
    <w:rsid w:val="002A2D2E"/>
    <w:rsid w:val="002C00E8"/>
    <w:rsid w:val="002C0E0B"/>
    <w:rsid w:val="002C39C4"/>
    <w:rsid w:val="002D5F65"/>
    <w:rsid w:val="0031312E"/>
    <w:rsid w:val="0033593C"/>
    <w:rsid w:val="00343749"/>
    <w:rsid w:val="00356CD5"/>
    <w:rsid w:val="003660ED"/>
    <w:rsid w:val="003A346A"/>
    <w:rsid w:val="003B0550"/>
    <w:rsid w:val="003B694F"/>
    <w:rsid w:val="003F171C"/>
    <w:rsid w:val="00404E49"/>
    <w:rsid w:val="00412FC5"/>
    <w:rsid w:val="00421353"/>
    <w:rsid w:val="00422276"/>
    <w:rsid w:val="004242F1"/>
    <w:rsid w:val="00432DC2"/>
    <w:rsid w:val="00434792"/>
    <w:rsid w:val="00445A00"/>
    <w:rsid w:val="00445EFC"/>
    <w:rsid w:val="00451B0F"/>
    <w:rsid w:val="00457F33"/>
    <w:rsid w:val="00467A51"/>
    <w:rsid w:val="004701B2"/>
    <w:rsid w:val="0047771D"/>
    <w:rsid w:val="004B614C"/>
    <w:rsid w:val="004C2EE3"/>
    <w:rsid w:val="004D4542"/>
    <w:rsid w:val="004E4A22"/>
    <w:rsid w:val="004E5F2E"/>
    <w:rsid w:val="00511968"/>
    <w:rsid w:val="0051275A"/>
    <w:rsid w:val="00533A1F"/>
    <w:rsid w:val="00552AA5"/>
    <w:rsid w:val="0055614C"/>
    <w:rsid w:val="00566D06"/>
    <w:rsid w:val="005752CD"/>
    <w:rsid w:val="005873C2"/>
    <w:rsid w:val="005A6BA6"/>
    <w:rsid w:val="005E14C2"/>
    <w:rsid w:val="005E72A9"/>
    <w:rsid w:val="00607BA5"/>
    <w:rsid w:val="0061180A"/>
    <w:rsid w:val="00626EB6"/>
    <w:rsid w:val="00635C78"/>
    <w:rsid w:val="00655D03"/>
    <w:rsid w:val="0066235E"/>
    <w:rsid w:val="00683388"/>
    <w:rsid w:val="00683F84"/>
    <w:rsid w:val="0068605E"/>
    <w:rsid w:val="00697A95"/>
    <w:rsid w:val="006A6A81"/>
    <w:rsid w:val="006B7EF3"/>
    <w:rsid w:val="006F7393"/>
    <w:rsid w:val="0070224F"/>
    <w:rsid w:val="00707A47"/>
    <w:rsid w:val="007115F7"/>
    <w:rsid w:val="00717675"/>
    <w:rsid w:val="007239C2"/>
    <w:rsid w:val="00751AC3"/>
    <w:rsid w:val="00752400"/>
    <w:rsid w:val="00785689"/>
    <w:rsid w:val="0079754B"/>
    <w:rsid w:val="007A1E6D"/>
    <w:rsid w:val="007A469E"/>
    <w:rsid w:val="007B0EB2"/>
    <w:rsid w:val="007C4075"/>
    <w:rsid w:val="00810B6F"/>
    <w:rsid w:val="00822CE0"/>
    <w:rsid w:val="00841AB1"/>
    <w:rsid w:val="0084497E"/>
    <w:rsid w:val="00860A5A"/>
    <w:rsid w:val="008C5A0A"/>
    <w:rsid w:val="008C68F1"/>
    <w:rsid w:val="008D7F1F"/>
    <w:rsid w:val="00914F42"/>
    <w:rsid w:val="00921803"/>
    <w:rsid w:val="00926503"/>
    <w:rsid w:val="009341FD"/>
    <w:rsid w:val="0094746A"/>
    <w:rsid w:val="00965636"/>
    <w:rsid w:val="009726D8"/>
    <w:rsid w:val="00981859"/>
    <w:rsid w:val="009B3ECF"/>
    <w:rsid w:val="009D6044"/>
    <w:rsid w:val="009D7308"/>
    <w:rsid w:val="009E1648"/>
    <w:rsid w:val="009F76DB"/>
    <w:rsid w:val="00A118F5"/>
    <w:rsid w:val="00A1455B"/>
    <w:rsid w:val="00A32C3B"/>
    <w:rsid w:val="00A45F4F"/>
    <w:rsid w:val="00A54F3B"/>
    <w:rsid w:val="00A600A9"/>
    <w:rsid w:val="00A726F2"/>
    <w:rsid w:val="00AA55B7"/>
    <w:rsid w:val="00AA5B9E"/>
    <w:rsid w:val="00AB2407"/>
    <w:rsid w:val="00AB53DF"/>
    <w:rsid w:val="00AC5D15"/>
    <w:rsid w:val="00B04125"/>
    <w:rsid w:val="00B07E5C"/>
    <w:rsid w:val="00B22D1B"/>
    <w:rsid w:val="00B45F62"/>
    <w:rsid w:val="00B7113D"/>
    <w:rsid w:val="00B811F7"/>
    <w:rsid w:val="00B91E4A"/>
    <w:rsid w:val="00B971EC"/>
    <w:rsid w:val="00BA2294"/>
    <w:rsid w:val="00BA5DC6"/>
    <w:rsid w:val="00BA6196"/>
    <w:rsid w:val="00BA6956"/>
    <w:rsid w:val="00BB09F5"/>
    <w:rsid w:val="00BC50AE"/>
    <w:rsid w:val="00BC6D8C"/>
    <w:rsid w:val="00BD0A0B"/>
    <w:rsid w:val="00C2595D"/>
    <w:rsid w:val="00C34006"/>
    <w:rsid w:val="00C36B4C"/>
    <w:rsid w:val="00C426B1"/>
    <w:rsid w:val="00C66160"/>
    <w:rsid w:val="00C721AC"/>
    <w:rsid w:val="00C76264"/>
    <w:rsid w:val="00C80E2E"/>
    <w:rsid w:val="00C87381"/>
    <w:rsid w:val="00C879C8"/>
    <w:rsid w:val="00C87F00"/>
    <w:rsid w:val="00C90D6A"/>
    <w:rsid w:val="00C91C78"/>
    <w:rsid w:val="00CA247E"/>
    <w:rsid w:val="00CA6D21"/>
    <w:rsid w:val="00CC72B6"/>
    <w:rsid w:val="00CD1A23"/>
    <w:rsid w:val="00D0218D"/>
    <w:rsid w:val="00D20A94"/>
    <w:rsid w:val="00D20FBC"/>
    <w:rsid w:val="00D25FB5"/>
    <w:rsid w:val="00D44223"/>
    <w:rsid w:val="00D63207"/>
    <w:rsid w:val="00D664C0"/>
    <w:rsid w:val="00DA2529"/>
    <w:rsid w:val="00DA3AFC"/>
    <w:rsid w:val="00DA72E8"/>
    <w:rsid w:val="00DB130A"/>
    <w:rsid w:val="00DB2EBB"/>
    <w:rsid w:val="00DC10A1"/>
    <w:rsid w:val="00DC46CD"/>
    <w:rsid w:val="00DC655F"/>
    <w:rsid w:val="00DD0B59"/>
    <w:rsid w:val="00DD7EBD"/>
    <w:rsid w:val="00DE39DA"/>
    <w:rsid w:val="00DE4337"/>
    <w:rsid w:val="00DF62B6"/>
    <w:rsid w:val="00E07225"/>
    <w:rsid w:val="00E1437F"/>
    <w:rsid w:val="00E20684"/>
    <w:rsid w:val="00E45761"/>
    <w:rsid w:val="00E464C1"/>
    <w:rsid w:val="00E5409F"/>
    <w:rsid w:val="00E64513"/>
    <w:rsid w:val="00E748F3"/>
    <w:rsid w:val="00E76E8E"/>
    <w:rsid w:val="00EB0E8E"/>
    <w:rsid w:val="00EE0641"/>
    <w:rsid w:val="00EE6488"/>
    <w:rsid w:val="00F021FA"/>
    <w:rsid w:val="00F610A1"/>
    <w:rsid w:val="00F62E97"/>
    <w:rsid w:val="00F63937"/>
    <w:rsid w:val="00F64209"/>
    <w:rsid w:val="00F67974"/>
    <w:rsid w:val="00F84870"/>
    <w:rsid w:val="00F93BF5"/>
    <w:rsid w:val="00FA2461"/>
    <w:rsid w:val="00FE0C50"/>
    <w:rsid w:val="00FF53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933C7D-40BF-47A4-9611-A441033A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53"/>
    <w:pPr>
      <w:widowControl w:val="0"/>
    </w:pPr>
    <w:rPr>
      <w:snapToGrid w:val="0"/>
      <w:kern w:val="28"/>
      <w:sz w:val="22"/>
    </w:rPr>
  </w:style>
  <w:style w:type="paragraph" w:styleId="Heading1">
    <w:name w:val="heading 1"/>
    <w:basedOn w:val="Normal"/>
    <w:next w:val="ParaNum"/>
    <w:link w:val="Heading1Char"/>
    <w:qFormat/>
    <w:rsid w:val="004213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21353"/>
    <w:pPr>
      <w:keepNext/>
      <w:numPr>
        <w:ilvl w:val="1"/>
        <w:numId w:val="3"/>
      </w:numPr>
      <w:spacing w:after="120"/>
      <w:outlineLvl w:val="1"/>
    </w:pPr>
    <w:rPr>
      <w:b/>
    </w:rPr>
  </w:style>
  <w:style w:type="paragraph" w:styleId="Heading3">
    <w:name w:val="heading 3"/>
    <w:basedOn w:val="Normal"/>
    <w:next w:val="ParaNum"/>
    <w:qFormat/>
    <w:rsid w:val="00421353"/>
    <w:pPr>
      <w:keepNext/>
      <w:numPr>
        <w:ilvl w:val="2"/>
        <w:numId w:val="3"/>
      </w:numPr>
      <w:tabs>
        <w:tab w:val="left" w:pos="2160"/>
      </w:tabs>
      <w:spacing w:after="120"/>
      <w:outlineLvl w:val="2"/>
    </w:pPr>
    <w:rPr>
      <w:b/>
    </w:rPr>
  </w:style>
  <w:style w:type="paragraph" w:styleId="Heading4">
    <w:name w:val="heading 4"/>
    <w:basedOn w:val="Normal"/>
    <w:next w:val="ParaNum"/>
    <w:qFormat/>
    <w:rsid w:val="00421353"/>
    <w:pPr>
      <w:keepNext/>
      <w:numPr>
        <w:ilvl w:val="3"/>
        <w:numId w:val="3"/>
      </w:numPr>
      <w:tabs>
        <w:tab w:val="left" w:pos="2880"/>
      </w:tabs>
      <w:spacing w:after="120"/>
      <w:outlineLvl w:val="3"/>
    </w:pPr>
    <w:rPr>
      <w:b/>
    </w:rPr>
  </w:style>
  <w:style w:type="paragraph" w:styleId="Heading5">
    <w:name w:val="heading 5"/>
    <w:basedOn w:val="Normal"/>
    <w:next w:val="ParaNum"/>
    <w:qFormat/>
    <w:rsid w:val="004213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1353"/>
    <w:pPr>
      <w:numPr>
        <w:ilvl w:val="5"/>
        <w:numId w:val="3"/>
      </w:numPr>
      <w:tabs>
        <w:tab w:val="left" w:pos="4320"/>
      </w:tabs>
      <w:spacing w:after="120"/>
      <w:outlineLvl w:val="5"/>
    </w:pPr>
    <w:rPr>
      <w:b/>
    </w:rPr>
  </w:style>
  <w:style w:type="paragraph" w:styleId="Heading7">
    <w:name w:val="heading 7"/>
    <w:basedOn w:val="Normal"/>
    <w:next w:val="ParaNum"/>
    <w:qFormat/>
    <w:rsid w:val="004213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13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13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13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353"/>
  </w:style>
  <w:style w:type="paragraph" w:customStyle="1" w:styleId="ParaNum">
    <w:name w:val="ParaNum"/>
    <w:basedOn w:val="Normal"/>
    <w:link w:val="ParaNumChar1"/>
    <w:rsid w:val="00421353"/>
    <w:pPr>
      <w:numPr>
        <w:numId w:val="2"/>
      </w:numPr>
      <w:tabs>
        <w:tab w:val="clear" w:pos="1080"/>
        <w:tab w:val="num" w:pos="1440"/>
      </w:tabs>
      <w:spacing w:after="120"/>
    </w:pPr>
  </w:style>
  <w:style w:type="paragraph" w:styleId="EndnoteText">
    <w:name w:val="endnote text"/>
    <w:basedOn w:val="Normal"/>
    <w:semiHidden/>
    <w:rsid w:val="00421353"/>
    <w:rPr>
      <w:sz w:val="20"/>
    </w:rPr>
  </w:style>
  <w:style w:type="character" w:styleId="EndnoteReference">
    <w:name w:val="endnote reference"/>
    <w:semiHidden/>
    <w:rsid w:val="00421353"/>
    <w:rPr>
      <w:vertAlign w:val="superscript"/>
    </w:rPr>
  </w:style>
  <w:style w:type="paragraph" w:styleId="FootnoteText">
    <w:name w:val="footnote text"/>
    <w:aliases w:val="ALTS FOOTNOTE,Footnote Text Char,Footnote Text Char Char Char Char,Footnote Text Char Char Char Char Char Char1,Footnote Text Char1,Footnote Text Char1 Char Char,Footnote Text Char1 Char Char Char Char1,Footnote Text Char2 Char,f,fn,fn Ch"/>
    <w:link w:val="FootnoteTextChar2"/>
    <w:rsid w:val="00421353"/>
    <w:pPr>
      <w:spacing w:after="120"/>
    </w:pPr>
  </w:style>
  <w:style w:type="character" w:styleId="FootnoteReference">
    <w:name w:val="footnote reference"/>
    <w:aliases w:val="(NECG) Footnote Reference,Appel note de bas de p,FR,Footnote Reference/,Style 12,Style 124,Style 13,Style 17,Style 3,Style 6,fr,o"/>
    <w:rsid w:val="00421353"/>
    <w:rPr>
      <w:rFonts w:ascii="Times New Roman" w:hAnsi="Times New Roman"/>
      <w:dstrike w:val="0"/>
      <w:color w:val="auto"/>
      <w:sz w:val="20"/>
      <w:vertAlign w:val="superscript"/>
    </w:rPr>
  </w:style>
  <w:style w:type="paragraph" w:styleId="TOC1">
    <w:name w:val="toc 1"/>
    <w:basedOn w:val="Normal"/>
    <w:next w:val="Normal"/>
    <w:semiHidden/>
    <w:rsid w:val="0042135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1353"/>
    <w:pPr>
      <w:tabs>
        <w:tab w:val="left" w:pos="720"/>
        <w:tab w:val="right" w:leader="dot" w:pos="9360"/>
      </w:tabs>
      <w:suppressAutoHyphens/>
      <w:ind w:left="720" w:right="720" w:hanging="360"/>
    </w:pPr>
    <w:rPr>
      <w:noProof/>
    </w:rPr>
  </w:style>
  <w:style w:type="paragraph" w:styleId="TOC3">
    <w:name w:val="toc 3"/>
    <w:basedOn w:val="Normal"/>
    <w:next w:val="Normal"/>
    <w:semiHidden/>
    <w:rsid w:val="004213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13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13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13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13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13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13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1353"/>
    <w:pPr>
      <w:tabs>
        <w:tab w:val="right" w:pos="9360"/>
      </w:tabs>
      <w:suppressAutoHyphens/>
    </w:pPr>
  </w:style>
  <w:style w:type="character" w:customStyle="1" w:styleId="EquationCaption">
    <w:name w:val="_Equation Caption"/>
    <w:rsid w:val="00421353"/>
  </w:style>
  <w:style w:type="paragraph" w:styleId="Header">
    <w:name w:val="header"/>
    <w:basedOn w:val="Normal"/>
    <w:autoRedefine/>
    <w:rsid w:val="00421353"/>
    <w:pPr>
      <w:tabs>
        <w:tab w:val="center" w:pos="4680"/>
        <w:tab w:val="right" w:pos="9360"/>
      </w:tabs>
    </w:pPr>
    <w:rPr>
      <w:b/>
    </w:rPr>
  </w:style>
  <w:style w:type="paragraph" w:styleId="Footer">
    <w:name w:val="footer"/>
    <w:basedOn w:val="Normal"/>
    <w:link w:val="FooterChar"/>
    <w:uiPriority w:val="99"/>
    <w:rsid w:val="00421353"/>
    <w:pPr>
      <w:tabs>
        <w:tab w:val="center" w:pos="4320"/>
        <w:tab w:val="right" w:pos="8640"/>
      </w:tabs>
    </w:pPr>
  </w:style>
  <w:style w:type="character" w:styleId="PageNumber">
    <w:name w:val="page number"/>
    <w:basedOn w:val="DefaultParagraphFont"/>
    <w:rsid w:val="00421353"/>
  </w:style>
  <w:style w:type="paragraph" w:styleId="BlockText">
    <w:name w:val="Block Text"/>
    <w:basedOn w:val="Normal"/>
    <w:rsid w:val="00421353"/>
    <w:pPr>
      <w:spacing w:after="240"/>
      <w:ind w:left="1440" w:right="1440"/>
    </w:pPr>
  </w:style>
  <w:style w:type="paragraph" w:customStyle="1" w:styleId="Paratitle">
    <w:name w:val="Para title"/>
    <w:basedOn w:val="Normal"/>
    <w:rsid w:val="00421353"/>
    <w:pPr>
      <w:tabs>
        <w:tab w:val="center" w:pos="9270"/>
      </w:tabs>
      <w:spacing w:after="240"/>
    </w:pPr>
    <w:rPr>
      <w:spacing w:val="-2"/>
    </w:rPr>
  </w:style>
  <w:style w:type="paragraph" w:customStyle="1" w:styleId="Bullet">
    <w:name w:val="Bullet"/>
    <w:basedOn w:val="Normal"/>
    <w:rsid w:val="00421353"/>
    <w:pPr>
      <w:tabs>
        <w:tab w:val="left" w:pos="2160"/>
      </w:tabs>
      <w:spacing w:after="220"/>
      <w:ind w:left="2160" w:hanging="720"/>
    </w:pPr>
  </w:style>
  <w:style w:type="paragraph" w:customStyle="1" w:styleId="TableFormat">
    <w:name w:val="TableFormat"/>
    <w:basedOn w:val="Bullet"/>
    <w:rsid w:val="00421353"/>
    <w:pPr>
      <w:tabs>
        <w:tab w:val="clear" w:pos="2160"/>
        <w:tab w:val="left" w:pos="5040"/>
      </w:tabs>
      <w:ind w:left="5040" w:hanging="3600"/>
    </w:pPr>
  </w:style>
  <w:style w:type="paragraph" w:customStyle="1" w:styleId="TOCTitle">
    <w:name w:val="TOC Title"/>
    <w:basedOn w:val="Normal"/>
    <w:rsid w:val="004213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1353"/>
    <w:pPr>
      <w:jc w:val="center"/>
    </w:pPr>
    <w:rPr>
      <w:rFonts w:ascii="Times New Roman Bold" w:hAnsi="Times New Roman Bold"/>
      <w:b/>
      <w:bCs/>
      <w:caps/>
      <w:szCs w:val="22"/>
    </w:rPr>
  </w:style>
  <w:style w:type="character" w:styleId="Hyperlink">
    <w:name w:val="Hyperlink"/>
    <w:rsid w:val="00421353"/>
    <w:rPr>
      <w:color w:val="0000FF"/>
      <w:u w:val="single"/>
    </w:rPr>
  </w:style>
  <w:style w:type="character" w:customStyle="1" w:styleId="FooterChar">
    <w:name w:val="Footer Char"/>
    <w:link w:val="Footer"/>
    <w:uiPriority w:val="99"/>
    <w:rsid w:val="00421353"/>
    <w:rPr>
      <w:snapToGrid w:val="0"/>
      <w:kern w:val="28"/>
      <w:sz w:val="22"/>
    </w:rPr>
  </w:style>
  <w:style w:type="character" w:customStyle="1" w:styleId="Heading1Char">
    <w:name w:val="Heading 1 Char"/>
    <w:link w:val="Heading1"/>
    <w:rsid w:val="009D6044"/>
    <w:rPr>
      <w:rFonts w:ascii="Times New Roman Bold" w:hAnsi="Times New Roman Bold"/>
      <w:b/>
      <w:caps/>
      <w:snapToGrid w:val="0"/>
      <w:kern w:val="28"/>
      <w:sz w:val="22"/>
    </w:rPr>
  </w:style>
  <w:style w:type="character" w:customStyle="1" w:styleId="Heading2Char">
    <w:name w:val="Heading 2 Char"/>
    <w:link w:val="Heading2"/>
    <w:rsid w:val="009D6044"/>
    <w:rPr>
      <w:b/>
      <w:snapToGrid w:val="0"/>
      <w:kern w:val="28"/>
      <w:sz w:val="22"/>
    </w:rPr>
  </w:style>
  <w:style w:type="character" w:customStyle="1" w:styleId="FootnoteTextChar2">
    <w:name w:val="Footnote Text Char2"/>
    <w:aliases w:val="ALTS FOOTNOTE Char,Footnote Text Char Char Char Char Char,Footnote Text Char1 Char,Footnote Text Char1 Char Char Char,Footnote Text Char1 Char Char Char Char1 Char,Footnote Text Char2 Char Char,f Char,fn Ch Char,fn Char"/>
    <w:link w:val="FootnoteText"/>
    <w:locked/>
    <w:rsid w:val="009D6044"/>
  </w:style>
  <w:style w:type="character" w:customStyle="1" w:styleId="ParaNumChar1">
    <w:name w:val="ParaNum Char1"/>
    <w:link w:val="ParaNum"/>
    <w:rsid w:val="009D6044"/>
    <w:rPr>
      <w:snapToGrid w:val="0"/>
      <w:kern w:val="28"/>
      <w:sz w:val="22"/>
    </w:rPr>
  </w:style>
  <w:style w:type="paragraph" w:styleId="BalloonText">
    <w:name w:val="Balloon Text"/>
    <w:basedOn w:val="Normal"/>
    <w:link w:val="BalloonTextChar"/>
    <w:rsid w:val="00751AC3"/>
    <w:rPr>
      <w:rFonts w:ascii="Segoe UI" w:hAnsi="Segoe UI" w:cs="Segoe UI"/>
      <w:sz w:val="18"/>
      <w:szCs w:val="18"/>
    </w:rPr>
  </w:style>
  <w:style w:type="character" w:customStyle="1" w:styleId="BalloonTextChar">
    <w:name w:val="Balloon Text Char"/>
    <w:link w:val="BalloonText"/>
    <w:rsid w:val="00751AC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