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EE17A2" w:rsidP="00C82B6B">
      <w:pPr>
        <w:jc w:val="right"/>
        <w:rPr>
          <w:szCs w:val="22"/>
        </w:rPr>
      </w:pPr>
    </w:p>
    <w:p w:rsidR="00013A8B" w:rsidRPr="00EE17A2" w:rsidP="00013A8B">
      <w:pPr>
        <w:jc w:val="right"/>
        <w:rPr>
          <w:b/>
          <w:szCs w:val="22"/>
        </w:rPr>
      </w:pPr>
      <w:r>
        <w:rPr>
          <w:b/>
          <w:szCs w:val="22"/>
        </w:rPr>
        <w:t>DA 19-577</w:t>
      </w:r>
    </w:p>
    <w:p w:rsidR="00013A8B" w:rsidRPr="00EE17A2" w:rsidP="00013A8B">
      <w:pPr>
        <w:spacing w:before="60"/>
        <w:jc w:val="right"/>
        <w:rPr>
          <w:b/>
          <w:szCs w:val="22"/>
        </w:rPr>
      </w:pPr>
      <w:r w:rsidRPr="00EE17A2">
        <w:rPr>
          <w:b/>
          <w:szCs w:val="22"/>
        </w:rPr>
        <w:t xml:space="preserve">Released:  </w:t>
      </w:r>
      <w:r w:rsidR="00E77D7F">
        <w:rPr>
          <w:b/>
          <w:szCs w:val="22"/>
        </w:rPr>
        <w:t>June 20, 2019</w:t>
      </w:r>
    </w:p>
    <w:p w:rsidR="00013A8B" w:rsidRPr="00EE17A2" w:rsidP="00013A8B">
      <w:pPr>
        <w:jc w:val="right"/>
        <w:rPr>
          <w:szCs w:val="22"/>
        </w:rPr>
      </w:pPr>
    </w:p>
    <w:p w:rsidR="005F2D09" w:rsidRPr="002D735F" w:rsidP="005F2D09">
      <w:pPr>
        <w:spacing w:after="120"/>
        <w:jc w:val="center"/>
        <w:rPr>
          <w:rFonts w:ascii="Times New Roman Bold" w:hAnsi="Times New Roman Bold"/>
          <w:b/>
          <w:caps/>
          <w:szCs w:val="22"/>
        </w:rPr>
      </w:pPr>
      <w:r w:rsidRPr="002D735F">
        <w:rPr>
          <w:rFonts w:ascii="Times New Roman Bold" w:hAnsi="Times New Roman Bold"/>
          <w:b/>
          <w:caps/>
          <w:szCs w:val="22"/>
        </w:rPr>
        <w:t xml:space="preserve">wireline competition bureau </w:t>
      </w:r>
      <w:r w:rsidR="006F4FC0">
        <w:rPr>
          <w:rFonts w:ascii="Times New Roman Bold" w:hAnsi="Times New Roman Bold"/>
          <w:b/>
          <w:caps/>
          <w:szCs w:val="22"/>
        </w:rPr>
        <w:t xml:space="preserve">announces </w:t>
      </w:r>
      <w:r w:rsidRPr="002D735F">
        <w:rPr>
          <w:rFonts w:ascii="Times New Roman Bold" w:hAnsi="Times New Roman Bold"/>
          <w:b/>
          <w:caps/>
          <w:szCs w:val="22"/>
        </w:rPr>
        <w:t>clos</w:t>
      </w:r>
      <w:r w:rsidR="006F4FC0">
        <w:rPr>
          <w:rFonts w:ascii="Times New Roman Bold" w:hAnsi="Times New Roman Bold"/>
          <w:b/>
          <w:caps/>
          <w:szCs w:val="22"/>
        </w:rPr>
        <w:t>ure</w:t>
      </w:r>
      <w:r w:rsidRPr="002D735F">
        <w:rPr>
          <w:rFonts w:ascii="Times New Roman Bold" w:hAnsi="Times New Roman Bold"/>
          <w:b/>
          <w:caps/>
          <w:szCs w:val="22"/>
        </w:rPr>
        <w:t xml:space="preserve"> and archiv</w:t>
      </w:r>
      <w:r w:rsidR="006F4FC0">
        <w:rPr>
          <w:rFonts w:ascii="Times New Roman Bold" w:hAnsi="Times New Roman Bold"/>
          <w:b/>
          <w:caps/>
          <w:szCs w:val="22"/>
        </w:rPr>
        <w:t>ing</w:t>
      </w:r>
      <w:r w:rsidRPr="002D735F">
        <w:rPr>
          <w:rFonts w:ascii="Times New Roman Bold" w:hAnsi="Times New Roman Bold"/>
          <w:b/>
          <w:caps/>
          <w:szCs w:val="22"/>
        </w:rPr>
        <w:t xml:space="preserve"> </w:t>
      </w:r>
      <w:r w:rsidR="006F4FC0">
        <w:rPr>
          <w:rFonts w:ascii="Times New Roman Bold" w:hAnsi="Times New Roman Bold"/>
          <w:b/>
          <w:caps/>
          <w:szCs w:val="22"/>
        </w:rPr>
        <w:t xml:space="preserve">of </w:t>
      </w:r>
      <w:r w:rsidRPr="002D735F">
        <w:rPr>
          <w:rFonts w:ascii="Times New Roman Bold" w:hAnsi="Times New Roman Bold"/>
          <w:b/>
          <w:caps/>
          <w:szCs w:val="22"/>
        </w:rPr>
        <w:t xml:space="preserve">secure data enclave in price cap business data services and usTelecom forbearance petition proceedings </w:t>
      </w:r>
    </w:p>
    <w:p w:rsidR="005F2D09" w:rsidRPr="002D735F" w:rsidP="005F2D09">
      <w:pPr>
        <w:spacing w:after="240"/>
        <w:jc w:val="center"/>
        <w:rPr>
          <w:b/>
          <w:szCs w:val="22"/>
        </w:rPr>
      </w:pPr>
      <w:r>
        <w:rPr>
          <w:b/>
          <w:szCs w:val="22"/>
        </w:rPr>
        <w:t xml:space="preserve">WC Docket Nos. </w:t>
      </w:r>
      <w:r w:rsidRPr="00E77D7F">
        <w:rPr>
          <w:b/>
          <w:szCs w:val="22"/>
        </w:rPr>
        <w:t>18-144, 17-144, 16-143, 05-25; RM 10593</w:t>
      </w:r>
    </w:p>
    <w:p w:rsidR="005F2D09" w:rsidRPr="00EE17A2" w:rsidP="005F2D09">
      <w:pPr>
        <w:spacing w:after="120"/>
        <w:ind w:firstLine="720"/>
        <w:rPr>
          <w:szCs w:val="22"/>
        </w:rPr>
      </w:pPr>
      <w:r w:rsidRPr="00EE17A2">
        <w:rPr>
          <w:szCs w:val="22"/>
        </w:rPr>
        <w:t xml:space="preserve">By this Public Notice, the Wireline Competition Bureau (Bureau) announces that access to the Secure Data Enclave containing highly confidential data submitted in the </w:t>
      </w:r>
      <w:r w:rsidRPr="00EE17A2">
        <w:rPr>
          <w:i/>
          <w:szCs w:val="22"/>
        </w:rPr>
        <w:t>2015 Data Collection</w:t>
      </w:r>
      <w:r w:rsidRPr="00EE17A2">
        <w:rPr>
          <w:szCs w:val="22"/>
        </w:rPr>
        <w:t xml:space="preserve"> in the price cap business data services (BDS) proceedings, will close </w:t>
      </w:r>
      <w:r w:rsidR="0056467A">
        <w:rPr>
          <w:szCs w:val="22"/>
        </w:rPr>
        <w:t xml:space="preserve">after </w:t>
      </w:r>
      <w:r w:rsidRPr="00EE17A2">
        <w:rPr>
          <w:szCs w:val="22"/>
        </w:rPr>
        <w:t>June 30, 2019.  All parties’ data and work product stored in the Secure Data Enclave will be saved and archi</w:t>
      </w:r>
      <w:bookmarkStart w:id="0" w:name="_GoBack"/>
      <w:bookmarkEnd w:id="0"/>
      <w:r w:rsidRPr="00EE17A2">
        <w:rPr>
          <w:szCs w:val="22"/>
        </w:rPr>
        <w:t xml:space="preserve">ved as of June 30, 2019, pending </w:t>
      </w:r>
      <w:r w:rsidR="0057077A">
        <w:rPr>
          <w:szCs w:val="22"/>
        </w:rPr>
        <w:t xml:space="preserve">potential </w:t>
      </w:r>
      <w:r w:rsidRPr="00EE17A2">
        <w:rPr>
          <w:szCs w:val="22"/>
        </w:rPr>
        <w:t>judicial or administrative review.</w:t>
      </w:r>
    </w:p>
    <w:p w:rsidR="005F2D09" w:rsidRPr="002D735F" w:rsidP="00EE17A2">
      <w:pPr>
        <w:spacing w:after="120"/>
        <w:rPr>
          <w:szCs w:val="22"/>
        </w:rPr>
      </w:pPr>
      <w:r w:rsidRPr="00EE17A2">
        <w:rPr>
          <w:szCs w:val="22"/>
        </w:rPr>
        <w:tab/>
      </w:r>
      <w:r w:rsidRPr="00EE17A2" w:rsidR="001969C2">
        <w:rPr>
          <w:szCs w:val="22"/>
        </w:rPr>
        <w:t xml:space="preserve">In the </w:t>
      </w:r>
      <w:r w:rsidRPr="002D735F" w:rsidR="008F6A8E">
        <w:rPr>
          <w:i/>
          <w:szCs w:val="22"/>
        </w:rPr>
        <w:t>April 15 Public Notice</w:t>
      </w:r>
      <w:r w:rsidRPr="002D735F" w:rsidR="001969C2">
        <w:rPr>
          <w:szCs w:val="22"/>
        </w:rPr>
        <w:t xml:space="preserve">, the Bureau </w:t>
      </w:r>
      <w:r w:rsidRPr="00EE17A2" w:rsidR="001969C2">
        <w:rPr>
          <w:rFonts w:eastAsia="Calibri"/>
          <w:snapToGrid/>
          <w:kern w:val="0"/>
          <w:szCs w:val="22"/>
        </w:rPr>
        <w:t>sought public comment on the extent to which</w:t>
      </w:r>
      <w:r w:rsidR="0057077A">
        <w:rPr>
          <w:rFonts w:eastAsia="Calibri"/>
          <w:snapToGrid/>
          <w:kern w:val="0"/>
          <w:szCs w:val="22"/>
        </w:rPr>
        <w:t xml:space="preserve"> the</w:t>
      </w:r>
      <w:r w:rsidRPr="00EE17A2" w:rsidR="001969C2">
        <w:rPr>
          <w:rFonts w:eastAsia="Calibri"/>
          <w:snapToGrid/>
          <w:kern w:val="0"/>
          <w:szCs w:val="22"/>
        </w:rPr>
        <w:t xml:space="preserve"> </w:t>
      </w:r>
      <w:r w:rsidRPr="00EE17A2" w:rsidR="001969C2">
        <w:rPr>
          <w:rFonts w:eastAsia="Calibri"/>
          <w:i/>
          <w:snapToGrid/>
          <w:kern w:val="0"/>
          <w:szCs w:val="22"/>
        </w:rPr>
        <w:t>April Data Tables</w:t>
      </w:r>
      <w:r w:rsidR="0057077A">
        <w:rPr>
          <w:rFonts w:eastAsia="Calibri"/>
          <w:snapToGrid/>
          <w:kern w:val="0"/>
          <w:szCs w:val="22"/>
        </w:rPr>
        <w:t>,</w:t>
      </w:r>
      <w:r w:rsidRPr="00EE17A2" w:rsidR="001969C2">
        <w:rPr>
          <w:rFonts w:eastAsia="Calibri"/>
          <w:i/>
          <w:snapToGrid/>
          <w:kern w:val="0"/>
          <w:szCs w:val="22"/>
        </w:rPr>
        <w:t xml:space="preserve"> </w:t>
      </w:r>
      <w:r w:rsidRPr="00EE17A2" w:rsidR="001969C2">
        <w:rPr>
          <w:rFonts w:eastAsia="Calibri"/>
          <w:snapToGrid/>
          <w:kern w:val="0"/>
          <w:szCs w:val="22"/>
        </w:rPr>
        <w:t>derived from the</w:t>
      </w:r>
      <w:r w:rsidRPr="002D735F" w:rsidR="001969C2">
        <w:rPr>
          <w:rFonts w:eastAsia="Calibri"/>
          <w:i/>
          <w:snapToGrid/>
          <w:kern w:val="0"/>
          <w:szCs w:val="22"/>
        </w:rPr>
        <w:t xml:space="preserve"> 2015 Data Collection</w:t>
      </w:r>
      <w:r w:rsidR="0057077A">
        <w:rPr>
          <w:rFonts w:eastAsia="Calibri"/>
          <w:snapToGrid/>
          <w:kern w:val="0"/>
          <w:szCs w:val="22"/>
        </w:rPr>
        <w:t>,</w:t>
      </w:r>
      <w:r w:rsidRPr="002D735F" w:rsidR="001969C2">
        <w:rPr>
          <w:rFonts w:eastAsia="Calibri"/>
          <w:i/>
          <w:snapToGrid/>
          <w:kern w:val="0"/>
          <w:szCs w:val="22"/>
        </w:rPr>
        <w:t xml:space="preserve"> </w:t>
      </w:r>
      <w:r w:rsidRPr="00EE17A2" w:rsidR="001969C2">
        <w:rPr>
          <w:rFonts w:eastAsia="Calibri"/>
          <w:snapToGrid/>
          <w:kern w:val="0"/>
          <w:szCs w:val="22"/>
        </w:rPr>
        <w:t xml:space="preserve">inform the </w:t>
      </w:r>
      <w:r w:rsidRPr="00EE17A2" w:rsidR="001969C2">
        <w:rPr>
          <w:rFonts w:eastAsia="Calibri"/>
          <w:i/>
          <w:snapToGrid/>
          <w:kern w:val="0"/>
          <w:szCs w:val="22"/>
        </w:rPr>
        <w:t>Second Further Notice</w:t>
      </w:r>
      <w:r w:rsidRPr="00EE17A2" w:rsidR="001969C2">
        <w:rPr>
          <w:rFonts w:eastAsia="Calibri"/>
          <w:snapToGrid/>
          <w:kern w:val="0"/>
          <w:szCs w:val="22"/>
        </w:rPr>
        <w:t xml:space="preserve"> in the price cap BDS proceedings</w:t>
      </w:r>
      <w:r>
        <w:rPr>
          <w:rFonts w:eastAsia="Calibri"/>
          <w:snapToGrid/>
          <w:kern w:val="0"/>
          <w:szCs w:val="22"/>
          <w:vertAlign w:val="superscript"/>
        </w:rPr>
        <w:footnoteReference w:id="3"/>
      </w:r>
      <w:r w:rsidRPr="00EE17A2" w:rsidR="001969C2">
        <w:rPr>
          <w:rFonts w:eastAsia="Calibri"/>
          <w:snapToGrid/>
          <w:kern w:val="0"/>
          <w:szCs w:val="22"/>
        </w:rPr>
        <w:t xml:space="preserve"> and</w:t>
      </w:r>
      <w:r w:rsidRPr="002D735F" w:rsidR="001969C2">
        <w:rPr>
          <w:rFonts w:eastAsia="Calibri"/>
          <w:snapToGrid/>
          <w:kern w:val="0"/>
          <w:szCs w:val="22"/>
        </w:rPr>
        <w:t xml:space="preserve"> the </w:t>
      </w:r>
      <w:r w:rsidRPr="002D735F" w:rsidR="001969C2">
        <w:rPr>
          <w:rFonts w:eastAsia="Calibri"/>
          <w:snapToGrid/>
          <w:kern w:val="0"/>
          <w:szCs w:val="22"/>
        </w:rPr>
        <w:t>USTelecom</w:t>
      </w:r>
      <w:r w:rsidRPr="002D735F" w:rsidR="001969C2">
        <w:rPr>
          <w:rFonts w:eastAsia="Calibri"/>
          <w:snapToGrid/>
          <w:kern w:val="0"/>
          <w:szCs w:val="22"/>
        </w:rPr>
        <w:t xml:space="preserve"> Forbearance Petition proceeding</w:t>
      </w:r>
      <w:r w:rsidRPr="00EE17A2" w:rsidR="001969C2">
        <w:rPr>
          <w:rFonts w:eastAsia="Calibri"/>
          <w:snapToGrid/>
          <w:kern w:val="0"/>
          <w:szCs w:val="22"/>
        </w:rPr>
        <w:t>.</w:t>
      </w:r>
      <w:r>
        <w:rPr>
          <w:rFonts w:eastAsia="Calibri"/>
          <w:snapToGrid/>
          <w:kern w:val="0"/>
          <w:szCs w:val="22"/>
          <w:vertAlign w:val="superscript"/>
        </w:rPr>
        <w:footnoteReference w:id="4"/>
      </w:r>
      <w:r w:rsidRPr="00EE17A2" w:rsidR="001969C2">
        <w:rPr>
          <w:rFonts w:eastAsia="Calibri"/>
          <w:snapToGrid/>
          <w:kern w:val="0"/>
          <w:szCs w:val="22"/>
        </w:rPr>
        <w:t xml:space="preserve">  </w:t>
      </w:r>
      <w:r w:rsidRPr="002D735F" w:rsidR="001969C2">
        <w:rPr>
          <w:szCs w:val="22"/>
        </w:rPr>
        <w:t>T</w:t>
      </w:r>
      <w:r w:rsidRPr="00EE17A2" w:rsidR="001969C2">
        <w:rPr>
          <w:szCs w:val="22"/>
        </w:rPr>
        <w:t>o</w:t>
      </w:r>
      <w:r w:rsidRPr="00EE17A2" w:rsidR="00497193">
        <w:rPr>
          <w:szCs w:val="22"/>
        </w:rPr>
        <w:t xml:space="preserve"> </w:t>
      </w:r>
      <w:r w:rsidRPr="002D735F" w:rsidR="00E06FF3">
        <w:rPr>
          <w:szCs w:val="22"/>
        </w:rPr>
        <w:t xml:space="preserve">facilitate access to this data, the Bureau </w:t>
      </w:r>
      <w:r w:rsidRPr="00EE17A2" w:rsidR="00144E18">
        <w:rPr>
          <w:szCs w:val="22"/>
        </w:rPr>
        <w:t>announced that it</w:t>
      </w:r>
      <w:r w:rsidRPr="00EE17A2" w:rsidR="00E06FF3">
        <w:rPr>
          <w:szCs w:val="22"/>
        </w:rPr>
        <w:t xml:space="preserve"> would reopen th</w:t>
      </w:r>
      <w:r w:rsidRPr="00EE17A2" w:rsidR="00497193">
        <w:rPr>
          <w:szCs w:val="22"/>
        </w:rPr>
        <w:t>e Secure Data Enclave</w:t>
      </w:r>
      <w:r w:rsidRPr="002D735F" w:rsidR="001969C2">
        <w:rPr>
          <w:szCs w:val="22"/>
        </w:rPr>
        <w:t xml:space="preserve"> which</w:t>
      </w:r>
      <w:r w:rsidRPr="002D735F">
        <w:rPr>
          <w:szCs w:val="22"/>
        </w:rPr>
        <w:t xml:space="preserve"> is the exclusive method for authorized parties to access and analyze </w:t>
      </w:r>
      <w:r w:rsidRPr="00EE17A2">
        <w:rPr>
          <w:szCs w:val="22"/>
        </w:rPr>
        <w:t>the</w:t>
      </w:r>
      <w:r w:rsidRPr="00EE17A2">
        <w:rPr>
          <w:i/>
          <w:szCs w:val="22"/>
        </w:rPr>
        <w:t xml:space="preserve"> 2015 Data Collection</w:t>
      </w:r>
      <w:r w:rsidRPr="00EE17A2" w:rsidR="0049355E">
        <w:rPr>
          <w:szCs w:val="22"/>
        </w:rPr>
        <w:t xml:space="preserve"> </w:t>
      </w:r>
      <w:r w:rsidRPr="00EE17A2" w:rsidR="00C06194">
        <w:rPr>
          <w:szCs w:val="22"/>
        </w:rPr>
        <w:t xml:space="preserve">pursuant to </w:t>
      </w:r>
      <w:r w:rsidR="000A4B9F">
        <w:rPr>
          <w:szCs w:val="22"/>
        </w:rPr>
        <w:t xml:space="preserve">the relevant </w:t>
      </w:r>
      <w:r w:rsidRPr="00EE17A2" w:rsidR="00C06194">
        <w:rPr>
          <w:szCs w:val="22"/>
        </w:rPr>
        <w:t>protective orders.</w:t>
      </w:r>
      <w:r>
        <w:rPr>
          <w:szCs w:val="22"/>
          <w:vertAlign w:val="superscript"/>
        </w:rPr>
        <w:footnoteReference w:id="5"/>
      </w:r>
      <w:r w:rsidRPr="002D735F">
        <w:rPr>
          <w:szCs w:val="22"/>
        </w:rPr>
        <w:t xml:space="preserve">  </w:t>
      </w:r>
      <w:r w:rsidRPr="00EE17A2" w:rsidR="0049355E">
        <w:rPr>
          <w:szCs w:val="22"/>
        </w:rPr>
        <w:t>T</w:t>
      </w:r>
      <w:r w:rsidRPr="00EE17A2">
        <w:rPr>
          <w:szCs w:val="22"/>
        </w:rPr>
        <w:t xml:space="preserve">he Bureau </w:t>
      </w:r>
      <w:r w:rsidR="00744E7A">
        <w:rPr>
          <w:szCs w:val="22"/>
        </w:rPr>
        <w:t xml:space="preserve">also </w:t>
      </w:r>
      <w:r w:rsidRPr="00EE17A2">
        <w:rPr>
          <w:szCs w:val="22"/>
        </w:rPr>
        <w:t>announced that it would close the Secure Data Enclave at the end of the comment and reply period, “unless an interested party demonstrate[d] a continuing need for access</w:t>
      </w:r>
      <w:r w:rsidRPr="00EE17A2" w:rsidR="00C6701D">
        <w:rPr>
          <w:szCs w:val="22"/>
        </w:rPr>
        <w:t>.</w:t>
      </w:r>
      <w:r w:rsidRPr="00EE17A2">
        <w:rPr>
          <w:szCs w:val="22"/>
        </w:rPr>
        <w:t>”</w:t>
      </w:r>
      <w:r>
        <w:rPr>
          <w:szCs w:val="22"/>
          <w:vertAlign w:val="superscript"/>
        </w:rPr>
        <w:footnoteReference w:id="6"/>
      </w:r>
      <w:r w:rsidRPr="002D735F">
        <w:rPr>
          <w:szCs w:val="22"/>
        </w:rPr>
        <w:t xml:space="preserve">  In a public notice released May 14, 2019, the Bureau extended </w:t>
      </w:r>
      <w:r w:rsidR="00B16BF4">
        <w:rPr>
          <w:szCs w:val="22"/>
        </w:rPr>
        <w:t xml:space="preserve">the reply comment deadline until May 28, </w:t>
      </w:r>
      <w:r w:rsidR="00B16BF4">
        <w:rPr>
          <w:szCs w:val="22"/>
        </w:rPr>
        <w:t>2018.</w:t>
      </w:r>
      <w:r>
        <w:rPr>
          <w:szCs w:val="22"/>
          <w:vertAlign w:val="superscript"/>
        </w:rPr>
        <w:footnoteReference w:id="7"/>
      </w:r>
      <w:r w:rsidR="00B16BF4">
        <w:rPr>
          <w:szCs w:val="22"/>
        </w:rPr>
        <w:t xml:space="preserve">  The Bureau also extended </w:t>
      </w:r>
      <w:r w:rsidRPr="002D735F">
        <w:rPr>
          <w:szCs w:val="22"/>
        </w:rPr>
        <w:t>access to the Secure Data Enclave until</w:t>
      </w:r>
      <w:r w:rsidRPr="00EE17A2">
        <w:rPr>
          <w:szCs w:val="22"/>
        </w:rPr>
        <w:t xml:space="preserve"> June 30, 2019 to allow interested parties additional time to </w:t>
      </w:r>
      <w:r w:rsidR="00744E7A">
        <w:rPr>
          <w:szCs w:val="22"/>
        </w:rPr>
        <w:t xml:space="preserve">conduct </w:t>
      </w:r>
      <w:r w:rsidRPr="00EE17A2">
        <w:rPr>
          <w:szCs w:val="22"/>
        </w:rPr>
        <w:t>further analysis of the data.</w:t>
      </w:r>
      <w:r>
        <w:rPr>
          <w:szCs w:val="22"/>
          <w:vertAlign w:val="superscript"/>
        </w:rPr>
        <w:footnoteReference w:id="8"/>
      </w:r>
    </w:p>
    <w:p w:rsidR="005F2D09" w:rsidRPr="002D735F" w:rsidP="005F2D09">
      <w:pPr>
        <w:widowControl/>
        <w:spacing w:after="120"/>
        <w:ind w:firstLine="720"/>
        <w:rPr>
          <w:szCs w:val="22"/>
        </w:rPr>
      </w:pPr>
      <w:r w:rsidRPr="00EE17A2">
        <w:rPr>
          <w:szCs w:val="22"/>
        </w:rPr>
        <w:t xml:space="preserve">To date, no party has </w:t>
      </w:r>
      <w:r w:rsidR="00744E7A">
        <w:rPr>
          <w:szCs w:val="22"/>
        </w:rPr>
        <w:t xml:space="preserve">claimed </w:t>
      </w:r>
      <w:r w:rsidRPr="00EE17A2">
        <w:rPr>
          <w:szCs w:val="22"/>
        </w:rPr>
        <w:t xml:space="preserve">that continued access to the data contained in the Secure Data Enclave </w:t>
      </w:r>
      <w:r w:rsidRPr="00EE17A2" w:rsidR="0049355E">
        <w:rPr>
          <w:szCs w:val="22"/>
        </w:rPr>
        <w:t xml:space="preserve">past June 30, 2019 </w:t>
      </w:r>
      <w:r w:rsidRPr="00EE17A2">
        <w:rPr>
          <w:szCs w:val="22"/>
        </w:rPr>
        <w:t xml:space="preserve">is necessary to their meaningful participation in the price cap BDS </w:t>
      </w:r>
      <w:r w:rsidR="002D735F">
        <w:rPr>
          <w:szCs w:val="22"/>
        </w:rPr>
        <w:t xml:space="preserve">and </w:t>
      </w:r>
      <w:r w:rsidR="002D735F">
        <w:rPr>
          <w:szCs w:val="22"/>
        </w:rPr>
        <w:t>USTelecom</w:t>
      </w:r>
      <w:r w:rsidR="002D735F">
        <w:rPr>
          <w:szCs w:val="22"/>
        </w:rPr>
        <w:t xml:space="preserve"> Forbearance Petition </w:t>
      </w:r>
      <w:r w:rsidRPr="00EE17A2">
        <w:rPr>
          <w:szCs w:val="22"/>
        </w:rPr>
        <w:t>proceedings.</w:t>
      </w:r>
      <w:r w:rsidRPr="002D735F">
        <w:rPr>
          <w:szCs w:val="22"/>
        </w:rPr>
        <w:t xml:space="preserve">  There is no evidence in the record that parties will suffer harm if the Secure Data Enclave closes after June 30, 2019.  </w:t>
      </w:r>
      <w:r w:rsidR="00DF2F69">
        <w:rPr>
          <w:szCs w:val="22"/>
        </w:rPr>
        <w:t>W</w:t>
      </w:r>
      <w:r w:rsidRPr="002D735F">
        <w:rPr>
          <w:szCs w:val="22"/>
        </w:rPr>
        <w:t xml:space="preserve">e find that </w:t>
      </w:r>
      <w:r w:rsidR="0057077A">
        <w:rPr>
          <w:szCs w:val="22"/>
        </w:rPr>
        <w:t xml:space="preserve">ending </w:t>
      </w:r>
      <w:r w:rsidRPr="00EE17A2" w:rsidR="00E25CE4">
        <w:rPr>
          <w:szCs w:val="22"/>
        </w:rPr>
        <w:t xml:space="preserve">access to the Secure Data Enclave </w:t>
      </w:r>
      <w:r w:rsidR="0057077A">
        <w:rPr>
          <w:szCs w:val="22"/>
        </w:rPr>
        <w:t xml:space="preserve">will not affect </w:t>
      </w:r>
      <w:r w:rsidRPr="00EE17A2" w:rsidR="00E25CE4">
        <w:rPr>
          <w:szCs w:val="22"/>
        </w:rPr>
        <w:t>parties’ meaningful participation in these proceedings</w:t>
      </w:r>
      <w:r w:rsidRPr="00EE17A2">
        <w:rPr>
          <w:szCs w:val="22"/>
        </w:rPr>
        <w:t>.</w:t>
      </w:r>
      <w:r w:rsidRPr="00DF2F69" w:rsidR="00DF2F69">
        <w:t xml:space="preserve"> </w:t>
      </w:r>
      <w:r w:rsidR="0057077A">
        <w:t xml:space="preserve"> </w:t>
      </w:r>
      <w:r w:rsidR="00DF2F69">
        <w:t xml:space="preserve">Accordingly, we </w:t>
      </w:r>
      <w:r w:rsidRPr="00DF2F69" w:rsidR="00DF2F69">
        <w:rPr>
          <w:szCs w:val="22"/>
        </w:rPr>
        <w:t>will close</w:t>
      </w:r>
      <w:r w:rsidR="00DF2F69">
        <w:rPr>
          <w:szCs w:val="22"/>
        </w:rPr>
        <w:t xml:space="preserve"> </w:t>
      </w:r>
      <w:r w:rsidR="008B5EBE">
        <w:rPr>
          <w:szCs w:val="22"/>
        </w:rPr>
        <w:t xml:space="preserve">access to </w:t>
      </w:r>
      <w:r w:rsidR="00DF2F69">
        <w:rPr>
          <w:szCs w:val="22"/>
        </w:rPr>
        <w:t xml:space="preserve">the Secure Data Enclave </w:t>
      </w:r>
      <w:r w:rsidR="0056467A">
        <w:rPr>
          <w:szCs w:val="22"/>
        </w:rPr>
        <w:t>after</w:t>
      </w:r>
      <w:r w:rsidRPr="00DF2F69" w:rsidR="00DF2F69">
        <w:rPr>
          <w:szCs w:val="22"/>
        </w:rPr>
        <w:t xml:space="preserve"> June 30, 2019</w:t>
      </w:r>
      <w:r w:rsidR="00DF2F69">
        <w:rPr>
          <w:szCs w:val="22"/>
        </w:rPr>
        <w:t>.</w:t>
      </w:r>
      <w:r w:rsidRPr="00EE17A2" w:rsidR="0049355E">
        <w:rPr>
          <w:szCs w:val="22"/>
          <w:vertAlign w:val="superscript"/>
        </w:rPr>
        <w:t xml:space="preserve"> </w:t>
      </w:r>
    </w:p>
    <w:p w:rsidR="005F2D09" w:rsidRPr="00EE17A2" w:rsidP="005F2D09">
      <w:pPr>
        <w:widowControl/>
        <w:spacing w:after="120"/>
        <w:ind w:firstLine="720"/>
        <w:rPr>
          <w:szCs w:val="22"/>
        </w:rPr>
      </w:pPr>
      <w:r w:rsidRPr="00EE17A2">
        <w:rPr>
          <w:szCs w:val="22"/>
        </w:rPr>
        <w:t>Consistent with past practice, as of June 30, 2019 the Bureau will archive all parties’ data and work product contained in the</w:t>
      </w:r>
      <w:r w:rsidR="001E5764">
        <w:rPr>
          <w:szCs w:val="22"/>
        </w:rPr>
        <w:t>ir “virtual lockers” in the</w:t>
      </w:r>
      <w:r w:rsidRPr="00EE17A2">
        <w:rPr>
          <w:szCs w:val="22"/>
        </w:rPr>
        <w:t xml:space="preserve"> Secure Data Enclave.</w:t>
      </w:r>
      <w:r>
        <w:rPr>
          <w:szCs w:val="22"/>
          <w:vertAlign w:val="superscript"/>
        </w:rPr>
        <w:footnoteReference w:id="9"/>
      </w:r>
      <w:r w:rsidRPr="002D735F">
        <w:rPr>
          <w:szCs w:val="22"/>
        </w:rPr>
        <w:t xml:space="preserve">  After June 30, 2019, parties will no longer have access to the Secure Data Enclave</w:t>
      </w:r>
      <w:r w:rsidRPr="002D735F">
        <w:rPr>
          <w:szCs w:val="22"/>
        </w:rPr>
        <w:t xml:space="preserve"> </w:t>
      </w:r>
      <w:r w:rsidRPr="00EE17A2">
        <w:rPr>
          <w:szCs w:val="22"/>
        </w:rPr>
        <w:t xml:space="preserve">including their virtual lockers.  Archiving data and virtual lockers will protect highly confidential data, and allow the Commission to provide parties access to the data and their related work product should </w:t>
      </w:r>
      <w:r w:rsidR="000A4B9F">
        <w:rPr>
          <w:szCs w:val="22"/>
        </w:rPr>
        <w:t xml:space="preserve">it </w:t>
      </w:r>
      <w:r w:rsidRPr="00EE17A2">
        <w:rPr>
          <w:szCs w:val="22"/>
        </w:rPr>
        <w:t>become necessary as a result of judicial or administrative review.</w:t>
      </w:r>
      <w:r>
        <w:rPr>
          <w:szCs w:val="22"/>
          <w:vertAlign w:val="superscript"/>
        </w:rPr>
        <w:footnoteReference w:id="10"/>
      </w:r>
      <w:r w:rsidRPr="002D735F">
        <w:rPr>
          <w:szCs w:val="22"/>
        </w:rPr>
        <w:t xml:space="preserve">  </w:t>
      </w:r>
      <w:r w:rsidR="008B5EBE">
        <w:rPr>
          <w:szCs w:val="22"/>
        </w:rPr>
        <w:t>A</w:t>
      </w:r>
      <w:r w:rsidRPr="002D735F">
        <w:rPr>
          <w:szCs w:val="22"/>
        </w:rPr>
        <w:t>s of June 30, 2019</w:t>
      </w:r>
      <w:r w:rsidR="008B5EBE">
        <w:rPr>
          <w:szCs w:val="22"/>
        </w:rPr>
        <w:t>,</w:t>
      </w:r>
      <w:r w:rsidRPr="002D735F">
        <w:rPr>
          <w:szCs w:val="22"/>
        </w:rPr>
        <w:t xml:space="preserve"> all parties’ data contained in the Secure Data Enclave, including all data, notes and analysis stored in the virtual lockers, will be saved and archived pending judicial review or reconsideration of an order adopted in the price cap BDS </w:t>
      </w:r>
      <w:r w:rsidRPr="00EE17A2" w:rsidR="00E25CE4">
        <w:rPr>
          <w:szCs w:val="22"/>
        </w:rPr>
        <w:t xml:space="preserve">and USTelecom Forbearance Petition </w:t>
      </w:r>
      <w:r w:rsidRPr="00EE17A2">
        <w:rPr>
          <w:szCs w:val="22"/>
        </w:rPr>
        <w:t xml:space="preserve">proceedings.  </w:t>
      </w:r>
    </w:p>
    <w:p w:rsidR="005F2D09" w:rsidRPr="00391995" w:rsidP="00391995">
      <w:pPr>
        <w:widowControl/>
        <w:spacing w:after="120"/>
        <w:ind w:firstLine="720"/>
        <w:rPr>
          <w:rFonts w:eastAsia="Calibri"/>
          <w:snapToGrid/>
          <w:kern w:val="0"/>
          <w:szCs w:val="22"/>
        </w:rPr>
      </w:pPr>
      <w:r w:rsidRPr="00391995">
        <w:rPr>
          <w:snapToGrid/>
          <w:kern w:val="0"/>
          <w:szCs w:val="22"/>
        </w:rPr>
        <w:t xml:space="preserve">For </w:t>
      </w:r>
      <w:r w:rsidRPr="00391995">
        <w:rPr>
          <w:szCs w:val="22"/>
        </w:rPr>
        <w:t>further</w:t>
      </w:r>
      <w:r w:rsidRPr="00391995">
        <w:rPr>
          <w:snapToGrid/>
          <w:kern w:val="0"/>
          <w:szCs w:val="22"/>
        </w:rPr>
        <w:t xml:space="preserve"> information, please contact Christopher Koves, Pricing Policy Division, Wireline Competition Bureau, (202) 418-8209, </w:t>
      </w:r>
      <w:hyperlink r:id="rId5" w:history="1">
        <w:r w:rsidRPr="00391995">
          <w:rPr>
            <w:snapToGrid/>
            <w:color w:val="0000FF"/>
            <w:kern w:val="0"/>
            <w:szCs w:val="22"/>
            <w:u w:val="single"/>
          </w:rPr>
          <w:t>Christopher.Koves@fcc.gov</w:t>
        </w:r>
      </w:hyperlink>
      <w:r w:rsidRPr="00391995">
        <w:rPr>
          <w:szCs w:val="22"/>
        </w:rPr>
        <w:t xml:space="preserve">; </w:t>
      </w:r>
      <w:r w:rsidRPr="00391995">
        <w:rPr>
          <w:rFonts w:eastAsia="Calibri"/>
          <w:snapToGrid/>
          <w:kern w:val="0"/>
          <w:szCs w:val="22"/>
        </w:rPr>
        <w:t xml:space="preserve">or Michele Levy Berlove, Competition Policy Division, Wireline Competition Bureau, (202) 418-1477, </w:t>
      </w:r>
      <w:hyperlink r:id="rId6" w:history="1">
        <w:r w:rsidRPr="00391995">
          <w:rPr>
            <w:rFonts w:eastAsia="Calibri"/>
            <w:snapToGrid/>
            <w:color w:val="0000FF"/>
            <w:kern w:val="0"/>
            <w:szCs w:val="22"/>
            <w:u w:val="single"/>
          </w:rPr>
          <w:t>Michele.Berlove@fcc.gov</w:t>
        </w:r>
      </w:hyperlink>
      <w:r w:rsidRPr="00391995">
        <w:rPr>
          <w:rFonts w:eastAsia="Calibri"/>
          <w:snapToGrid/>
          <w:kern w:val="0"/>
          <w:szCs w:val="22"/>
        </w:rPr>
        <w:t>.</w:t>
      </w:r>
    </w:p>
    <w:p w:rsidR="00F96F63" w:rsidRPr="00EE17A2" w:rsidP="00EE17A2">
      <w:pPr>
        <w:jc w:val="center"/>
        <w:rPr>
          <w:szCs w:val="22"/>
        </w:rPr>
      </w:pPr>
      <w:r w:rsidRPr="00EE17A2">
        <w:rPr>
          <w:b/>
          <w:szCs w:val="22"/>
        </w:rPr>
        <w:t>- FCC -</w:t>
      </w:r>
    </w:p>
    <w:p w:rsidR="00930ECF" w:rsidRPr="00EE17A2" w:rsidP="00F96F63">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rsidP="0055614C">
    <w:pPr>
      <w:pStyle w:val="Footer"/>
      <w:framePr w:wrap="around" w:vAnchor="text" w:hAnchor="margin" w:xAlign="center" w:y="1"/>
    </w:pPr>
    <w:r>
      <w:fldChar w:fldCharType="begin"/>
    </w:r>
    <w:r>
      <w:instrText xml:space="preserve">PAGE  </w:instrText>
    </w:r>
    <w:r>
      <w:fldChar w:fldCharType="separate"/>
    </w:r>
    <w:r>
      <w:fldChar w:fldCharType="end"/>
    </w:r>
  </w:p>
  <w:p w:rsidR="00196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3C6A">
      <w:r>
        <w:separator/>
      </w:r>
    </w:p>
  </w:footnote>
  <w:footnote w:type="continuationSeparator" w:id="1">
    <w:p w:rsidR="00213C6A">
      <w:pPr>
        <w:rPr>
          <w:sz w:val="20"/>
        </w:rPr>
      </w:pPr>
      <w:r>
        <w:rPr>
          <w:sz w:val="20"/>
        </w:rPr>
        <w:t xml:space="preserve">(Continued from previous page)  </w:t>
      </w:r>
      <w:r>
        <w:rPr>
          <w:sz w:val="20"/>
        </w:rPr>
        <w:separator/>
      </w:r>
    </w:p>
  </w:footnote>
  <w:footnote w:type="continuationNotice" w:id="2">
    <w:p w:rsidR="00213C6A" w:rsidP="00910F12">
      <w:pPr>
        <w:jc w:val="right"/>
        <w:rPr>
          <w:sz w:val="20"/>
        </w:rPr>
      </w:pPr>
    </w:p>
  </w:footnote>
  <w:footnote w:id="3">
    <w:p w:rsidR="001969C2" w:rsidRPr="002D735F" w:rsidP="001969C2">
      <w:pPr>
        <w:pStyle w:val="FootnoteText"/>
      </w:pPr>
      <w:r w:rsidRPr="00EE17A2">
        <w:rPr>
          <w:rStyle w:val="FootnoteReference"/>
          <w:sz w:val="20"/>
        </w:rPr>
        <w:footnoteRef/>
      </w:r>
      <w:r w:rsidRPr="002D735F">
        <w:t xml:space="preserve"> </w:t>
      </w:r>
      <w:bookmarkStart w:id="1" w:name="_Hlk8315161"/>
      <w:r w:rsidRPr="002D735F">
        <w:rPr>
          <w:i/>
        </w:rPr>
        <w:t>See Wireline Competition Bureau Seeks Focused Additional Comment in Business Data Services and USTelecom Forbearance Petition Proceedings and Reopens Secure Data Enclave</w:t>
      </w:r>
      <w:r w:rsidRPr="00EE17A2">
        <w:t>, WC Docket Nos. 18-141, 17-144, 16-143, 05-25, Public Notice, DA 19-281, at 1 (WCB Apr. 15, 2019) (</w:t>
      </w:r>
      <w:r w:rsidRPr="00EE17A2">
        <w:rPr>
          <w:i/>
        </w:rPr>
        <w:t>April 15</w:t>
      </w:r>
      <w:r w:rsidRPr="00EE17A2">
        <w:t xml:space="preserve"> </w:t>
      </w:r>
      <w:r w:rsidRPr="00EE17A2">
        <w:rPr>
          <w:i/>
        </w:rPr>
        <w:t>Public Notice</w:t>
      </w:r>
      <w:r w:rsidRPr="00EE17A2">
        <w:t>)</w:t>
      </w:r>
      <w:bookmarkEnd w:id="1"/>
      <w:r w:rsidRPr="00EE17A2">
        <w:t xml:space="preserve">; </w:t>
      </w:r>
      <w:r w:rsidRPr="00EE17A2">
        <w:rPr>
          <w:i/>
          <w:iCs/>
        </w:rPr>
        <w:t>Regulation of Business Data Services for Rate-of-Return Local Exchange Carriers</w:t>
      </w:r>
      <w:r w:rsidRPr="00EE17A2">
        <w:t xml:space="preserve">; </w:t>
      </w:r>
      <w:r w:rsidRPr="00EE17A2">
        <w:rPr>
          <w:i/>
          <w:iCs/>
        </w:rPr>
        <w:t>Business Data Services in an Internet Protocol Environment</w:t>
      </w:r>
      <w:r w:rsidRPr="00EE17A2">
        <w:t xml:space="preserve">; </w:t>
      </w:r>
      <w:r w:rsidRPr="00EE17A2">
        <w:rPr>
          <w:i/>
          <w:iCs/>
        </w:rPr>
        <w:t>Special Access for Price Cap Local Exchange Carriers</w:t>
      </w:r>
      <w:r w:rsidRPr="00EE17A2">
        <w:t>, WC Docket Nos. 17-144, 16-143, 05-25, Report and Order, Second Further Notice of Proposed Rulemaking and Further Notice of Proposed Rulemaking, 33 FCC Rcd 10403, 10453-57, paras. 148-56 (2018) (</w:t>
      </w:r>
      <w:r w:rsidRPr="00EE17A2">
        <w:rPr>
          <w:i/>
        </w:rPr>
        <w:t>Second Further Notice</w:t>
      </w:r>
      <w:r w:rsidRPr="002D735F">
        <w:t>).</w:t>
      </w:r>
    </w:p>
  </w:footnote>
  <w:footnote w:id="4">
    <w:p w:rsidR="001969C2" w:rsidRPr="00EE17A2" w:rsidP="001969C2">
      <w:pPr>
        <w:pStyle w:val="FootnoteText"/>
      </w:pPr>
      <w:r w:rsidRPr="00EE17A2">
        <w:rPr>
          <w:rStyle w:val="FootnoteReference"/>
          <w:sz w:val="20"/>
        </w:rPr>
        <w:footnoteRef/>
      </w:r>
      <w:r w:rsidRPr="002D735F">
        <w:t xml:space="preserve"> </w:t>
      </w:r>
      <w:r w:rsidRPr="002D735F">
        <w:rPr>
          <w:i/>
        </w:rPr>
        <w:t xml:space="preserve">See April 15 Public Notice </w:t>
      </w:r>
      <w:r w:rsidRPr="002D735F">
        <w:t xml:space="preserve">at 2; </w:t>
      </w:r>
      <w:r w:rsidRPr="00EE17A2">
        <w:t>Petition of USTelecom for Forbearance Pursuant to 47 U.S.C. § 160(c) to Accelerate Investment in Broadband and Next-Generation Networks, WC Docket No. 18-141 (filed May 4, 2018) (USTelecom Forbearance Petition).</w:t>
      </w:r>
    </w:p>
  </w:footnote>
  <w:footnote w:id="5">
    <w:p w:rsidR="001969C2" w:rsidRPr="00EE17A2" w:rsidP="00EE17A2">
      <w:pPr>
        <w:rPr>
          <w:snapToGrid/>
          <w:kern w:val="0"/>
          <w:sz w:val="20"/>
        </w:rPr>
      </w:pPr>
      <w:r w:rsidRPr="002D735F">
        <w:rPr>
          <w:rStyle w:val="FootnoteReference"/>
          <w:sz w:val="20"/>
        </w:rPr>
        <w:footnoteRef/>
      </w:r>
      <w:r w:rsidRPr="002D735F">
        <w:rPr>
          <w:sz w:val="20"/>
        </w:rPr>
        <w:t xml:space="preserve"> </w:t>
      </w:r>
      <w:r w:rsidRPr="00EE17A2">
        <w:rPr>
          <w:i/>
          <w:sz w:val="20"/>
        </w:rPr>
        <w:t>April 15</w:t>
      </w:r>
      <w:r w:rsidRPr="00EE17A2">
        <w:rPr>
          <w:sz w:val="20"/>
        </w:rPr>
        <w:t xml:space="preserve"> </w:t>
      </w:r>
      <w:r w:rsidRPr="00EE17A2">
        <w:rPr>
          <w:i/>
          <w:sz w:val="20"/>
        </w:rPr>
        <w:t>Public Notice</w:t>
      </w:r>
      <w:r w:rsidRPr="00EE17A2">
        <w:rPr>
          <w:sz w:val="20"/>
        </w:rPr>
        <w:t xml:space="preserve"> at 1; </w:t>
      </w:r>
      <w:r w:rsidRPr="002D735F">
        <w:rPr>
          <w:i/>
          <w:iCs/>
          <w:snapToGrid/>
          <w:kern w:val="0"/>
          <w:sz w:val="20"/>
        </w:rPr>
        <w:t xml:space="preserve">see </w:t>
      </w:r>
      <w:r w:rsidRPr="002D735F">
        <w:rPr>
          <w:i/>
          <w:sz w:val="20"/>
          <w:shd w:val="clear" w:color="auto" w:fill="FFFFFF"/>
        </w:rPr>
        <w:t xml:space="preserve">Petition of </w:t>
      </w:r>
      <w:r w:rsidRPr="002D735F">
        <w:rPr>
          <w:i/>
          <w:sz w:val="20"/>
          <w:shd w:val="clear" w:color="auto" w:fill="FFFFFF"/>
        </w:rPr>
        <w:t>USTelecom</w:t>
      </w:r>
      <w:r w:rsidRPr="002D735F">
        <w:rPr>
          <w:i/>
          <w:sz w:val="20"/>
          <w:shd w:val="clear" w:color="auto" w:fill="FFFFFF"/>
        </w:rPr>
        <w:t xml:space="preserve"> for Forbearance Pursuant to 47 U.S.C. § 160(c) to Accelerate Investment in Broadband and Next-Generation Networks</w:t>
      </w:r>
      <w:r w:rsidRPr="00EE17A2">
        <w:rPr>
          <w:sz w:val="20"/>
          <w:shd w:val="clear" w:color="auto" w:fill="FFFFFF"/>
        </w:rPr>
        <w:t xml:space="preserve">, WC Docket No. 18-141, </w:t>
      </w:r>
      <w:r w:rsidRPr="002D735F">
        <w:rPr>
          <w:sz w:val="20"/>
          <w:shd w:val="clear" w:color="auto" w:fill="FFFFFF"/>
        </w:rPr>
        <w:t xml:space="preserve">Data Collection Protective </w:t>
      </w:r>
      <w:r w:rsidRPr="00EE17A2">
        <w:rPr>
          <w:sz w:val="20"/>
          <w:shd w:val="clear" w:color="auto" w:fill="FFFFFF"/>
        </w:rPr>
        <w:t>Order, DA 19-</w:t>
      </w:r>
      <w:r w:rsidRPr="002D735F">
        <w:rPr>
          <w:sz w:val="20"/>
          <w:shd w:val="clear" w:color="auto" w:fill="FFFFFF"/>
        </w:rPr>
        <w:t>294 (</w:t>
      </w:r>
      <w:r w:rsidRPr="00EE17A2">
        <w:rPr>
          <w:sz w:val="20"/>
        </w:rPr>
        <w:t xml:space="preserve">WCB </w:t>
      </w:r>
      <w:r w:rsidRPr="002D735F">
        <w:rPr>
          <w:sz w:val="20"/>
        </w:rPr>
        <w:t>Apr. 16</w:t>
      </w:r>
      <w:r w:rsidRPr="00EE17A2">
        <w:rPr>
          <w:sz w:val="20"/>
        </w:rPr>
        <w:t>, 2019</w:t>
      </w:r>
      <w:r w:rsidRPr="002D735F">
        <w:rPr>
          <w:sz w:val="20"/>
          <w:shd w:val="clear" w:color="auto" w:fill="FFFFFF"/>
        </w:rPr>
        <w:t>)</w:t>
      </w:r>
      <w:r w:rsidRPr="002D735F">
        <w:rPr>
          <w:iCs/>
          <w:snapToGrid/>
          <w:kern w:val="0"/>
          <w:sz w:val="20"/>
        </w:rPr>
        <w:t>;</w:t>
      </w:r>
      <w:r w:rsidRPr="00EE17A2">
        <w:rPr>
          <w:i/>
          <w:iCs/>
          <w:snapToGrid/>
          <w:kern w:val="0"/>
          <w:sz w:val="20"/>
        </w:rPr>
        <w:t xml:space="preserve"> Business Data Services in an Internet Protocol Environment et al.</w:t>
      </w:r>
      <w:r w:rsidRPr="00EE17A2">
        <w:rPr>
          <w:snapToGrid/>
          <w:kern w:val="0"/>
          <w:sz w:val="20"/>
        </w:rPr>
        <w:t xml:space="preserve">, WC Docket No. 16-143 et al., Order, 31 FCC Rcd 7104 (WCB 2016); </w:t>
      </w:r>
      <w:r w:rsidRPr="002D735F">
        <w:rPr>
          <w:i/>
          <w:sz w:val="20"/>
          <w:shd w:val="clear" w:color="auto" w:fill="FFFFFF"/>
        </w:rPr>
        <w:t>Special Access for Price Cap Local Exchange Carriers</w:t>
      </w:r>
      <w:r w:rsidRPr="00EE17A2">
        <w:rPr>
          <w:i/>
          <w:sz w:val="20"/>
          <w:shd w:val="clear" w:color="auto" w:fill="FFFFFF"/>
        </w:rPr>
        <w:t xml:space="preserve"> et al.</w:t>
      </w:r>
      <w:r w:rsidRPr="00EE17A2">
        <w:rPr>
          <w:sz w:val="20"/>
        </w:rPr>
        <w:t xml:space="preserve">, WC Docket No. 05-25 et al., </w:t>
      </w:r>
      <w:r w:rsidRPr="00EE17A2">
        <w:rPr>
          <w:snapToGrid/>
          <w:kern w:val="0"/>
          <w:sz w:val="20"/>
        </w:rPr>
        <w:t>Order and Modified Data Collection Protective Order</w:t>
      </w:r>
      <w:r w:rsidRPr="00EE17A2">
        <w:rPr>
          <w:sz w:val="20"/>
        </w:rPr>
        <w:t xml:space="preserve">, </w:t>
      </w:r>
      <w:r w:rsidRPr="00EE17A2">
        <w:rPr>
          <w:snapToGrid/>
          <w:kern w:val="0"/>
          <w:sz w:val="20"/>
        </w:rPr>
        <w:t>30 FCC Rcd 10027</w:t>
      </w:r>
      <w:r w:rsidRPr="00EE17A2">
        <w:rPr>
          <w:sz w:val="20"/>
        </w:rPr>
        <w:t xml:space="preserve"> (WCB 2015)</w:t>
      </w:r>
      <w:r w:rsidRPr="00EE17A2">
        <w:rPr>
          <w:snapToGrid/>
          <w:kern w:val="0"/>
          <w:sz w:val="20"/>
        </w:rPr>
        <w:t xml:space="preserve">; </w:t>
      </w:r>
      <w:r w:rsidRPr="00EE17A2">
        <w:rPr>
          <w:i/>
          <w:iCs/>
          <w:snapToGrid/>
          <w:kern w:val="0"/>
          <w:sz w:val="20"/>
        </w:rPr>
        <w:t>Special Access for Price Cap Local Exchange Carriers et al.</w:t>
      </w:r>
      <w:r w:rsidRPr="00EE17A2">
        <w:rPr>
          <w:snapToGrid/>
          <w:kern w:val="0"/>
          <w:sz w:val="20"/>
        </w:rPr>
        <w:t>, WC Docket No. 05-25, RM-10593, Order and Data Collection Protective Order, 29 FCC Rcd 11657 (WCB 2014)</w:t>
      </w:r>
      <w:r w:rsidRPr="002D735F">
        <w:rPr>
          <w:snapToGrid/>
          <w:kern w:val="0"/>
          <w:sz w:val="20"/>
        </w:rPr>
        <w:t xml:space="preserve"> (</w:t>
      </w:r>
      <w:r w:rsidRPr="00EE17A2">
        <w:rPr>
          <w:i/>
          <w:sz w:val="20"/>
        </w:rPr>
        <w:t>BDS Data Collection Protective Order</w:t>
      </w:r>
      <w:r w:rsidRPr="002D735F">
        <w:rPr>
          <w:snapToGrid/>
          <w:kern w:val="0"/>
          <w:sz w:val="20"/>
        </w:rPr>
        <w:t>)</w:t>
      </w:r>
      <w:r w:rsidRPr="00EE17A2">
        <w:rPr>
          <w:snapToGrid/>
          <w:kern w:val="0"/>
          <w:sz w:val="20"/>
        </w:rPr>
        <w:t>.</w:t>
      </w:r>
    </w:p>
  </w:footnote>
  <w:footnote w:id="6">
    <w:p w:rsidR="001969C2" w:rsidRPr="00EE17A2" w:rsidP="00EE17A2">
      <w:pPr>
        <w:pStyle w:val="FootnoteText"/>
        <w:spacing w:before="240" w:line="360" w:lineRule="auto"/>
      </w:pPr>
      <w:r w:rsidRPr="00EE17A2">
        <w:rPr>
          <w:rStyle w:val="FootnoteReference"/>
          <w:sz w:val="20"/>
        </w:rPr>
        <w:footnoteRef/>
      </w:r>
      <w:r w:rsidRPr="002D735F">
        <w:t xml:space="preserve"> </w:t>
      </w:r>
      <w:r w:rsidRPr="002D735F">
        <w:rPr>
          <w:i/>
        </w:rPr>
        <w:t>See</w:t>
      </w:r>
      <w:r w:rsidRPr="002D735F">
        <w:t xml:space="preserve"> </w:t>
      </w:r>
      <w:r w:rsidRPr="00EE17A2">
        <w:rPr>
          <w:i/>
        </w:rPr>
        <w:t>April 15</w:t>
      </w:r>
      <w:r w:rsidRPr="00EE17A2">
        <w:t xml:space="preserve"> </w:t>
      </w:r>
      <w:r w:rsidRPr="00EE17A2">
        <w:rPr>
          <w:i/>
        </w:rPr>
        <w:t>Public Notice</w:t>
      </w:r>
      <w:r w:rsidRPr="00EE17A2">
        <w:t xml:space="preserve"> at 1.</w:t>
      </w:r>
    </w:p>
  </w:footnote>
  <w:footnote w:id="7">
    <w:p w:rsidR="00B16BF4" w:rsidRPr="00B75332" w:rsidP="00B16BF4">
      <w:pPr>
        <w:pStyle w:val="FootnoteText"/>
      </w:pPr>
      <w:r w:rsidRPr="00B75332">
        <w:rPr>
          <w:rStyle w:val="FootnoteReference"/>
          <w:sz w:val="20"/>
        </w:rPr>
        <w:footnoteRef/>
      </w:r>
      <w:r w:rsidRPr="002D735F">
        <w:t xml:space="preserve"> </w:t>
      </w:r>
      <w:r w:rsidRPr="002D735F">
        <w:rPr>
          <w:i/>
        </w:rPr>
        <w:t>See Wireline Competition Bureau Extends Reply Comment Deadline and Access to Secure Data Enclave in Business Data Services and USTelecom Forbearance Petition Proceedings</w:t>
      </w:r>
      <w:r w:rsidRPr="00F22880">
        <w:t>, WC Docket Nos. 18-141, 17-144, 16-143, 05-25; RM-10593, Public Notice, DA 19-421</w:t>
      </w:r>
      <w:r w:rsidRPr="002D735F">
        <w:t xml:space="preserve"> (WCB May 14, 2019)</w:t>
      </w:r>
      <w:r>
        <w:t>.</w:t>
      </w:r>
    </w:p>
  </w:footnote>
  <w:footnote w:id="8">
    <w:p w:rsidR="001969C2" w:rsidRPr="00EE17A2" w:rsidP="005F2D09">
      <w:pPr>
        <w:pStyle w:val="FootnoteText"/>
      </w:pPr>
      <w:r w:rsidRPr="00EE17A2">
        <w:rPr>
          <w:rStyle w:val="FootnoteReference"/>
          <w:sz w:val="20"/>
        </w:rPr>
        <w:footnoteRef/>
      </w:r>
      <w:r w:rsidRPr="002D735F">
        <w:t xml:space="preserve"> </w:t>
      </w:r>
      <w:r w:rsidRPr="00EE17A2" w:rsidR="003F78AE">
        <w:rPr>
          <w:i/>
        </w:rPr>
        <w:t>Id</w:t>
      </w:r>
      <w:r w:rsidR="003F78AE">
        <w:t xml:space="preserve">.; </w:t>
      </w:r>
      <w:r w:rsidRPr="00EE17A2">
        <w:t>47 CFR § 1.1206.</w:t>
      </w:r>
    </w:p>
  </w:footnote>
  <w:footnote w:id="9">
    <w:p w:rsidR="001969C2" w:rsidRPr="00EE17A2" w:rsidP="005F2D09">
      <w:pPr>
        <w:pStyle w:val="FootnoteText"/>
      </w:pPr>
      <w:r w:rsidRPr="00EE17A2">
        <w:rPr>
          <w:rStyle w:val="FootnoteReference"/>
          <w:sz w:val="20"/>
        </w:rPr>
        <w:footnoteRef/>
      </w:r>
      <w:r w:rsidRPr="002D735F">
        <w:t xml:space="preserve"> </w:t>
      </w:r>
      <w:r w:rsidRPr="002D735F">
        <w:rPr>
          <w:i/>
        </w:rPr>
        <w:t>See Wireline Competition Bureau to Archive Secure Data Enclave for Accessing Highly Confidential Business Data Services (Special Access) Data</w:t>
      </w:r>
      <w:r w:rsidRPr="00EE17A2">
        <w:t>, WC Docket No. 16-143 et al., Public Notice, 32 FCC Rcd 10362 (WCB 2017) (</w:t>
      </w:r>
      <w:r w:rsidRPr="00EE17A2">
        <w:rPr>
          <w:i/>
        </w:rPr>
        <w:t>December 18, 2017 Public Notice</w:t>
      </w:r>
      <w:r w:rsidRPr="00EE17A2">
        <w:t>).</w:t>
      </w:r>
    </w:p>
  </w:footnote>
  <w:footnote w:id="10">
    <w:p w:rsidR="001969C2" w:rsidRPr="002D735F" w:rsidP="005F2D09">
      <w:pPr>
        <w:pStyle w:val="FootnoteText"/>
      </w:pPr>
      <w:r w:rsidRPr="002D735F">
        <w:rPr>
          <w:rStyle w:val="FootnoteReference"/>
          <w:sz w:val="20"/>
        </w:rPr>
        <w:footnoteRef/>
      </w:r>
      <w:r w:rsidRPr="002D735F">
        <w:t xml:space="preserve"> </w:t>
      </w:r>
      <w:r w:rsidRPr="002D735F">
        <w:rPr>
          <w:i/>
        </w:rPr>
        <w:t>See December 18, 2017 Public Notice</w:t>
      </w:r>
      <w:r w:rsidRPr="002D735F">
        <w:t>, 32 FCC Rcd at 10363.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rsidRPr="009838BC" w:rsidP="009838BC">
    <w:pPr>
      <w:tabs>
        <w:tab w:val="center" w:pos="4680"/>
        <w:tab w:val="right" w:pos="9360"/>
      </w:tabs>
    </w:pPr>
    <w:r w:rsidRPr="009838BC">
      <w:rPr>
        <w:b/>
      </w:rPr>
      <w:tab/>
      <w:t>Federal Communications Commission</w:t>
    </w:r>
    <w:r w:rsidRPr="009838BC">
      <w:rPr>
        <w:b/>
      </w:rPr>
      <w:tab/>
    </w:r>
    <w:r w:rsidR="009E2B49">
      <w:rPr>
        <w:b/>
      </w:rPr>
      <w:t>DA 19-577</w:t>
    </w:r>
  </w:p>
  <w:p w:rsidR="001969C2"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969C2"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69C2"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69C2" w:rsidP="009838BC">
                          <w:pPr>
                            <w:rPr>
                              <w:rFonts w:ascii="Arial" w:hAnsi="Arial"/>
                              <w:b/>
                            </w:rPr>
                          </w:pPr>
                          <w:r>
                            <w:rPr>
                              <w:rFonts w:ascii="Arial" w:hAnsi="Arial"/>
                              <w:b/>
                            </w:rPr>
                            <w:t>Federal Communications Commission</w:t>
                          </w:r>
                        </w:p>
                        <w:p w:rsidR="001969C2"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969C2"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1969C2" w:rsidP="009838BC">
                    <w:pPr>
                      <w:rPr>
                        <w:rFonts w:ascii="Arial" w:hAnsi="Arial"/>
                        <w:b/>
                      </w:rPr>
                    </w:pPr>
                    <w:r>
                      <w:rPr>
                        <w:rFonts w:ascii="Arial" w:hAnsi="Arial"/>
                        <w:b/>
                      </w:rPr>
                      <w:t>Federal Communications Commission</w:t>
                    </w:r>
                  </w:p>
                  <w:p w:rsidR="001969C2"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969C2"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09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969C2"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69C2" w:rsidP="009838BC">
                          <w:pPr>
                            <w:spacing w:before="40"/>
                            <w:jc w:val="right"/>
                            <w:rPr>
                              <w:rFonts w:ascii="Arial" w:hAnsi="Arial"/>
                              <w:b/>
                              <w:sz w:val="16"/>
                            </w:rPr>
                          </w:pPr>
                          <w:r>
                            <w:rPr>
                              <w:rFonts w:ascii="Arial" w:hAnsi="Arial"/>
                              <w:b/>
                              <w:sz w:val="16"/>
                            </w:rPr>
                            <w:t>News Media Information 202 / 418-0500</w:t>
                          </w:r>
                        </w:p>
                        <w:p w:rsidR="001969C2"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969C2"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1969C2" w:rsidP="009838BC">
                    <w:pPr>
                      <w:spacing w:before="40"/>
                      <w:jc w:val="right"/>
                      <w:rPr>
                        <w:rFonts w:ascii="Arial" w:hAnsi="Arial"/>
                        <w:b/>
                        <w:sz w:val="16"/>
                      </w:rPr>
                    </w:pPr>
                    <w:r>
                      <w:rPr>
                        <w:rFonts w:ascii="Arial" w:hAnsi="Arial"/>
                        <w:b/>
                        <w:sz w:val="16"/>
                      </w:rPr>
                      <w:t>News Media Information 202 / 418-0500</w:t>
                    </w:r>
                  </w:p>
                  <w:p w:rsidR="001969C2"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969C2" w:rsidP="009838BC">
                    <w:pPr>
                      <w:jc w:val="right"/>
                    </w:pPr>
                    <w:r>
                      <w:rPr>
                        <w:rFonts w:ascii="Arial" w:hAnsi="Arial"/>
                        <w:b/>
                        <w:sz w:val="16"/>
                      </w:rPr>
                      <w:t>TTY: 1-888-835-5322</w:t>
                    </w:r>
                  </w:p>
                </w:txbxContent>
              </v:textbox>
            </v:shape>
          </w:pict>
        </mc:Fallback>
      </mc:AlternateContent>
    </w:r>
  </w:p>
  <w:p w:rsidR="001969C2"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6A"/>
    <w:rsid w:val="000072CE"/>
    <w:rsid w:val="00013A8B"/>
    <w:rsid w:val="00021445"/>
    <w:rsid w:val="000300F5"/>
    <w:rsid w:val="00036039"/>
    <w:rsid w:val="00037F90"/>
    <w:rsid w:val="0005440B"/>
    <w:rsid w:val="000875BF"/>
    <w:rsid w:val="00096D8C"/>
    <w:rsid w:val="000A4B9F"/>
    <w:rsid w:val="000A6D94"/>
    <w:rsid w:val="000B1635"/>
    <w:rsid w:val="000C0B65"/>
    <w:rsid w:val="000E3D42"/>
    <w:rsid w:val="000E5884"/>
    <w:rsid w:val="000F3F2A"/>
    <w:rsid w:val="001011D9"/>
    <w:rsid w:val="00102645"/>
    <w:rsid w:val="00122BD5"/>
    <w:rsid w:val="00144E18"/>
    <w:rsid w:val="001969C2"/>
    <w:rsid w:val="001979D9"/>
    <w:rsid w:val="001D6BCF"/>
    <w:rsid w:val="001E01CA"/>
    <w:rsid w:val="001E5764"/>
    <w:rsid w:val="002060D9"/>
    <w:rsid w:val="00213C6A"/>
    <w:rsid w:val="00221A7C"/>
    <w:rsid w:val="00226822"/>
    <w:rsid w:val="00260594"/>
    <w:rsid w:val="00285017"/>
    <w:rsid w:val="002A2D2E"/>
    <w:rsid w:val="002D735F"/>
    <w:rsid w:val="00305B37"/>
    <w:rsid w:val="00343749"/>
    <w:rsid w:val="0035363E"/>
    <w:rsid w:val="00357D50"/>
    <w:rsid w:val="0037024F"/>
    <w:rsid w:val="00390963"/>
    <w:rsid w:val="00391995"/>
    <w:rsid w:val="003925DC"/>
    <w:rsid w:val="003A4697"/>
    <w:rsid w:val="003B0550"/>
    <w:rsid w:val="003B694F"/>
    <w:rsid w:val="003D43BF"/>
    <w:rsid w:val="003F171C"/>
    <w:rsid w:val="003F78AE"/>
    <w:rsid w:val="00412FC5"/>
    <w:rsid w:val="00422276"/>
    <w:rsid w:val="004242F1"/>
    <w:rsid w:val="00445A00"/>
    <w:rsid w:val="00451B0F"/>
    <w:rsid w:val="0046125F"/>
    <w:rsid w:val="00475561"/>
    <w:rsid w:val="00487524"/>
    <w:rsid w:val="00490DF1"/>
    <w:rsid w:val="0049355E"/>
    <w:rsid w:val="00496106"/>
    <w:rsid w:val="00497193"/>
    <w:rsid w:val="004A7982"/>
    <w:rsid w:val="004B7E45"/>
    <w:rsid w:val="004C12D0"/>
    <w:rsid w:val="004C2EE3"/>
    <w:rsid w:val="004E4A22"/>
    <w:rsid w:val="00500737"/>
    <w:rsid w:val="0050174D"/>
    <w:rsid w:val="00511968"/>
    <w:rsid w:val="00522493"/>
    <w:rsid w:val="0055614C"/>
    <w:rsid w:val="0056467A"/>
    <w:rsid w:val="0057077A"/>
    <w:rsid w:val="005F2D09"/>
    <w:rsid w:val="00607BA5"/>
    <w:rsid w:val="00626EB6"/>
    <w:rsid w:val="006278F5"/>
    <w:rsid w:val="006353A3"/>
    <w:rsid w:val="00655D03"/>
    <w:rsid w:val="006663E7"/>
    <w:rsid w:val="00683F84"/>
    <w:rsid w:val="006A6A81"/>
    <w:rsid w:val="006E26AF"/>
    <w:rsid w:val="006F4FC0"/>
    <w:rsid w:val="006F7393"/>
    <w:rsid w:val="0070224F"/>
    <w:rsid w:val="00703D73"/>
    <w:rsid w:val="007115F7"/>
    <w:rsid w:val="00713E38"/>
    <w:rsid w:val="00744E7A"/>
    <w:rsid w:val="00753EC0"/>
    <w:rsid w:val="00785689"/>
    <w:rsid w:val="00791A13"/>
    <w:rsid w:val="00794D53"/>
    <w:rsid w:val="0079754B"/>
    <w:rsid w:val="007A1E6D"/>
    <w:rsid w:val="007D2BF2"/>
    <w:rsid w:val="00822CE0"/>
    <w:rsid w:val="00837C62"/>
    <w:rsid w:val="00841AB1"/>
    <w:rsid w:val="008B0269"/>
    <w:rsid w:val="008B5EBE"/>
    <w:rsid w:val="008C22FD"/>
    <w:rsid w:val="008F6A8E"/>
    <w:rsid w:val="00910F12"/>
    <w:rsid w:val="00926503"/>
    <w:rsid w:val="00930ECF"/>
    <w:rsid w:val="00942D06"/>
    <w:rsid w:val="009802F7"/>
    <w:rsid w:val="009838BC"/>
    <w:rsid w:val="009953DC"/>
    <w:rsid w:val="009A2394"/>
    <w:rsid w:val="009B0FEB"/>
    <w:rsid w:val="009B11DA"/>
    <w:rsid w:val="009E2B49"/>
    <w:rsid w:val="00A45F4F"/>
    <w:rsid w:val="00A600A9"/>
    <w:rsid w:val="00A74326"/>
    <w:rsid w:val="00A866AC"/>
    <w:rsid w:val="00A9441A"/>
    <w:rsid w:val="00AA55B7"/>
    <w:rsid w:val="00AA5B9E"/>
    <w:rsid w:val="00AB2407"/>
    <w:rsid w:val="00AB53DF"/>
    <w:rsid w:val="00AF3F35"/>
    <w:rsid w:val="00AF4EBE"/>
    <w:rsid w:val="00B07E5C"/>
    <w:rsid w:val="00B16BF4"/>
    <w:rsid w:val="00B326E3"/>
    <w:rsid w:val="00B75332"/>
    <w:rsid w:val="00B811F7"/>
    <w:rsid w:val="00BA5DC6"/>
    <w:rsid w:val="00BA6196"/>
    <w:rsid w:val="00BC6D8C"/>
    <w:rsid w:val="00BF31F9"/>
    <w:rsid w:val="00C06194"/>
    <w:rsid w:val="00C16AF2"/>
    <w:rsid w:val="00C2136A"/>
    <w:rsid w:val="00C34006"/>
    <w:rsid w:val="00C426B1"/>
    <w:rsid w:val="00C6701D"/>
    <w:rsid w:val="00C73663"/>
    <w:rsid w:val="00C7495E"/>
    <w:rsid w:val="00C82B6B"/>
    <w:rsid w:val="00C90D6A"/>
    <w:rsid w:val="00CA3938"/>
    <w:rsid w:val="00CA4DD5"/>
    <w:rsid w:val="00CC72B6"/>
    <w:rsid w:val="00CD2DB0"/>
    <w:rsid w:val="00D0218D"/>
    <w:rsid w:val="00D216CD"/>
    <w:rsid w:val="00D80980"/>
    <w:rsid w:val="00D931C1"/>
    <w:rsid w:val="00DA2529"/>
    <w:rsid w:val="00DB130A"/>
    <w:rsid w:val="00DC10A1"/>
    <w:rsid w:val="00DC655F"/>
    <w:rsid w:val="00DD13BA"/>
    <w:rsid w:val="00DD7EBD"/>
    <w:rsid w:val="00DE3F54"/>
    <w:rsid w:val="00DF2F69"/>
    <w:rsid w:val="00DF62B6"/>
    <w:rsid w:val="00E06FF3"/>
    <w:rsid w:val="00E07225"/>
    <w:rsid w:val="00E155B7"/>
    <w:rsid w:val="00E25CE4"/>
    <w:rsid w:val="00E530B8"/>
    <w:rsid w:val="00E5409F"/>
    <w:rsid w:val="00E77D7F"/>
    <w:rsid w:val="00EA0E27"/>
    <w:rsid w:val="00EC0185"/>
    <w:rsid w:val="00EE17A2"/>
    <w:rsid w:val="00EF113B"/>
    <w:rsid w:val="00F021FA"/>
    <w:rsid w:val="00F22880"/>
    <w:rsid w:val="00F3043A"/>
    <w:rsid w:val="00F57ACA"/>
    <w:rsid w:val="00F62E97"/>
    <w:rsid w:val="00F64209"/>
    <w:rsid w:val="00F93BF5"/>
    <w:rsid w:val="00F96F63"/>
    <w:rsid w:val="00FC3A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0B76D1-278D-4A05-AF08-AC55D087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49"/>
    <w:pPr>
      <w:widowControl w:val="0"/>
    </w:pPr>
    <w:rPr>
      <w:snapToGrid w:val="0"/>
      <w:kern w:val="28"/>
      <w:sz w:val="22"/>
    </w:rPr>
  </w:style>
  <w:style w:type="paragraph" w:styleId="Heading1">
    <w:name w:val="heading 1"/>
    <w:basedOn w:val="Normal"/>
    <w:next w:val="ParaNum"/>
    <w:qFormat/>
    <w:rsid w:val="009E2B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2B49"/>
    <w:pPr>
      <w:keepNext/>
      <w:numPr>
        <w:ilvl w:val="1"/>
        <w:numId w:val="3"/>
      </w:numPr>
      <w:spacing w:after="120"/>
      <w:outlineLvl w:val="1"/>
    </w:pPr>
    <w:rPr>
      <w:b/>
    </w:rPr>
  </w:style>
  <w:style w:type="paragraph" w:styleId="Heading3">
    <w:name w:val="heading 3"/>
    <w:basedOn w:val="Normal"/>
    <w:next w:val="ParaNum"/>
    <w:qFormat/>
    <w:rsid w:val="009E2B49"/>
    <w:pPr>
      <w:keepNext/>
      <w:numPr>
        <w:ilvl w:val="2"/>
        <w:numId w:val="3"/>
      </w:numPr>
      <w:tabs>
        <w:tab w:val="left" w:pos="2160"/>
      </w:tabs>
      <w:spacing w:after="120"/>
      <w:outlineLvl w:val="2"/>
    </w:pPr>
    <w:rPr>
      <w:b/>
    </w:rPr>
  </w:style>
  <w:style w:type="paragraph" w:styleId="Heading4">
    <w:name w:val="heading 4"/>
    <w:basedOn w:val="Normal"/>
    <w:next w:val="ParaNum"/>
    <w:qFormat/>
    <w:rsid w:val="009E2B49"/>
    <w:pPr>
      <w:keepNext/>
      <w:numPr>
        <w:ilvl w:val="3"/>
        <w:numId w:val="3"/>
      </w:numPr>
      <w:tabs>
        <w:tab w:val="left" w:pos="2880"/>
      </w:tabs>
      <w:spacing w:after="120"/>
      <w:outlineLvl w:val="3"/>
    </w:pPr>
    <w:rPr>
      <w:b/>
    </w:rPr>
  </w:style>
  <w:style w:type="paragraph" w:styleId="Heading5">
    <w:name w:val="heading 5"/>
    <w:basedOn w:val="Normal"/>
    <w:next w:val="ParaNum"/>
    <w:qFormat/>
    <w:rsid w:val="009E2B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2B49"/>
    <w:pPr>
      <w:numPr>
        <w:ilvl w:val="5"/>
        <w:numId w:val="3"/>
      </w:numPr>
      <w:tabs>
        <w:tab w:val="left" w:pos="4320"/>
      </w:tabs>
      <w:spacing w:after="120"/>
      <w:outlineLvl w:val="5"/>
    </w:pPr>
    <w:rPr>
      <w:b/>
    </w:rPr>
  </w:style>
  <w:style w:type="paragraph" w:styleId="Heading7">
    <w:name w:val="heading 7"/>
    <w:basedOn w:val="Normal"/>
    <w:next w:val="ParaNum"/>
    <w:qFormat/>
    <w:rsid w:val="009E2B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2B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2B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E2B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E2B49"/>
  </w:style>
  <w:style w:type="paragraph" w:customStyle="1" w:styleId="ParaNum">
    <w:name w:val="ParaNum"/>
    <w:basedOn w:val="Normal"/>
    <w:rsid w:val="009E2B49"/>
    <w:pPr>
      <w:numPr>
        <w:numId w:val="2"/>
      </w:numPr>
      <w:tabs>
        <w:tab w:val="clear" w:pos="1080"/>
        <w:tab w:val="num" w:pos="1440"/>
      </w:tabs>
      <w:spacing w:after="120"/>
    </w:pPr>
  </w:style>
  <w:style w:type="paragraph" w:styleId="EndnoteText">
    <w:name w:val="endnote text"/>
    <w:basedOn w:val="Normal"/>
    <w:semiHidden/>
    <w:rsid w:val="009E2B49"/>
    <w:rPr>
      <w:sz w:val="20"/>
    </w:rPr>
  </w:style>
  <w:style w:type="character" w:styleId="EndnoteReference">
    <w:name w:val="endnote reference"/>
    <w:semiHidden/>
    <w:rsid w:val="009E2B49"/>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9E2B49"/>
    <w:pPr>
      <w:spacing w:after="120"/>
    </w:pPr>
  </w:style>
  <w:style w:type="character" w:styleId="FootnoteReference">
    <w:name w:val="footnote reference"/>
    <w:semiHidden/>
    <w:rsid w:val="009E2B49"/>
    <w:rPr>
      <w:rFonts w:ascii="Times New Roman" w:hAnsi="Times New Roman"/>
      <w:dstrike w:val="0"/>
      <w:color w:val="auto"/>
      <w:sz w:val="22"/>
      <w:vertAlign w:val="superscript"/>
    </w:rPr>
  </w:style>
  <w:style w:type="paragraph" w:styleId="TOC1">
    <w:name w:val="toc 1"/>
    <w:basedOn w:val="Normal"/>
    <w:next w:val="Normal"/>
    <w:uiPriority w:val="39"/>
    <w:rsid w:val="009E2B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2B49"/>
    <w:pPr>
      <w:tabs>
        <w:tab w:val="left" w:pos="720"/>
        <w:tab w:val="right" w:leader="dot" w:pos="9360"/>
      </w:tabs>
      <w:suppressAutoHyphens/>
      <w:ind w:left="720" w:right="720" w:hanging="360"/>
    </w:pPr>
    <w:rPr>
      <w:noProof/>
    </w:rPr>
  </w:style>
  <w:style w:type="paragraph" w:styleId="TOC3">
    <w:name w:val="toc 3"/>
    <w:basedOn w:val="Normal"/>
    <w:next w:val="Normal"/>
    <w:semiHidden/>
    <w:rsid w:val="009E2B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2B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2B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2B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2B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2B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2B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2B49"/>
    <w:pPr>
      <w:tabs>
        <w:tab w:val="right" w:pos="9360"/>
      </w:tabs>
      <w:suppressAutoHyphens/>
    </w:pPr>
  </w:style>
  <w:style w:type="character" w:customStyle="1" w:styleId="EquationCaption">
    <w:name w:val="_Equation Caption"/>
    <w:rsid w:val="009E2B49"/>
  </w:style>
  <w:style w:type="paragraph" w:styleId="Header">
    <w:name w:val="header"/>
    <w:basedOn w:val="Normal"/>
    <w:autoRedefine/>
    <w:rsid w:val="009E2B4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E2B49"/>
    <w:pPr>
      <w:tabs>
        <w:tab w:val="center" w:pos="4320"/>
        <w:tab w:val="right" w:pos="8640"/>
      </w:tabs>
    </w:pPr>
  </w:style>
  <w:style w:type="character" w:styleId="PageNumber">
    <w:name w:val="page number"/>
    <w:basedOn w:val="DefaultParagraphFont"/>
    <w:rsid w:val="009E2B49"/>
  </w:style>
  <w:style w:type="paragraph" w:styleId="BlockText">
    <w:name w:val="Block Text"/>
    <w:basedOn w:val="Normal"/>
    <w:rsid w:val="009E2B49"/>
    <w:pPr>
      <w:spacing w:after="240"/>
      <w:ind w:left="1440" w:right="1440"/>
    </w:pPr>
  </w:style>
  <w:style w:type="paragraph" w:customStyle="1" w:styleId="Paratitle">
    <w:name w:val="Para title"/>
    <w:basedOn w:val="Normal"/>
    <w:rsid w:val="009E2B49"/>
    <w:pPr>
      <w:tabs>
        <w:tab w:val="center" w:pos="9270"/>
      </w:tabs>
      <w:spacing w:after="240"/>
    </w:pPr>
    <w:rPr>
      <w:spacing w:val="-2"/>
    </w:rPr>
  </w:style>
  <w:style w:type="paragraph" w:customStyle="1" w:styleId="Bullet">
    <w:name w:val="Bullet"/>
    <w:basedOn w:val="Normal"/>
    <w:rsid w:val="009E2B49"/>
    <w:pPr>
      <w:numPr>
        <w:numId w:val="1"/>
      </w:numPr>
      <w:tabs>
        <w:tab w:val="clear" w:pos="360"/>
        <w:tab w:val="left" w:pos="2160"/>
      </w:tabs>
      <w:spacing w:after="220"/>
      <w:ind w:left="2160" w:hanging="720"/>
    </w:pPr>
  </w:style>
  <w:style w:type="paragraph" w:customStyle="1" w:styleId="TableFormat">
    <w:name w:val="TableFormat"/>
    <w:basedOn w:val="Bullet"/>
    <w:rsid w:val="009E2B49"/>
    <w:pPr>
      <w:numPr>
        <w:numId w:val="0"/>
      </w:numPr>
      <w:tabs>
        <w:tab w:val="clear" w:pos="2160"/>
        <w:tab w:val="left" w:pos="5040"/>
      </w:tabs>
      <w:ind w:left="5040" w:hanging="3600"/>
    </w:pPr>
  </w:style>
  <w:style w:type="paragraph" w:customStyle="1" w:styleId="TOCTitle">
    <w:name w:val="TOC Title"/>
    <w:basedOn w:val="Normal"/>
    <w:rsid w:val="009E2B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2B49"/>
    <w:pPr>
      <w:jc w:val="center"/>
    </w:pPr>
    <w:rPr>
      <w:rFonts w:ascii="Times New Roman Bold" w:hAnsi="Times New Roman Bold"/>
      <w:b/>
      <w:bCs/>
      <w:caps/>
      <w:szCs w:val="22"/>
    </w:rPr>
  </w:style>
  <w:style w:type="character" w:styleId="Hyperlink">
    <w:name w:val="Hyperlink"/>
    <w:rsid w:val="009E2B49"/>
    <w:rPr>
      <w:color w:val="0000FF"/>
      <w:u w:val="single"/>
    </w:rPr>
  </w:style>
  <w:style w:type="character" w:customStyle="1" w:styleId="FooterChar">
    <w:name w:val="Footer Char"/>
    <w:link w:val="Footer"/>
    <w:uiPriority w:val="99"/>
    <w:rsid w:val="009E2B49"/>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5F2D09"/>
  </w:style>
  <w:style w:type="character" w:styleId="CommentReference">
    <w:name w:val="annotation reference"/>
    <w:uiPriority w:val="99"/>
    <w:semiHidden/>
    <w:unhideWhenUsed/>
    <w:rsid w:val="005F2D09"/>
    <w:rPr>
      <w:sz w:val="16"/>
      <w:szCs w:val="16"/>
    </w:rPr>
  </w:style>
  <w:style w:type="paragraph" w:styleId="CommentText">
    <w:name w:val="annotation text"/>
    <w:basedOn w:val="Normal"/>
    <w:link w:val="CommentTextChar"/>
    <w:uiPriority w:val="99"/>
    <w:semiHidden/>
    <w:unhideWhenUsed/>
    <w:rsid w:val="005F2D09"/>
    <w:rPr>
      <w:sz w:val="20"/>
    </w:rPr>
  </w:style>
  <w:style w:type="character" w:customStyle="1" w:styleId="CommentTextChar">
    <w:name w:val="Comment Text Char"/>
    <w:link w:val="CommentText"/>
    <w:uiPriority w:val="99"/>
    <w:semiHidden/>
    <w:rsid w:val="005F2D09"/>
    <w:rPr>
      <w:snapToGrid w:val="0"/>
      <w:kern w:val="28"/>
    </w:rPr>
  </w:style>
  <w:style w:type="paragraph" w:styleId="BalloonText">
    <w:name w:val="Balloon Text"/>
    <w:basedOn w:val="Normal"/>
    <w:link w:val="BalloonTextChar"/>
    <w:uiPriority w:val="99"/>
    <w:semiHidden/>
    <w:unhideWhenUsed/>
    <w:rsid w:val="005F2D09"/>
    <w:rPr>
      <w:rFonts w:ascii="Segoe UI" w:hAnsi="Segoe UI" w:cs="Segoe UI"/>
      <w:sz w:val="18"/>
      <w:szCs w:val="18"/>
    </w:rPr>
  </w:style>
  <w:style w:type="character" w:customStyle="1" w:styleId="BalloonTextChar">
    <w:name w:val="Balloon Text Char"/>
    <w:link w:val="BalloonText"/>
    <w:uiPriority w:val="99"/>
    <w:semiHidden/>
    <w:rsid w:val="005F2D09"/>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305B37"/>
    <w:rPr>
      <w:b/>
      <w:bCs/>
    </w:rPr>
  </w:style>
  <w:style w:type="character" w:customStyle="1" w:styleId="CommentSubjectChar">
    <w:name w:val="Comment Subject Char"/>
    <w:link w:val="CommentSubject"/>
    <w:uiPriority w:val="99"/>
    <w:semiHidden/>
    <w:rsid w:val="00305B37"/>
    <w:rPr>
      <w:b/>
      <w:bCs/>
      <w:snapToGrid w:val="0"/>
      <w:kern w:val="28"/>
    </w:rPr>
  </w:style>
  <w:style w:type="paragraph" w:styleId="Revision">
    <w:name w:val="Revision"/>
    <w:hidden/>
    <w:uiPriority w:val="99"/>
    <w:semiHidden/>
    <w:rsid w:val="00E06FF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yperlink" Target="mailto:Michele.Berlov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