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rsidRPr="005E1840" w:rsidP="005E1840" w14:paraId="4CDBE435" w14:textId="77777777">
      <w:pPr>
        <w:jc w:val="center"/>
        <w:rPr>
          <w:b/>
        </w:rPr>
      </w:pPr>
      <w:r w:rsidRPr="0070224F">
        <w:rPr>
          <w:rFonts w:ascii="Times New Roman Bold" w:hAnsi="Times New Roman Bold"/>
          <w:b/>
        </w:rPr>
        <w:t>Before</w:t>
      </w:r>
      <w:r>
        <w:rPr>
          <w:b/>
        </w:rPr>
        <w:t xml:space="preserve"> </w:t>
      </w:r>
      <w:r w:rsidRPr="005E1840">
        <w:rPr>
          <w:b/>
        </w:rPr>
        <w:t>the</w:t>
      </w:r>
    </w:p>
    <w:p w:rsidR="00921803" w:rsidP="00921803" w14:paraId="2ACEA936" w14:textId="77777777">
      <w:pPr>
        <w:pStyle w:val="StyleBoldCentered"/>
      </w:pPr>
      <w:r>
        <w:t>F</w:t>
      </w:r>
      <w:r>
        <w:rPr>
          <w:caps w:val="0"/>
        </w:rPr>
        <w:t>ederal Communications Commission</w:t>
      </w:r>
    </w:p>
    <w:p w:rsidR="004C2EE3" w:rsidP="00096D8C" w14:paraId="553E52EF" w14:textId="77777777">
      <w:pPr>
        <w:pStyle w:val="StyleBoldCentered"/>
      </w:pPr>
      <w:r>
        <w:rPr>
          <w:caps w:val="0"/>
        </w:rPr>
        <w:t>Washington, D.C. 20554</w:t>
      </w:r>
    </w:p>
    <w:p w:rsidR="004C2EE3" w:rsidRPr="00BE26CB" w:rsidP="0070224F" w14:paraId="53007E41" w14:textId="77777777"/>
    <w:tbl>
      <w:tblPr>
        <w:tblW w:w="0" w:type="auto"/>
        <w:tblLayout w:type="fixed"/>
        <w:tblLook w:val="0000"/>
      </w:tblPr>
      <w:tblGrid>
        <w:gridCol w:w="4698"/>
        <w:gridCol w:w="630"/>
        <w:gridCol w:w="4248"/>
      </w:tblGrid>
      <w:tr w14:paraId="07A73908" w14:textId="77777777">
        <w:tblPrEx>
          <w:tblW w:w="0" w:type="auto"/>
          <w:tblLayout w:type="fixed"/>
          <w:tblLook w:val="0000"/>
        </w:tblPrEx>
        <w:tc>
          <w:tcPr>
            <w:tcW w:w="4698" w:type="dxa"/>
          </w:tcPr>
          <w:p w:rsidR="004C2EE3" w:rsidRPr="00236511" w:rsidP="00AC4B1C" w14:paraId="54F85EE0" w14:textId="77777777">
            <w:pPr>
              <w:tabs>
                <w:tab w:val="center" w:pos="4680"/>
              </w:tabs>
              <w:suppressAutoHyphens/>
              <w:contextualSpacing/>
              <w:rPr>
                <w:spacing w:val="-2"/>
              </w:rPr>
            </w:pPr>
            <w:r w:rsidRPr="00236511">
              <w:rPr>
                <w:spacing w:val="-2"/>
              </w:rPr>
              <w:t>In the Matter of</w:t>
            </w:r>
          </w:p>
          <w:p w:rsidR="004C2EE3" w:rsidRPr="00236511" w:rsidP="00AC4B1C" w14:paraId="575C9A5B" w14:textId="77777777">
            <w:pPr>
              <w:tabs>
                <w:tab w:val="center" w:pos="4680"/>
              </w:tabs>
              <w:suppressAutoHyphens/>
              <w:contextualSpacing/>
              <w:rPr>
                <w:spacing w:val="-2"/>
              </w:rPr>
            </w:pPr>
          </w:p>
          <w:p w:rsidR="004C2EE3" w:rsidRPr="00236511" w:rsidP="00AC4B1C" w14:paraId="169A6CE1" w14:textId="77777777">
            <w:pPr>
              <w:tabs>
                <w:tab w:val="center" w:pos="4680"/>
              </w:tabs>
              <w:suppressAutoHyphens/>
              <w:contextualSpacing/>
              <w:rPr>
                <w:spacing w:val="-2"/>
              </w:rPr>
            </w:pPr>
            <w:r w:rsidRPr="00236511">
              <w:rPr>
                <w:spacing w:val="-2"/>
              </w:rPr>
              <w:t>Service Rules for the 698-746</w:t>
            </w:r>
            <w:r w:rsidR="00B90C1D">
              <w:rPr>
                <w:spacing w:val="-2"/>
              </w:rPr>
              <w:t>, 747-762</w:t>
            </w:r>
            <w:r w:rsidRPr="00236511">
              <w:rPr>
                <w:spacing w:val="-2"/>
              </w:rPr>
              <w:t xml:space="preserve"> and</w:t>
            </w:r>
            <w:r w:rsidR="000C1E23">
              <w:rPr>
                <w:spacing w:val="-2"/>
              </w:rPr>
              <w:t xml:space="preserve"> </w:t>
            </w:r>
            <w:r w:rsidR="00180283">
              <w:rPr>
                <w:spacing w:val="-2"/>
              </w:rPr>
              <w:t>777-</w:t>
            </w:r>
            <w:r w:rsidRPr="00236511">
              <w:rPr>
                <w:spacing w:val="-2"/>
              </w:rPr>
              <w:t>792 MHz Bands</w:t>
            </w:r>
          </w:p>
        </w:tc>
        <w:tc>
          <w:tcPr>
            <w:tcW w:w="630" w:type="dxa"/>
          </w:tcPr>
          <w:p w:rsidR="004C2EE3" w:rsidRPr="00236511" w:rsidP="00AC4B1C" w14:paraId="3D4FA2B8" w14:textId="77777777">
            <w:pPr>
              <w:tabs>
                <w:tab w:val="center" w:pos="4680"/>
              </w:tabs>
              <w:suppressAutoHyphens/>
              <w:contextualSpacing/>
              <w:rPr>
                <w:b/>
                <w:spacing w:val="-2"/>
              </w:rPr>
            </w:pPr>
            <w:r w:rsidRPr="00236511">
              <w:rPr>
                <w:b/>
                <w:spacing w:val="-2"/>
              </w:rPr>
              <w:t>)</w:t>
            </w:r>
          </w:p>
          <w:p w:rsidR="004C2EE3" w:rsidRPr="00236511" w:rsidP="00AC4B1C" w14:paraId="3322426A" w14:textId="77777777">
            <w:pPr>
              <w:tabs>
                <w:tab w:val="center" w:pos="4680"/>
              </w:tabs>
              <w:suppressAutoHyphens/>
              <w:contextualSpacing/>
              <w:rPr>
                <w:b/>
                <w:spacing w:val="-2"/>
              </w:rPr>
            </w:pPr>
            <w:r w:rsidRPr="00236511">
              <w:rPr>
                <w:b/>
                <w:spacing w:val="-2"/>
              </w:rPr>
              <w:t>)</w:t>
            </w:r>
          </w:p>
          <w:p w:rsidR="004C2EE3" w:rsidRPr="00236511" w:rsidP="00AC4B1C" w14:paraId="445AA09E" w14:textId="77777777">
            <w:pPr>
              <w:tabs>
                <w:tab w:val="center" w:pos="4680"/>
              </w:tabs>
              <w:suppressAutoHyphens/>
              <w:contextualSpacing/>
              <w:rPr>
                <w:b/>
                <w:spacing w:val="-2"/>
              </w:rPr>
            </w:pPr>
            <w:r w:rsidRPr="00236511">
              <w:rPr>
                <w:b/>
                <w:spacing w:val="-2"/>
              </w:rPr>
              <w:t>)</w:t>
            </w:r>
          </w:p>
          <w:p w:rsidR="004C2EE3" w:rsidP="00AC4B1C" w14:paraId="63D0AB82" w14:textId="77777777">
            <w:pPr>
              <w:tabs>
                <w:tab w:val="center" w:pos="4680"/>
              </w:tabs>
              <w:suppressAutoHyphens/>
              <w:contextualSpacing/>
              <w:rPr>
                <w:b/>
                <w:spacing w:val="-2"/>
              </w:rPr>
            </w:pPr>
            <w:r w:rsidRPr="00236511">
              <w:rPr>
                <w:b/>
                <w:spacing w:val="-2"/>
              </w:rPr>
              <w:t>)</w:t>
            </w:r>
          </w:p>
          <w:p w:rsidR="00124FB1" w:rsidRPr="00236511" w:rsidP="00AC4B1C" w14:paraId="57507976" w14:textId="77777777">
            <w:pPr>
              <w:tabs>
                <w:tab w:val="center" w:pos="4680"/>
              </w:tabs>
              <w:suppressAutoHyphens/>
              <w:contextualSpacing/>
              <w:rPr>
                <w:b/>
                <w:spacing w:val="-2"/>
              </w:rPr>
            </w:pPr>
          </w:p>
        </w:tc>
        <w:tc>
          <w:tcPr>
            <w:tcW w:w="4248" w:type="dxa"/>
          </w:tcPr>
          <w:p w:rsidR="00BE26CB" w:rsidP="00AC4B1C" w14:paraId="45507889" w14:textId="77777777">
            <w:pPr>
              <w:pStyle w:val="TOAHeading"/>
              <w:tabs>
                <w:tab w:val="center" w:pos="4680"/>
                <w:tab w:val="clear" w:pos="9360"/>
              </w:tabs>
              <w:contextualSpacing/>
              <w:rPr>
                <w:spacing w:val="-2"/>
              </w:rPr>
            </w:pPr>
          </w:p>
          <w:p w:rsidR="00B9524E" w:rsidP="00B9524E" w14:paraId="3B2D035A" w14:textId="77777777"/>
          <w:p w:rsidR="00B9524E" w:rsidRPr="00236511" w:rsidP="00B9524E" w14:paraId="48E65688" w14:textId="77777777">
            <w:pPr>
              <w:pStyle w:val="TOAHeading"/>
              <w:tabs>
                <w:tab w:val="center" w:pos="4680"/>
                <w:tab w:val="clear" w:pos="9360"/>
              </w:tabs>
              <w:contextualSpacing/>
              <w:rPr>
                <w:spacing w:val="-2"/>
              </w:rPr>
            </w:pPr>
            <w:r w:rsidRPr="00236511">
              <w:rPr>
                <w:spacing w:val="-2"/>
              </w:rPr>
              <w:t>WT Docket No. 06-150</w:t>
            </w:r>
          </w:p>
          <w:p w:rsidR="00B9524E" w:rsidRPr="004F3D4D" w:rsidP="004F3D4D" w14:paraId="47927A25" w14:textId="77777777"/>
          <w:p w:rsidR="004C2EE3" w:rsidRPr="00236511" w:rsidP="004F3D4D" w14:paraId="5964B601" w14:textId="77777777">
            <w:pPr>
              <w:pStyle w:val="TOAHeading"/>
              <w:tabs>
                <w:tab w:val="center" w:pos="4680"/>
                <w:tab w:val="clear" w:pos="9360"/>
              </w:tabs>
              <w:contextualSpacing/>
              <w:rPr>
                <w:spacing w:val="-2"/>
              </w:rPr>
            </w:pPr>
          </w:p>
        </w:tc>
      </w:tr>
    </w:tbl>
    <w:p w:rsidR="00841AB1" w:rsidP="00F021FA" w14:paraId="35439444" w14:textId="77777777">
      <w:pPr>
        <w:pStyle w:val="StyleBoldCentered"/>
      </w:pPr>
      <w:r>
        <w:t>ORDER</w:t>
      </w:r>
    </w:p>
    <w:p w:rsidR="00BE26CB" w:rsidP="00BE26CB" w14:paraId="7C9BBC8E" w14:textId="77777777">
      <w:pPr>
        <w:pStyle w:val="StyleBoldCentered"/>
        <w:jc w:val="left"/>
      </w:pPr>
    </w:p>
    <w:p w:rsidR="004C2EE3" w:rsidRPr="00236511" w:rsidP="00133F79" w14:paraId="7D9D9B34" w14:textId="1A2C36E6">
      <w:pPr>
        <w:tabs>
          <w:tab w:val="left" w:pos="720"/>
          <w:tab w:val="right" w:pos="9360"/>
        </w:tabs>
        <w:suppressAutoHyphens/>
        <w:spacing w:line="227" w:lineRule="auto"/>
        <w:rPr>
          <w:spacing w:val="-2"/>
        </w:rPr>
      </w:pPr>
      <w:r w:rsidRPr="00236511">
        <w:rPr>
          <w:b/>
          <w:spacing w:val="-2"/>
        </w:rPr>
        <w:t xml:space="preserve">Adopted:  </w:t>
      </w:r>
      <w:r w:rsidR="00B70411">
        <w:rPr>
          <w:b/>
          <w:spacing w:val="-2"/>
        </w:rPr>
        <w:t>June 25, 2019</w:t>
      </w:r>
      <w:r w:rsidRPr="00236511">
        <w:rPr>
          <w:b/>
          <w:spacing w:val="-2"/>
        </w:rPr>
        <w:tab/>
      </w:r>
      <w:r w:rsidRPr="00236511" w:rsidR="00822CE0">
        <w:rPr>
          <w:b/>
          <w:spacing w:val="-2"/>
        </w:rPr>
        <w:t>Released</w:t>
      </w:r>
      <w:r w:rsidRPr="00236511">
        <w:rPr>
          <w:b/>
          <w:spacing w:val="-2"/>
        </w:rPr>
        <w:t>:</w:t>
      </w:r>
      <w:r w:rsidRPr="00236511" w:rsidR="00822CE0">
        <w:rPr>
          <w:b/>
          <w:spacing w:val="-2"/>
        </w:rPr>
        <w:t xml:space="preserve"> </w:t>
      </w:r>
      <w:r w:rsidRPr="00236511">
        <w:rPr>
          <w:b/>
          <w:spacing w:val="-2"/>
        </w:rPr>
        <w:t xml:space="preserve"> </w:t>
      </w:r>
      <w:r w:rsidR="00B70411">
        <w:rPr>
          <w:b/>
          <w:spacing w:val="-2"/>
        </w:rPr>
        <w:t>June 25, 2019</w:t>
      </w:r>
    </w:p>
    <w:p w:rsidR="00822CE0" w:rsidRPr="00BE26CB" w14:paraId="22581167" w14:textId="77777777"/>
    <w:p w:rsidR="004C2EE3" w:rsidRPr="00B90C1D" w14:paraId="27A06B78" w14:textId="77777777">
      <w:pPr>
        <w:rPr>
          <w:spacing w:val="-2"/>
        </w:rPr>
      </w:pPr>
      <w:r w:rsidRPr="00B90C1D">
        <w:t xml:space="preserve">By </w:t>
      </w:r>
      <w:r w:rsidRPr="00B90C1D" w:rsidR="004E4A22">
        <w:t>the</w:t>
      </w:r>
      <w:r w:rsidRPr="00B90C1D" w:rsidR="009014E7">
        <w:rPr>
          <w:spacing w:val="-2"/>
        </w:rPr>
        <w:t xml:space="preserve"> C</w:t>
      </w:r>
      <w:r w:rsidR="00352C73">
        <w:rPr>
          <w:spacing w:val="-2"/>
        </w:rPr>
        <w:t>hief, Wireless Telecommunications Bureau</w:t>
      </w:r>
      <w:r w:rsidRPr="00B90C1D">
        <w:rPr>
          <w:spacing w:val="-2"/>
        </w:rPr>
        <w:t>:</w:t>
      </w:r>
    </w:p>
    <w:p w:rsidR="00822CE0" w:rsidRPr="00BE26CB" w14:paraId="5047A645" w14:textId="77777777">
      <w:pPr>
        <w:rPr>
          <w:spacing w:val="-2"/>
        </w:rPr>
      </w:pPr>
    </w:p>
    <w:p w:rsidR="00412FC5" w:rsidP="00C36B4C" w14:paraId="67C29070" w14:textId="77777777">
      <w:pPr>
        <w:pStyle w:val="Heading1"/>
      </w:pPr>
      <w:r>
        <w:t>Introduction</w:t>
      </w:r>
    </w:p>
    <w:p w:rsidR="009014E7" w:rsidP="00C55B04" w14:paraId="2E2BFDB1" w14:textId="77777777">
      <w:pPr>
        <w:pStyle w:val="ParaNum"/>
      </w:pPr>
      <w:r>
        <w:t xml:space="preserve">Pursuant to </w:t>
      </w:r>
      <w:r w:rsidR="00A57E4B">
        <w:t>s</w:t>
      </w:r>
      <w:r>
        <w:t>ection 1.</w:t>
      </w:r>
      <w:r w:rsidR="00E235B5">
        <w:t>3</w:t>
      </w:r>
      <w:r>
        <w:t xml:space="preserve"> of the </w:t>
      </w:r>
      <w:r w:rsidRPr="00C55B04">
        <w:t>Commission’s</w:t>
      </w:r>
      <w:r>
        <w:t xml:space="preserve"> rules, we grant </w:t>
      </w:r>
      <w:r w:rsidR="00180283">
        <w:t xml:space="preserve">Verizon </w:t>
      </w:r>
      <w:r>
        <w:t xml:space="preserve">a partial waiver of </w:t>
      </w:r>
      <w:r w:rsidR="0030252E">
        <w:t>s</w:t>
      </w:r>
      <w:r>
        <w:t>ection 27.16(e)</w:t>
      </w:r>
      <w:r w:rsidR="004E2E35">
        <w:t xml:space="preserve"> of the Commission’s rules</w:t>
      </w:r>
      <w:r>
        <w:t xml:space="preserve">, which prohibits </w:t>
      </w:r>
      <w:r w:rsidR="00180283">
        <w:t xml:space="preserve">Upper 700 MHz </w:t>
      </w:r>
      <w:r w:rsidRPr="000C2528">
        <w:t xml:space="preserve">C Block licensees from </w:t>
      </w:r>
      <w:r w:rsidR="00C50B87">
        <w:t>“</w:t>
      </w:r>
      <w:r w:rsidRPr="000C2528">
        <w:t>locking</w:t>
      </w:r>
      <w:r w:rsidR="00C50B87">
        <w:t>”</w:t>
      </w:r>
      <w:r w:rsidRPr="000C2528">
        <w:t xml:space="preserve"> handsets that are used in </w:t>
      </w:r>
      <w:bookmarkStart w:id="0" w:name="_Hlk5287321"/>
      <w:r w:rsidRPr="000C2528">
        <w:t>the</w:t>
      </w:r>
      <w:r>
        <w:t xml:space="preserve"> band</w:t>
      </w:r>
      <w:bookmarkEnd w:id="0"/>
      <w:r>
        <w:t>.</w:t>
      </w:r>
      <w:r>
        <w:rPr>
          <w:vertAlign w:val="superscript"/>
        </w:rPr>
        <w:footnoteReference w:id="3"/>
      </w:r>
      <w:r w:rsidR="00546100">
        <w:t xml:space="preserve">  </w:t>
      </w:r>
      <w:r>
        <w:t xml:space="preserve">In </w:t>
      </w:r>
      <w:r w:rsidR="006165D9">
        <w:t>order to allow Verizon to better combat identity theft and other forms of handset-related fraud, this</w:t>
      </w:r>
      <w:r w:rsidR="009D4510">
        <w:t xml:space="preserve"> </w:t>
      </w:r>
      <w:r w:rsidR="0066228C">
        <w:t xml:space="preserve">waiver </w:t>
      </w:r>
      <w:r w:rsidR="006165D9">
        <w:t xml:space="preserve">will </w:t>
      </w:r>
      <w:r>
        <w:t xml:space="preserve">permit </w:t>
      </w:r>
      <w:r w:rsidR="00180283">
        <w:t xml:space="preserve">Verizon </w:t>
      </w:r>
      <w:r>
        <w:t xml:space="preserve">to </w:t>
      </w:r>
      <w:bookmarkStart w:id="1" w:name="_Hlk8643309"/>
      <w:r>
        <w:t xml:space="preserve">lock a customer’s handset for 60 days from the date </w:t>
      </w:r>
      <w:r w:rsidR="00180283">
        <w:t>it</w:t>
      </w:r>
      <w:r>
        <w:t xml:space="preserve"> becomes active on </w:t>
      </w:r>
      <w:r w:rsidR="00180283">
        <w:t>Verizon’s</w:t>
      </w:r>
      <w:r>
        <w:t xml:space="preserve"> network</w:t>
      </w:r>
      <w:bookmarkEnd w:id="1"/>
      <w:r w:rsidR="000C1E23">
        <w:t>.</w:t>
      </w:r>
      <w:r>
        <w:rPr>
          <w:rStyle w:val="FootnoteReference"/>
        </w:rPr>
        <w:footnoteReference w:id="4"/>
      </w:r>
      <w:r>
        <w:t xml:space="preserve">  </w:t>
      </w:r>
      <w:r w:rsidR="0066228C">
        <w:t>W</w:t>
      </w:r>
      <w:r w:rsidR="00466AF0">
        <w:t xml:space="preserve">e </w:t>
      </w:r>
      <w:r w:rsidR="00C50B87">
        <w:t>deny,</w:t>
      </w:r>
      <w:r w:rsidR="0066228C">
        <w:t xml:space="preserve"> however,</w:t>
      </w:r>
      <w:r w:rsidR="00466AF0">
        <w:t xml:space="preserve"> Verizon’s request </w:t>
      </w:r>
      <w:r w:rsidR="006165D9">
        <w:t xml:space="preserve">that we issue </w:t>
      </w:r>
      <w:r w:rsidR="00466AF0">
        <w:t xml:space="preserve">a Declaratory Ruling </w:t>
      </w:r>
      <w:r w:rsidR="006165D9">
        <w:t xml:space="preserve">finding </w:t>
      </w:r>
      <w:r w:rsidRPr="00466AF0" w:rsidR="00466AF0">
        <w:t xml:space="preserve">the handset unlocking rule </w:t>
      </w:r>
      <w:r w:rsidR="006165D9">
        <w:t xml:space="preserve">already </w:t>
      </w:r>
      <w:r w:rsidRPr="00466AF0" w:rsidR="00466AF0">
        <w:t xml:space="preserve">permits </w:t>
      </w:r>
      <w:r w:rsidR="00C50B87">
        <w:t>such temporary locking</w:t>
      </w:r>
      <w:r w:rsidR="00583BF0">
        <w:t>.</w:t>
      </w:r>
      <w:r>
        <w:rPr>
          <w:rStyle w:val="FootnoteReference"/>
        </w:rPr>
        <w:footnoteReference w:id="5"/>
      </w:r>
    </w:p>
    <w:p w:rsidR="009014E7" w:rsidP="00546100" w14:paraId="68B04371" w14:textId="77777777">
      <w:pPr>
        <w:pStyle w:val="Heading1"/>
      </w:pPr>
      <w:r>
        <w:t>Background</w:t>
      </w:r>
    </w:p>
    <w:p w:rsidR="00546100" w:rsidP="00546100" w14:paraId="4D184594" w14:textId="77777777">
      <w:pPr>
        <w:pStyle w:val="Heading2"/>
      </w:pPr>
      <w:r>
        <w:t>Handset</w:t>
      </w:r>
      <w:r w:rsidR="008C3FE2">
        <w:t xml:space="preserve"> Locking Restriction</w:t>
      </w:r>
    </w:p>
    <w:p w:rsidR="00546100" w:rsidRPr="008541D7" w:rsidP="00CC2985" w14:paraId="18C6F9E5" w14:textId="568C0FAA">
      <w:pPr>
        <w:pStyle w:val="ParaNum"/>
      </w:pPr>
      <w:r>
        <w:t xml:space="preserve">Section 27.16(e) of the Commission’s rules </w:t>
      </w:r>
      <w:r w:rsidR="00C50B87">
        <w:t>prohibits</w:t>
      </w:r>
      <w:r w:rsidR="00BA52A8">
        <w:t xml:space="preserve"> “handset </w:t>
      </w:r>
      <w:r w:rsidR="00410932">
        <w:t>l</w:t>
      </w:r>
      <w:r w:rsidR="00BA52A8">
        <w:t>ocking” by</w:t>
      </w:r>
      <w:r>
        <w:t xml:space="preserve"> C Block licensees</w:t>
      </w:r>
      <w:r w:rsidR="00BA52A8">
        <w:t>.</w:t>
      </w:r>
      <w:r>
        <w:rPr>
          <w:rStyle w:val="FootnoteReference"/>
        </w:rPr>
        <w:footnoteReference w:id="6"/>
      </w:r>
      <w:r>
        <w:t xml:space="preserve">  Under this rule, no C Block licensee may “disable features on handsets it provides to customers</w:t>
      </w:r>
      <w:r w:rsidR="007506F3">
        <w:t>,</w:t>
      </w:r>
      <w:r>
        <w:t xml:space="preserve"> to the extent such features are compliant with the licensee’s standards</w:t>
      </w:r>
      <w:r w:rsidR="00424D3B">
        <w:t xml:space="preserve"> </w:t>
      </w:r>
      <w:r w:rsidR="00630F7F">
        <w:t>...</w:t>
      </w:r>
      <w:r>
        <w:t xml:space="preserve"> nor configure handsets it provides to prohibit use of such handsets on other providers’ networks.”</w:t>
      </w:r>
      <w:r>
        <w:rPr>
          <w:rStyle w:val="FootnoteReference"/>
        </w:rPr>
        <w:footnoteReference w:id="7"/>
      </w:r>
      <w:r>
        <w:t xml:space="preserve"> </w:t>
      </w:r>
      <w:r w:rsidR="00217876">
        <w:t xml:space="preserve"> </w:t>
      </w:r>
      <w:r>
        <w:t>The Commission adopted this rule in the</w:t>
      </w:r>
      <w:r w:rsidR="00C50B87">
        <w:t xml:space="preserve"> 2007</w:t>
      </w:r>
      <w:r>
        <w:t xml:space="preserve"> </w:t>
      </w:r>
      <w:r w:rsidRPr="00547261">
        <w:rPr>
          <w:i/>
        </w:rPr>
        <w:t>700 MHz Second Report and Order</w:t>
      </w:r>
      <w:r>
        <w:t xml:space="preserve"> as part of </w:t>
      </w:r>
      <w:r w:rsidR="00AC6870">
        <w:t xml:space="preserve">a set of </w:t>
      </w:r>
      <w:r>
        <w:t>“open platform” requirements imposed upon C Block licensees.</w:t>
      </w:r>
      <w:r>
        <w:rPr>
          <w:rStyle w:val="FootnoteReference"/>
        </w:rPr>
        <w:footnoteReference w:id="8"/>
      </w:r>
    </w:p>
    <w:p w:rsidR="002A57BD" w:rsidP="006D2E30" w14:paraId="246D910C" w14:textId="219E6BE7">
      <w:pPr>
        <w:pStyle w:val="ParaNum"/>
        <w:widowControl/>
      </w:pPr>
      <w:r>
        <w:t>Specifically</w:t>
      </w:r>
      <w:r>
        <w:t>, the Commission determined that C Block licensees “will not be allowed to disable features or functionality in handsets where such action is not related to reasonable network management and protection, or compliance with applicable regulatory requirements.”</w:t>
      </w:r>
      <w:r>
        <w:rPr>
          <w:rStyle w:val="FootnoteReference"/>
        </w:rPr>
        <w:footnoteReference w:id="9"/>
      </w:r>
      <w:r>
        <w:t xml:space="preserve">  As an example of th</w:t>
      </w:r>
      <w:r w:rsidR="00F14238">
        <w:t xml:space="preserve">e type of action that C </w:t>
      </w:r>
      <w:r w:rsidR="00B66A12">
        <w:t>B</w:t>
      </w:r>
      <w:r w:rsidR="00F14238">
        <w:t>lock licensees were prohibited from taking</w:t>
      </w:r>
      <w:r>
        <w:t>, the Commission stated that C Block licensees “m</w:t>
      </w:r>
      <w:r w:rsidR="000B6A82">
        <w:t>a</w:t>
      </w:r>
      <w:r>
        <w:t>y not ‘lock’ handsets</w:t>
      </w:r>
      <w:r w:rsidR="000B6A82">
        <w:t>.”</w:t>
      </w:r>
      <w:r>
        <w:rPr>
          <w:rStyle w:val="FootnoteReference"/>
        </w:rPr>
        <w:footnoteReference w:id="10"/>
      </w:r>
      <w:r>
        <w:t xml:space="preserve">  </w:t>
      </w:r>
      <w:r w:rsidR="00B97C0C">
        <w:t>T</w:t>
      </w:r>
      <w:r w:rsidR="00F14238">
        <w:t xml:space="preserve">he Commission noted that “[h]andset or phone ‘locking,’ </w:t>
      </w:r>
      <w:r w:rsidR="00630F7F">
        <w:t>...</w:t>
      </w:r>
      <w:r w:rsidR="00F14238">
        <w:t xml:space="preserve"> is one practice that arguably prevents consumers from migrating otherwise technically compatible equipment from one wireless service provider to another.”</w:t>
      </w:r>
      <w:r>
        <w:rPr>
          <w:rStyle w:val="FootnoteReference"/>
        </w:rPr>
        <w:footnoteReference w:id="11"/>
      </w:r>
      <w:bookmarkStart w:id="3" w:name="_GoBack"/>
      <w:bookmarkEnd w:id="3"/>
    </w:p>
    <w:p w:rsidR="00546100" w:rsidP="00546100" w14:paraId="1A623E72" w14:textId="77777777">
      <w:pPr>
        <w:pStyle w:val="Heading2"/>
      </w:pPr>
      <w:r>
        <w:t>Verizon’s Petition</w:t>
      </w:r>
    </w:p>
    <w:p w:rsidR="0032493D" w:rsidP="00C55B04" w14:paraId="46026106" w14:textId="77777777">
      <w:pPr>
        <w:pStyle w:val="ParaNum"/>
      </w:pPr>
      <w:r>
        <w:t xml:space="preserve">On February 22, 2019, </w:t>
      </w:r>
      <w:bookmarkStart w:id="4" w:name="_Hlk9588865"/>
      <w:r w:rsidR="00546100">
        <w:t xml:space="preserve">Verizon </w:t>
      </w:r>
      <w:r>
        <w:t>filed a petition asking</w:t>
      </w:r>
      <w:r w:rsidR="00546100">
        <w:t xml:space="preserve"> the </w:t>
      </w:r>
      <w:r w:rsidRPr="00EF5B37" w:rsidR="00546100">
        <w:t xml:space="preserve">Commission </w:t>
      </w:r>
      <w:r>
        <w:t xml:space="preserve">to </w:t>
      </w:r>
      <w:r w:rsidRPr="00EF5B37" w:rsidR="00546100">
        <w:t xml:space="preserve">declare, pursuant to section 1.2 of </w:t>
      </w:r>
      <w:r w:rsidR="00521F95">
        <w:t>its</w:t>
      </w:r>
      <w:r w:rsidRPr="00EF5B37" w:rsidR="00546100">
        <w:t xml:space="preserve"> rules, that </w:t>
      </w:r>
      <w:r w:rsidR="00521F95">
        <w:t>section 27.16(e)</w:t>
      </w:r>
      <w:r w:rsidRPr="00EF5B37" w:rsidR="00546100">
        <w:t xml:space="preserve"> permits Verizon to </w:t>
      </w:r>
      <w:r w:rsidR="002E2C64">
        <w:t>implement</w:t>
      </w:r>
      <w:r w:rsidRPr="00EF5B37" w:rsidR="00546100">
        <w:t xml:space="preserve"> a temporary, 60-day lock on the</w:t>
      </w:r>
      <w:r w:rsidR="00BE2A65">
        <w:t xml:space="preserve"> </w:t>
      </w:r>
      <w:r w:rsidRPr="00EF5B37" w:rsidR="00546100">
        <w:t>handsets it provides</w:t>
      </w:r>
      <w:bookmarkEnd w:id="4"/>
      <w:r w:rsidR="006F27EE">
        <w:t>.</w:t>
      </w:r>
      <w:r>
        <w:rPr>
          <w:rStyle w:val="FootnoteReference"/>
        </w:rPr>
        <w:footnoteReference w:id="12"/>
      </w:r>
      <w:r w:rsidR="00521F95">
        <w:t xml:space="preserve"> </w:t>
      </w:r>
      <w:r w:rsidR="00563408">
        <w:t xml:space="preserve"> </w:t>
      </w:r>
      <w:r w:rsidRPr="00EF5B37">
        <w:t>In the alternative</w:t>
      </w:r>
      <w:r w:rsidRPr="00DA0033" w:rsidR="00DA0033">
        <w:t xml:space="preserve"> </w:t>
      </w:r>
      <w:r w:rsidR="00DA0033">
        <w:t>Verizon asks that</w:t>
      </w:r>
      <w:r w:rsidRPr="00EF5B37">
        <w:t xml:space="preserve">, </w:t>
      </w:r>
      <w:r>
        <w:t>if</w:t>
      </w:r>
      <w:r w:rsidRPr="00EF5B37">
        <w:t xml:space="preserve"> the Commission declines to issue a declaratory ruling or decides that </w:t>
      </w:r>
      <w:r>
        <w:t xml:space="preserve">Verizon’s </w:t>
      </w:r>
      <w:r w:rsidRPr="00EF5B37">
        <w:t xml:space="preserve">proposal is inconsistent with the handset locking rule, </w:t>
      </w:r>
      <w:r w:rsidR="00DA0033">
        <w:t xml:space="preserve">then </w:t>
      </w:r>
      <w:r w:rsidRPr="00EF5B37">
        <w:t xml:space="preserve">the Commission </w:t>
      </w:r>
      <w:r w:rsidR="00DA0033">
        <w:t xml:space="preserve">should </w:t>
      </w:r>
      <w:r w:rsidRPr="00EF5B37">
        <w:t xml:space="preserve">grant </w:t>
      </w:r>
      <w:r>
        <w:t>the company</w:t>
      </w:r>
      <w:r w:rsidRPr="00EF5B37">
        <w:t xml:space="preserve"> a partial waiver of the handset locking rule pursuant to section 1.3 of the Commission’s rules.</w:t>
      </w:r>
      <w:r>
        <w:rPr>
          <w:vertAlign w:val="superscript"/>
        </w:rPr>
        <w:footnoteReference w:id="13"/>
      </w:r>
      <w:r>
        <w:t xml:space="preserve">  </w:t>
      </w:r>
      <w:r w:rsidR="00521F95">
        <w:t xml:space="preserve">Verizon asserts </w:t>
      </w:r>
      <w:r w:rsidR="006F27EE">
        <w:t xml:space="preserve">that such temporary locking </w:t>
      </w:r>
      <w:r w:rsidR="00521F95">
        <w:t xml:space="preserve">would allow it to reduce </w:t>
      </w:r>
      <w:r w:rsidR="006F27EE">
        <w:t xml:space="preserve">identity theft and related forms of handset </w:t>
      </w:r>
      <w:r w:rsidR="00521F95">
        <w:t>fraud</w:t>
      </w:r>
      <w:r w:rsidRPr="00EF5B37" w:rsidR="00546100">
        <w:t>.</w:t>
      </w:r>
      <w:r>
        <w:rPr>
          <w:vertAlign w:val="superscript"/>
        </w:rPr>
        <w:footnoteReference w:id="14"/>
      </w:r>
    </w:p>
    <w:p w:rsidR="0032493D" w:rsidP="00C55B04" w14:paraId="6450F334" w14:textId="77777777">
      <w:pPr>
        <w:pStyle w:val="ParaNum"/>
      </w:pPr>
      <w:bookmarkStart w:id="5" w:name="_Hlk10118437"/>
      <w:r>
        <w:t>Verizon asserts that providing handsets that are unlocked upon purchase has the “unfortunate consequence ... that it facilitates theft of these devices and may encourage identity theft by bad actors interested in fraudulently obtaining devices.”</w:t>
      </w:r>
      <w:r>
        <w:rPr>
          <w:rStyle w:val="FootnoteReference"/>
        </w:rPr>
        <w:footnoteReference w:id="15"/>
      </w:r>
      <w:r>
        <w:t xml:space="preserve">  Verizon describes two types of fraud that it argues could be prevented or reduced by </w:t>
      </w:r>
      <w:r w:rsidR="00153233">
        <w:t xml:space="preserve">a temporary lock.  First, </w:t>
      </w:r>
      <w:r w:rsidR="00DA0033">
        <w:t xml:space="preserve">Verizon claims that </w:t>
      </w:r>
      <w:r w:rsidR="00153233">
        <w:t>unlocking upon purchase allows “subscriber fraud,” with thieves using a stolen identity or other fraudulent means to obtain a new handset on a new or existing account, and then selling the device on the black market without ever having paid for it.  That the phone is unlocked and can therefore be used on any network increases its value, thus facilitating or even encouraging such fraud.</w:t>
      </w:r>
      <w:r>
        <w:rPr>
          <w:rStyle w:val="FootnoteReference"/>
        </w:rPr>
        <w:footnoteReference w:id="16"/>
      </w:r>
      <w:r w:rsidR="00153233">
        <w:t xml:space="preserve">  Second, Verizon asserts that unlocking handsets upon sale also facilitates “first-party fraud,” whe</w:t>
      </w:r>
      <w:r w:rsidR="00DA0033">
        <w:t>re</w:t>
      </w:r>
      <w:r w:rsidR="00153233">
        <w:t xml:space="preserve"> an individual uses his or her actual identity to obtain a device, but without any intent to pay for it.</w:t>
      </w:r>
      <w:r>
        <w:rPr>
          <w:rStyle w:val="FootnoteReference"/>
        </w:rPr>
        <w:footnoteReference w:id="17"/>
      </w:r>
      <w:r w:rsidR="00153233">
        <w:t xml:space="preserve">  Verizon argues that a temporary, 60-day lock on handsets will discourage both types of fraud by providing the company with time to discover the theft.</w:t>
      </w:r>
    </w:p>
    <w:bookmarkEnd w:id="5"/>
    <w:p w:rsidR="004944A2" w:rsidP="00C55B04" w14:paraId="108EEB6F" w14:textId="77777777">
      <w:pPr>
        <w:pStyle w:val="ParaNum"/>
      </w:pPr>
      <w:r>
        <w:t xml:space="preserve">In arguing for a Declaratory Ruling, </w:t>
      </w:r>
      <w:r w:rsidR="00113E18">
        <w:t xml:space="preserve">Verizon </w:t>
      </w:r>
      <w:r>
        <w:t xml:space="preserve">asserts that the terms “customer” and “configure” </w:t>
      </w:r>
      <w:r w:rsidR="00A03382">
        <w:t xml:space="preserve">in 27.16(e) </w:t>
      </w:r>
      <w:r w:rsidR="00F80B0A">
        <w:t xml:space="preserve">are ambiguous </w:t>
      </w:r>
      <w:r w:rsidR="00A03382">
        <w:t>where</w:t>
      </w:r>
      <w:r w:rsidR="00F80B0A">
        <w:t xml:space="preserve"> the rule </w:t>
      </w:r>
      <w:r>
        <w:t xml:space="preserve">states that no C Block licensee “may disable features </w:t>
      </w:r>
      <w:r w:rsidR="00BD2667">
        <w:t xml:space="preserve">on handsets </w:t>
      </w:r>
      <w:r>
        <w:t xml:space="preserve">it provides to </w:t>
      </w:r>
      <w:r w:rsidRPr="00580657">
        <w:rPr>
          <w:i/>
        </w:rPr>
        <w:t>customers</w:t>
      </w:r>
      <w:r>
        <w:t>,”</w:t>
      </w:r>
      <w:r w:rsidR="00113E18">
        <w:t xml:space="preserve"> </w:t>
      </w:r>
      <w:r w:rsidR="00BD2667">
        <w:t>“</w:t>
      </w:r>
      <w:r>
        <w:t xml:space="preserve">nor </w:t>
      </w:r>
      <w:r w:rsidRPr="00580657">
        <w:rPr>
          <w:i/>
        </w:rPr>
        <w:t>configure</w:t>
      </w:r>
      <w:r>
        <w:t xml:space="preserve"> handset</w:t>
      </w:r>
      <w:r w:rsidR="00BD2667">
        <w:t>s</w:t>
      </w:r>
      <w:r>
        <w:t xml:space="preserve"> it provides to prohibit use of such handsets on other providers’ networks.”</w:t>
      </w:r>
      <w:r>
        <w:rPr>
          <w:rStyle w:val="FootnoteReference"/>
        </w:rPr>
        <w:footnoteReference w:id="18"/>
      </w:r>
      <w:r>
        <w:t xml:space="preserve">  Verizon argues that, because </w:t>
      </w:r>
      <w:r w:rsidR="00A03382">
        <w:t xml:space="preserve">it proposes to </w:t>
      </w:r>
      <w:r>
        <w:t xml:space="preserve">lock handsets </w:t>
      </w:r>
      <w:r w:rsidR="00DA0033">
        <w:t xml:space="preserve">for </w:t>
      </w:r>
      <w:r w:rsidR="00A03382">
        <w:t xml:space="preserve">only </w:t>
      </w:r>
      <w:r w:rsidR="00F80B0A">
        <w:t>a temporary period “</w:t>
      </w:r>
      <w:r>
        <w:t xml:space="preserve">until </w:t>
      </w:r>
      <w:r w:rsidR="00F80B0A">
        <w:t xml:space="preserve">such time as it can determine whether a handset belongs to a legitimate </w:t>
      </w:r>
      <w:r w:rsidR="00F80B0A">
        <w:t xml:space="preserve">customer </w:t>
      </w:r>
      <w:r w:rsidR="00D41708">
        <w:t>...</w:t>
      </w:r>
      <w:r w:rsidR="00F80B0A">
        <w:t xml:space="preserve"> it is unclear whether the handset locking rule even applies.”</w:t>
      </w:r>
      <w:r>
        <w:rPr>
          <w:rStyle w:val="FootnoteReference"/>
        </w:rPr>
        <w:footnoteReference w:id="19"/>
      </w:r>
      <w:r w:rsidR="00F80B0A">
        <w:t xml:space="preserve">  It further argues that</w:t>
      </w:r>
      <w:r w:rsidR="00E62316">
        <w:t xml:space="preserve"> temporary locking should be permitted because “</w:t>
      </w:r>
      <w:r w:rsidR="00F80B0A">
        <w:t>a temporary lock does not ‘configure handsets</w:t>
      </w:r>
      <w:r w:rsidR="00D41708">
        <w:t xml:space="preserve"> ...</w:t>
      </w:r>
      <w:r w:rsidR="00F80B0A">
        <w:t xml:space="preserve"> to prohibit use’ on other providers networks</w:t>
      </w:r>
      <w:r>
        <w:t>.”</w:t>
      </w:r>
      <w:r>
        <w:rPr>
          <w:rStyle w:val="FootnoteReference"/>
        </w:rPr>
        <w:footnoteReference w:id="20"/>
      </w:r>
    </w:p>
    <w:p w:rsidR="00546100" w:rsidP="00C55B04" w14:paraId="55EAB71F" w14:textId="77777777">
      <w:pPr>
        <w:pStyle w:val="ParaNum"/>
      </w:pPr>
      <w:r>
        <w:t>Six</w:t>
      </w:r>
      <w:r w:rsidR="001D1EFC">
        <w:t xml:space="preserve"> parties filed comments on the Petition</w:t>
      </w:r>
      <w:r w:rsidR="00841008">
        <w:t xml:space="preserve"> </w:t>
      </w:r>
      <w:r w:rsidR="00E9032E">
        <w:t xml:space="preserve">and the National Telecommunications and Information Administration (NTIA) filed a letter </w:t>
      </w:r>
      <w:r w:rsidR="00655916">
        <w:t xml:space="preserve">expressing </w:t>
      </w:r>
      <w:r w:rsidR="00E9032E">
        <w:t xml:space="preserve">its views on </w:t>
      </w:r>
      <w:r w:rsidR="00841008">
        <w:t>Verizon’s requests</w:t>
      </w:r>
      <w:r w:rsidR="001D1EFC">
        <w:t>.</w:t>
      </w:r>
      <w:r>
        <w:rPr>
          <w:rStyle w:val="FootnoteReference"/>
        </w:rPr>
        <w:footnoteReference w:id="21"/>
      </w:r>
      <w:r w:rsidR="00D41708">
        <w:t xml:space="preserve">  </w:t>
      </w:r>
      <w:r w:rsidRPr="00C227A8">
        <w:t>Appalachian Wireless, wh</w:t>
      </w:r>
      <w:r w:rsidR="00DA0033">
        <w:t>ich</w:t>
      </w:r>
      <w:r w:rsidRPr="00C227A8">
        <w:t xml:space="preserve"> leases C Block spectrum from Verizon, fully supports Verizon’s Petition.</w:t>
      </w:r>
      <w:r>
        <w:rPr>
          <w:vertAlign w:val="superscript"/>
        </w:rPr>
        <w:footnoteReference w:id="22"/>
      </w:r>
      <w:r w:rsidRPr="00C227A8">
        <w:t xml:space="preserve">  Public Knowledge states that Verizon has met its burden of showing that the grant of a waiver is in the public interest, but that a declaratory ruling in favor of Verizon’s proposal would violate the plain text of the rule and the Commission’s clear intent in adopting the rule.</w:t>
      </w:r>
      <w:r>
        <w:rPr>
          <w:vertAlign w:val="superscript"/>
        </w:rPr>
        <w:footnoteReference w:id="23"/>
      </w:r>
      <w:r w:rsidRPr="00C227A8">
        <w:t xml:space="preserve">  </w:t>
      </w:r>
      <w:r w:rsidR="007C277C">
        <w:t xml:space="preserve">Similarly, </w:t>
      </w:r>
      <w:r w:rsidR="00E9032E">
        <w:t>NTIA</w:t>
      </w:r>
      <w:r w:rsidR="00655916">
        <w:t xml:space="preserve"> opposes Verizon’s request for declaratory ruling </w:t>
      </w:r>
      <w:r w:rsidR="007C277C">
        <w:t>but</w:t>
      </w:r>
      <w:r w:rsidR="00655916">
        <w:t xml:space="preserve"> supports granting a partial waiver, </w:t>
      </w:r>
      <w:r w:rsidR="007C277C">
        <w:t>although it</w:t>
      </w:r>
      <w:r w:rsidR="00655916">
        <w:t xml:space="preserve"> urges the Commission to narrow the scope of the specific relief requested by Verizon.</w:t>
      </w:r>
      <w:r>
        <w:rPr>
          <w:rStyle w:val="FootnoteReference"/>
        </w:rPr>
        <w:footnoteReference w:id="24"/>
      </w:r>
      <w:r w:rsidR="00655916">
        <w:t xml:space="preserve">  </w:t>
      </w:r>
      <w:r w:rsidRPr="00C227A8">
        <w:t>Double Perfect, Pine Belt, RWA, and T-Mobile each oppose the grant of a waiver or the adoption of a declaratory ruling that would allow Verizon to implement its unlocking proposal.</w:t>
      </w:r>
      <w:r>
        <w:rPr>
          <w:vertAlign w:val="superscript"/>
        </w:rPr>
        <w:footnoteReference w:id="25"/>
      </w:r>
      <w:r w:rsidRPr="00C227A8">
        <w:t xml:space="preserve">  They argue that the unlocking rule is clear, well-reasoned, and unambiguous and, therefore, there is no need for the Commission to issue a clarification.  They also argue that Verizon has not shown that granting a waiver is in the public interest.</w:t>
      </w:r>
    </w:p>
    <w:p w:rsidR="00546100" w:rsidP="0080185B" w14:paraId="28800A23" w14:textId="77777777">
      <w:pPr>
        <w:pStyle w:val="Heading1"/>
      </w:pPr>
      <w:r>
        <w:t>DISCUSSION</w:t>
      </w:r>
    </w:p>
    <w:p w:rsidR="004075E8" w:rsidP="00C55B04" w14:paraId="5311AD71" w14:textId="77777777">
      <w:pPr>
        <w:pStyle w:val="ParaNum"/>
      </w:pPr>
      <w:r>
        <w:t xml:space="preserve">As a preliminary matter, we </w:t>
      </w:r>
      <w:r w:rsidR="00403326">
        <w:t>deny</w:t>
      </w:r>
      <w:r>
        <w:t xml:space="preserve"> Verizon’s request for a declaratory ruling, because we </w:t>
      </w:r>
      <w:r w:rsidR="00436988">
        <w:t>are not persuaded</w:t>
      </w:r>
      <w:r w:rsidR="00403326">
        <w:t xml:space="preserve"> </w:t>
      </w:r>
      <w:r w:rsidR="00436988">
        <w:t xml:space="preserve">that </w:t>
      </w:r>
      <w:r>
        <w:t xml:space="preserve">Verizon’s </w:t>
      </w:r>
      <w:r w:rsidR="00436988">
        <w:t xml:space="preserve">interpretation of </w:t>
      </w:r>
      <w:r w:rsidR="00403326">
        <w:t xml:space="preserve">section 27.16(e) </w:t>
      </w:r>
      <w:r w:rsidR="00436988">
        <w:t>is accurate</w:t>
      </w:r>
      <w:r>
        <w:t xml:space="preserve">.  </w:t>
      </w:r>
      <w:r w:rsidR="00DF54E2">
        <w:t>We do, however,</w:t>
      </w:r>
      <w:r w:rsidR="00DF54E2">
        <w:t xml:space="preserve"> </w:t>
      </w:r>
      <w:r w:rsidR="00DF54E2">
        <w:t xml:space="preserve">find that the limited waiver of the unlocking requirement that Verizon requests would serve the public interest and </w:t>
      </w:r>
      <w:r w:rsidR="00197F9D">
        <w:t xml:space="preserve">therefore </w:t>
      </w:r>
      <w:r>
        <w:t xml:space="preserve">grant Verizon’s </w:t>
      </w:r>
      <w:r w:rsidR="00436988">
        <w:t xml:space="preserve">request for a partial </w:t>
      </w:r>
      <w:r>
        <w:t>waiver.</w:t>
      </w:r>
    </w:p>
    <w:p w:rsidR="00686C01" w:rsidP="00C55B04" w14:paraId="6837A1E3" w14:textId="77777777">
      <w:pPr>
        <w:pStyle w:val="ParaNum"/>
      </w:pPr>
      <w:r>
        <w:t>S</w:t>
      </w:r>
      <w:r w:rsidRPr="00B83644" w:rsidR="00B83644">
        <w:t>ection 1.3</w:t>
      </w:r>
      <w:r>
        <w:t xml:space="preserve"> of the Commission’s rules provides that t</w:t>
      </w:r>
      <w:r w:rsidRPr="00DA7784">
        <w:t>he Commission may waive a rule “for good cause shown, in whole or in part, at any time.”</w:t>
      </w:r>
      <w:r>
        <w:rPr>
          <w:rStyle w:val="FootnoteReference"/>
        </w:rPr>
        <w:footnoteReference w:id="26"/>
      </w:r>
      <w:r>
        <w:t xml:space="preserve"> </w:t>
      </w:r>
      <w:r w:rsidRPr="00B83644" w:rsidR="00B83644">
        <w:t xml:space="preserve"> </w:t>
      </w:r>
      <w:r>
        <w:t xml:space="preserve">In order to meet the “good cause shown” standard, </w:t>
      </w:r>
      <w:r w:rsidRPr="00B83644" w:rsidR="00B83644">
        <w:t>a petitioner must demonstrate that particular facts make strict</w:t>
      </w:r>
      <w:r w:rsidR="00B83644">
        <w:t xml:space="preserve"> </w:t>
      </w:r>
      <w:r w:rsidRPr="00B83644" w:rsidR="00B83644">
        <w:t xml:space="preserve">compliance with a rule inconsistent with the public interest and </w:t>
      </w:r>
      <w:r w:rsidR="00361B89">
        <w:t xml:space="preserve">that </w:t>
      </w:r>
      <w:r w:rsidRPr="00B83644" w:rsidR="00B83644">
        <w:t>the requested relief would not undermine</w:t>
      </w:r>
      <w:r w:rsidR="00B83644">
        <w:t xml:space="preserve"> </w:t>
      </w:r>
      <w:r w:rsidRPr="00B83644" w:rsidR="00B83644">
        <w:t>the policy objectives of the rule.</w:t>
      </w:r>
      <w:r>
        <w:rPr>
          <w:rStyle w:val="FootnoteReference"/>
        </w:rPr>
        <w:footnoteReference w:id="27"/>
      </w:r>
      <w:r w:rsidR="00B83644">
        <w:t xml:space="preserve">  </w:t>
      </w:r>
      <w:r w:rsidR="00AC3334">
        <w:t xml:space="preserve">In this case, </w:t>
      </w:r>
      <w:r w:rsidR="00197F9D">
        <w:t xml:space="preserve">Verizon meets </w:t>
      </w:r>
      <w:r w:rsidR="00361B89">
        <w:t>both prongs of that test.</w:t>
      </w:r>
    </w:p>
    <w:p w:rsidR="00686C01" w:rsidP="00C55B04" w14:paraId="394A7980" w14:textId="77777777">
      <w:pPr>
        <w:pStyle w:val="ParaNum"/>
      </w:pPr>
      <w:r>
        <w:t xml:space="preserve">First, </w:t>
      </w:r>
      <w:r w:rsidR="00246187">
        <w:t xml:space="preserve">we agree with Verizon that strict compliance with </w:t>
      </w:r>
      <w:r w:rsidR="00AC3334">
        <w:t xml:space="preserve">the unlocking </w:t>
      </w:r>
      <w:r w:rsidR="00A66B07">
        <w:t>requirement</w:t>
      </w:r>
      <w:r w:rsidR="00246187">
        <w:t xml:space="preserve"> is inconsistent with the public interest because it </w:t>
      </w:r>
      <w:r w:rsidR="00C6232E">
        <w:t xml:space="preserve">facilitates and may even encourage fraud.  </w:t>
      </w:r>
      <w:r w:rsidR="001D1EFC">
        <w:t>T</w:t>
      </w:r>
      <w:r w:rsidR="005D5A69">
        <w:t>he harms</w:t>
      </w:r>
      <w:r w:rsidRPr="005D5A69" w:rsidR="002E6B58">
        <w:t xml:space="preserve"> </w:t>
      </w:r>
      <w:r w:rsidRPr="005D5A69" w:rsidR="002E6B58">
        <w:t xml:space="preserve">associated with </w:t>
      </w:r>
      <w:r w:rsidR="005D5A69">
        <w:t>identity theft</w:t>
      </w:r>
      <w:r w:rsidR="00E44AEA">
        <w:t xml:space="preserve"> and </w:t>
      </w:r>
      <w:r w:rsidR="00DE1D0A">
        <w:t xml:space="preserve">related forms of handset </w:t>
      </w:r>
      <w:r w:rsidR="00E44AEA">
        <w:t xml:space="preserve">fraud are significant.  </w:t>
      </w:r>
      <w:r w:rsidRPr="005D5A69" w:rsidR="002E6B58">
        <w:t>As Public Knowledge observes</w:t>
      </w:r>
      <w:r w:rsidR="0029567C">
        <w:t xml:space="preserve"> in support of the partial waiver</w:t>
      </w:r>
      <w:r w:rsidRPr="005D5A69" w:rsidR="002E6B58">
        <w:t>, device theft and identity fraud are conspicuous problems, and “ultimately consumers pay for these losses with increased prices.”</w:t>
      </w:r>
      <w:r>
        <w:rPr>
          <w:rStyle w:val="FootnoteReference"/>
        </w:rPr>
        <w:footnoteReference w:id="28"/>
      </w:r>
      <w:r w:rsidRPr="005D5A69" w:rsidR="002E6B58">
        <w:t xml:space="preserve">  </w:t>
      </w:r>
      <w:r w:rsidR="002E6B58">
        <w:t xml:space="preserve">Verizon </w:t>
      </w:r>
      <w:r w:rsidR="00197F9D">
        <w:t xml:space="preserve">claims </w:t>
      </w:r>
      <w:r w:rsidR="002E6B58">
        <w:t>that the number of consumers adversely affected by identity theft has increased from an average of 4800 customers per month in 2017 to approximately 7000 per month in 2018, an increase of 46</w:t>
      </w:r>
      <w:r w:rsidR="00683EB6">
        <w:t>%</w:t>
      </w:r>
      <w:r w:rsidR="002E6B58">
        <w:t>.</w:t>
      </w:r>
      <w:r>
        <w:rPr>
          <w:rStyle w:val="FootnoteReference"/>
        </w:rPr>
        <w:footnoteReference w:id="29"/>
      </w:r>
      <w:r w:rsidR="002E6B58">
        <w:t xml:space="preserve">  Verizon indicates that handset fraud cost the company approximately $190 million in 2018, up from approximately $115 million in 2017, and that it lost almost 210,000 devices in 2018, up from approximately 155,000 devices in 2017.</w:t>
      </w:r>
      <w:r>
        <w:rPr>
          <w:rStyle w:val="FootnoteReference"/>
        </w:rPr>
        <w:footnoteReference w:id="30"/>
      </w:r>
      <w:r w:rsidR="002E6B58">
        <w:t xml:space="preserve">  Verizon </w:t>
      </w:r>
      <w:r w:rsidR="00F02C05">
        <w:t xml:space="preserve">maintains </w:t>
      </w:r>
      <w:r w:rsidR="002E6B58">
        <w:t>that these trends continue, as handset fraud cost it $34 million in January 2019, a 93</w:t>
      </w:r>
      <w:r w:rsidR="00683EB6">
        <w:t>%</w:t>
      </w:r>
      <w:r w:rsidR="002E6B58">
        <w:t xml:space="preserve"> increase over January 2018.</w:t>
      </w:r>
      <w:r>
        <w:rPr>
          <w:rStyle w:val="FootnoteReference"/>
        </w:rPr>
        <w:footnoteReference w:id="31"/>
      </w:r>
      <w:r w:rsidR="002E6B58">
        <w:t xml:space="preserve">  Appalachian Wireless also indicates that it has experienced a substantial increase in device theft fraud and that this fraud has had a significant financial impact on the company.</w:t>
      </w:r>
      <w:r>
        <w:rPr>
          <w:rStyle w:val="FootnoteReference"/>
        </w:rPr>
        <w:footnoteReference w:id="32"/>
      </w:r>
    </w:p>
    <w:p w:rsidR="004100DA" w:rsidP="00692A05" w14:paraId="7923FCE3" w14:textId="77777777">
      <w:pPr>
        <w:pStyle w:val="ParaNum"/>
      </w:pPr>
      <w:r>
        <w:t>Moreover, t</w:t>
      </w:r>
      <w:r w:rsidR="00C836D9">
        <w:t>h</w:t>
      </w:r>
      <w:r w:rsidR="004E3FBE">
        <w:t>is</w:t>
      </w:r>
      <w:r w:rsidR="00C836D9">
        <w:t xml:space="preserve"> </w:t>
      </w:r>
      <w:r w:rsidR="004E3FBE">
        <w:t>limited waiver will</w:t>
      </w:r>
      <w:r w:rsidR="00C836D9">
        <w:t xml:space="preserve"> not undermine the underlying policy objectives of </w:t>
      </w:r>
      <w:r w:rsidR="004504D8">
        <w:t xml:space="preserve">the handset unlocking rule </w:t>
      </w:r>
      <w:r w:rsidR="001D1EFC">
        <w:t>and will, in fact, better serve the public interest.  The locking rule</w:t>
      </w:r>
      <w:r w:rsidR="004504D8">
        <w:t xml:space="preserve"> was adopted to </w:t>
      </w:r>
      <w:r w:rsidR="00E75FD6">
        <w:t xml:space="preserve">enable consumers to migrate from </w:t>
      </w:r>
      <w:r w:rsidR="007977E2">
        <w:t xml:space="preserve">one </w:t>
      </w:r>
      <w:r w:rsidR="00E75FD6">
        <w:t>service provider to another on compatible networks</w:t>
      </w:r>
      <w:r w:rsidR="0014445A">
        <w:t>.</w:t>
      </w:r>
      <w:r>
        <w:rPr>
          <w:rStyle w:val="FootnoteReference"/>
        </w:rPr>
        <w:footnoteReference w:id="33"/>
      </w:r>
      <w:r w:rsidR="00CD15C5">
        <w:t xml:space="preserve"> </w:t>
      </w:r>
      <w:r w:rsidR="004D1A46">
        <w:t xml:space="preserve"> </w:t>
      </w:r>
      <w:r w:rsidR="00CD15C5">
        <w:t>Allowing handsets to be locked for 60</w:t>
      </w:r>
      <w:r w:rsidR="001D1EFC">
        <w:t xml:space="preserve"> </w:t>
      </w:r>
      <w:r w:rsidR="00CD15C5">
        <w:t>day</w:t>
      </w:r>
      <w:r w:rsidR="001D1EFC">
        <w:t>s</w:t>
      </w:r>
      <w:r w:rsidR="00CD15C5">
        <w:t xml:space="preserve"> will not </w:t>
      </w:r>
      <w:r w:rsidR="005E0D3A">
        <w:t xml:space="preserve">interfere </w:t>
      </w:r>
      <w:r w:rsidR="00F02C05">
        <w:t xml:space="preserve">significantly </w:t>
      </w:r>
      <w:r w:rsidR="005E0D3A">
        <w:t xml:space="preserve">with </w:t>
      </w:r>
      <w:r w:rsidR="00CD15C5">
        <w:t>this policy objective</w:t>
      </w:r>
      <w:r w:rsidR="00DF4F03">
        <w:t>.</w:t>
      </w:r>
      <w:r w:rsidR="00AC71BE">
        <w:t xml:space="preserve"> </w:t>
      </w:r>
      <w:r w:rsidR="00DF4F03">
        <w:t xml:space="preserve"> </w:t>
      </w:r>
      <w:r w:rsidR="00CD15C5">
        <w:t xml:space="preserve">Verizon indicates that only </w:t>
      </w:r>
      <w:r w:rsidR="001D1EFC">
        <w:t>“</w:t>
      </w:r>
      <w:r w:rsidR="00CD15C5">
        <w:t>a tiny fraction</w:t>
      </w:r>
      <w:r w:rsidR="001D1EFC">
        <w:t>”</w:t>
      </w:r>
      <w:r w:rsidR="00CD15C5">
        <w:t xml:space="preserve"> of its customers port their numbers or change carriers within the first 60 days of service and </w:t>
      </w:r>
      <w:r w:rsidR="00F21BD0">
        <w:t xml:space="preserve">that </w:t>
      </w:r>
      <w:r w:rsidR="00CD15C5">
        <w:t>those</w:t>
      </w:r>
      <w:r>
        <w:t xml:space="preserve"> who</w:t>
      </w:r>
      <w:r w:rsidR="00CD15C5">
        <w:t xml:space="preserve"> do</w:t>
      </w:r>
      <w:r w:rsidR="004E3FBE">
        <w:t xml:space="preserve"> change carriers</w:t>
      </w:r>
      <w:r w:rsidR="00CD15C5">
        <w:t xml:space="preserve"> usually return their handsets to Verizon within the 14-day return period.</w:t>
      </w:r>
      <w:r>
        <w:rPr>
          <w:rStyle w:val="FootnoteReference"/>
        </w:rPr>
        <w:footnoteReference w:id="34"/>
      </w:r>
      <w:r w:rsidR="00CD15C5">
        <w:t xml:space="preserve">  </w:t>
      </w:r>
      <w:r w:rsidR="00723028">
        <w:t>Accordingly</w:t>
      </w:r>
      <w:r w:rsidR="00CD15C5">
        <w:t xml:space="preserve">, </w:t>
      </w:r>
      <w:r w:rsidR="00723028">
        <w:t xml:space="preserve">we agree </w:t>
      </w:r>
      <w:r w:rsidR="00A31042">
        <w:t xml:space="preserve">with Verizon </w:t>
      </w:r>
      <w:r w:rsidR="00723028">
        <w:t xml:space="preserve">that </w:t>
      </w:r>
      <w:r w:rsidR="00CD15C5">
        <w:t>a temporary 60-day lock w</w:t>
      </w:r>
      <w:r w:rsidR="002A53D4">
        <w:t xml:space="preserve">ill </w:t>
      </w:r>
      <w:r w:rsidR="00F21BD0">
        <w:t xml:space="preserve">not have an </w:t>
      </w:r>
      <w:r w:rsidR="002A53D4">
        <w:t xml:space="preserve">impact </w:t>
      </w:r>
      <w:r w:rsidR="00F21BD0">
        <w:t xml:space="preserve">on </w:t>
      </w:r>
      <w:r w:rsidR="00E75FD6">
        <w:t>a</w:t>
      </w:r>
      <w:r w:rsidR="006709E6">
        <w:t xml:space="preserve">n appreciable </w:t>
      </w:r>
      <w:r w:rsidR="00E75FD6">
        <w:t xml:space="preserve">number of </w:t>
      </w:r>
      <w:r w:rsidR="00163269">
        <w:t xml:space="preserve">Verizon’s </w:t>
      </w:r>
      <w:r w:rsidR="002A53D4">
        <w:t>customers</w:t>
      </w:r>
      <w:r w:rsidR="00F21BD0">
        <w:t>,</w:t>
      </w:r>
      <w:r w:rsidR="002A53D4">
        <w:t xml:space="preserve"> </w:t>
      </w:r>
      <w:r w:rsidR="00F21BD0">
        <w:t>n</w:t>
      </w:r>
      <w:r w:rsidR="002A53D4">
        <w:t xml:space="preserve">or </w:t>
      </w:r>
      <w:r w:rsidR="00F21BD0">
        <w:t xml:space="preserve">will it </w:t>
      </w:r>
      <w:r w:rsidR="0001787E">
        <w:t xml:space="preserve">have </w:t>
      </w:r>
      <w:r w:rsidR="006709E6">
        <w:t>a material</w:t>
      </w:r>
      <w:r w:rsidR="0001787E">
        <w:t xml:space="preserve"> impact on their ability to </w:t>
      </w:r>
      <w:r w:rsidR="00CD15C5">
        <w:t>switch carriers.</w:t>
      </w:r>
      <w:r>
        <w:rPr>
          <w:rStyle w:val="FootnoteReference"/>
        </w:rPr>
        <w:footnoteReference w:id="35"/>
      </w:r>
      <w:r w:rsidR="002A53D4">
        <w:t xml:space="preserve">  </w:t>
      </w:r>
      <w:r w:rsidR="003C7CA2">
        <w:t>A</w:t>
      </w:r>
      <w:r w:rsidR="002A53D4">
        <w:t xml:space="preserve">fter the expiration of the </w:t>
      </w:r>
      <w:r w:rsidR="004B01F3">
        <w:t>60-day</w:t>
      </w:r>
      <w:r w:rsidR="0001787E">
        <w:t xml:space="preserve"> </w:t>
      </w:r>
      <w:r w:rsidR="004B01F3">
        <w:t>period</w:t>
      </w:r>
      <w:r w:rsidR="00086555">
        <w:t>,</w:t>
      </w:r>
      <w:r w:rsidR="002A53D4">
        <w:t xml:space="preserve"> </w:t>
      </w:r>
      <w:r w:rsidR="00163269">
        <w:t xml:space="preserve">Verizon </w:t>
      </w:r>
      <w:r w:rsidR="00EE5324">
        <w:t xml:space="preserve">must </w:t>
      </w:r>
      <w:r w:rsidR="004B01F3">
        <w:t xml:space="preserve">automatically unlock </w:t>
      </w:r>
      <w:r w:rsidR="004D1A46">
        <w:t xml:space="preserve">the </w:t>
      </w:r>
      <w:r w:rsidR="004B01F3">
        <w:t>handsets</w:t>
      </w:r>
      <w:r w:rsidR="004D1A46">
        <w:t xml:space="preserve"> </w:t>
      </w:r>
      <w:r w:rsidR="008621F7">
        <w:t xml:space="preserve">at issue here </w:t>
      </w:r>
      <w:r w:rsidR="004B01F3">
        <w:t>regardless of whether</w:t>
      </w:r>
      <w:r w:rsidR="00F02C05">
        <w:t>:</w:t>
      </w:r>
      <w:r w:rsidR="004B01F3">
        <w:t xml:space="preserve"> </w:t>
      </w:r>
      <w:r w:rsidR="004E3FBE">
        <w:t xml:space="preserve">(1) </w:t>
      </w:r>
      <w:r w:rsidR="004B01F3">
        <w:t xml:space="preserve">the </w:t>
      </w:r>
      <w:r w:rsidR="00602D4E">
        <w:t>customer asks for the handset to be unlock</w:t>
      </w:r>
      <w:r w:rsidR="002D33F2">
        <w:t>ed</w:t>
      </w:r>
      <w:r w:rsidR="00F02C05">
        <w:t>,</w:t>
      </w:r>
      <w:r w:rsidR="00602D4E">
        <w:t xml:space="preserve"> </w:t>
      </w:r>
      <w:r w:rsidR="004E3FBE">
        <w:t>or (2)</w:t>
      </w:r>
      <w:r w:rsidR="00602D4E">
        <w:t xml:space="preserve"> the </w:t>
      </w:r>
      <w:r w:rsidR="004B01F3">
        <w:t>handset i</w:t>
      </w:r>
      <w:r w:rsidR="002E4EB5">
        <w:t>s</w:t>
      </w:r>
      <w:r w:rsidR="004B01F3">
        <w:t xml:space="preserve"> </w:t>
      </w:r>
      <w:r w:rsidR="002E4EB5">
        <w:t>fully paid off</w:t>
      </w:r>
      <w:r w:rsidR="001B1B26">
        <w:t>.</w:t>
      </w:r>
      <w:r w:rsidR="002E4EB5">
        <w:t xml:space="preserve">  </w:t>
      </w:r>
      <w:r>
        <w:t>Thus, a</w:t>
      </w:r>
      <w:r w:rsidR="00CF1E64">
        <w:t xml:space="preserve">t </w:t>
      </w:r>
      <w:r w:rsidR="00A31042">
        <w:t>the end of the initial 60 days</w:t>
      </w:r>
      <w:r w:rsidR="00CF1E64">
        <w:t xml:space="preserve">, </w:t>
      </w:r>
      <w:r w:rsidR="0001787E">
        <w:t>t</w:t>
      </w:r>
      <w:r w:rsidR="00086555">
        <w:t xml:space="preserve">he unlocking rule will operate </w:t>
      </w:r>
      <w:r w:rsidR="0001787E">
        <w:t xml:space="preserve">just </w:t>
      </w:r>
      <w:r w:rsidR="00086555">
        <w:t xml:space="preserve">as it does </w:t>
      </w:r>
      <w:r w:rsidR="006E3A72">
        <w:t>now,</w:t>
      </w:r>
      <w:r w:rsidR="00D221BF">
        <w:t xml:space="preserve"> and </w:t>
      </w:r>
      <w:r w:rsidR="00163269">
        <w:t xml:space="preserve">Verizon’s </w:t>
      </w:r>
      <w:r w:rsidR="00D221BF">
        <w:t xml:space="preserve">customers will be </w:t>
      </w:r>
      <w:r w:rsidR="00CF1E64">
        <w:t xml:space="preserve">able to </w:t>
      </w:r>
      <w:r w:rsidR="00445EFD">
        <w:t>use</w:t>
      </w:r>
      <w:r w:rsidR="00D221BF">
        <w:t xml:space="preserve"> their </w:t>
      </w:r>
      <w:r w:rsidR="00CF1E64">
        <w:t xml:space="preserve">unlocked </w:t>
      </w:r>
      <w:r w:rsidR="00D221BF">
        <w:t>handsets o</w:t>
      </w:r>
      <w:r w:rsidR="00445EFD">
        <w:t>n</w:t>
      </w:r>
      <w:r w:rsidR="00D221BF">
        <w:t xml:space="preserve"> other technologically compatible networks.</w:t>
      </w:r>
      <w:r w:rsidR="00086555">
        <w:t xml:space="preserve">  The only exception </w:t>
      </w:r>
      <w:r w:rsidR="00F02C05">
        <w:t xml:space="preserve">to the rule </w:t>
      </w:r>
      <w:r w:rsidR="0001787E">
        <w:t xml:space="preserve">will be that </w:t>
      </w:r>
      <w:r w:rsidR="00163269">
        <w:t xml:space="preserve">Verizon will </w:t>
      </w:r>
      <w:r w:rsidR="00086555">
        <w:t xml:space="preserve">not </w:t>
      </w:r>
      <w:r w:rsidR="003A2DDB">
        <w:t xml:space="preserve">have </w:t>
      </w:r>
      <w:r w:rsidR="00892D97">
        <w:t xml:space="preserve">to </w:t>
      </w:r>
      <w:r w:rsidR="00086555">
        <w:t xml:space="preserve">automatically unlock handsets that </w:t>
      </w:r>
      <w:r w:rsidR="0088069B">
        <w:t xml:space="preserve">it </w:t>
      </w:r>
      <w:r w:rsidR="00086555">
        <w:t>determin</w:t>
      </w:r>
      <w:r w:rsidR="0088069B">
        <w:t>es</w:t>
      </w:r>
      <w:r w:rsidR="00086555">
        <w:t xml:space="preserve"> </w:t>
      </w:r>
      <w:r w:rsidR="008621F7">
        <w:t>within th</w:t>
      </w:r>
      <w:r w:rsidR="003A2DDB">
        <w:t>e</w:t>
      </w:r>
      <w:r w:rsidR="008621F7">
        <w:t xml:space="preserve"> 60-day period </w:t>
      </w:r>
      <w:r w:rsidR="00086555">
        <w:t xml:space="preserve">to </w:t>
      </w:r>
      <w:r>
        <w:t xml:space="preserve">have </w:t>
      </w:r>
      <w:r w:rsidR="00086555">
        <w:t>be</w:t>
      </w:r>
      <w:r>
        <w:t>en</w:t>
      </w:r>
      <w:r w:rsidR="00086555">
        <w:t xml:space="preserve"> </w:t>
      </w:r>
      <w:r w:rsidR="002E4EB5">
        <w:t>purchase</w:t>
      </w:r>
      <w:r w:rsidR="004D1A46">
        <w:t>d</w:t>
      </w:r>
      <w:r w:rsidR="002E4EB5">
        <w:t xml:space="preserve"> </w:t>
      </w:r>
      <w:r w:rsidR="00086555">
        <w:t xml:space="preserve">through </w:t>
      </w:r>
      <w:r w:rsidR="004B01F3">
        <w:t>fraud</w:t>
      </w:r>
      <w:r w:rsidR="002E4EB5">
        <w:t>.</w:t>
      </w:r>
      <w:r w:rsidRPr="0001787E" w:rsidR="0001787E">
        <w:t xml:space="preserve"> </w:t>
      </w:r>
      <w:r w:rsidR="003A2DDB">
        <w:t xml:space="preserve"> As a result, granting the 60-day waiver request </w:t>
      </w:r>
      <w:r w:rsidR="0001787E">
        <w:t>is consistent with the policy underlying the unlocking rule</w:t>
      </w:r>
      <w:r w:rsidR="00F02C05">
        <w:t>,</w:t>
      </w:r>
      <w:r w:rsidR="003A2DDB">
        <w:t xml:space="preserve"> and the rule will continue to promote competition in the handset market place</w:t>
      </w:r>
      <w:r w:rsidR="0001787E">
        <w:t>.</w:t>
      </w:r>
      <w:r w:rsidR="006B6005">
        <w:t xml:space="preserve">  Indeed, grant of the requested waiver will actually promote</w:t>
      </w:r>
      <w:r w:rsidRPr="000A0A51">
        <w:t xml:space="preserve"> the public interest by helping Verizon protect against device theft and fraud. </w:t>
      </w:r>
      <w:r w:rsidR="006B6005">
        <w:t xml:space="preserve"> T</w:t>
      </w:r>
      <w:r w:rsidRPr="000A0A51">
        <w:t xml:space="preserve">his relief </w:t>
      </w:r>
      <w:r w:rsidR="006B6005">
        <w:t>will reduce</w:t>
      </w:r>
      <w:r w:rsidRPr="000A0A51">
        <w:t xml:space="preserve"> the black-market value of devices acquired through fraud and thereby reduc</w:t>
      </w:r>
      <w:r w:rsidR="006B6005">
        <w:t>e</w:t>
      </w:r>
      <w:r w:rsidRPr="000A0A51">
        <w:t xml:space="preserve"> the incentive to commit fraud to acquire the devices in the first place.</w:t>
      </w:r>
    </w:p>
    <w:p w:rsidR="004100DA" w:rsidP="00C55B04" w14:paraId="74A9850D" w14:textId="77777777">
      <w:pPr>
        <w:pStyle w:val="ParaNum"/>
      </w:pPr>
      <w:r w:rsidRPr="00686C01">
        <w:t>We find unpersuasive the arguments of Double Perfect and RWA that grant of the waiver would not eliminate concerns about identity theft or other fraud</w:t>
      </w:r>
      <w:r w:rsidR="00686C01">
        <w:t xml:space="preserve">.  </w:t>
      </w:r>
      <w:r w:rsidRPr="00686C01" w:rsidR="00686C01">
        <w:t>RWA argues that Verizon fails to explain the degree to which a waiver would “improve fraud policing efforts and permanently remove fraudsters from the equation.”</w:t>
      </w:r>
      <w:r>
        <w:rPr>
          <w:rStyle w:val="FootnoteReference"/>
        </w:rPr>
        <w:footnoteReference w:id="36"/>
      </w:r>
      <w:r w:rsidRPr="00686C01" w:rsidR="00686C01">
        <w:t xml:space="preserve">  In addition, Double Perfect and RWA both state that grant of the waiver would not remove concerns for identify theft and other fraud in connection with Verizon’s services, given </w:t>
      </w:r>
      <w:r w:rsidRPr="00686C01" w:rsidR="00686C01">
        <w:t>that such practices would remain available through data brokers and recurring data breaches that have affected other companies.</w:t>
      </w:r>
      <w:r>
        <w:rPr>
          <w:rStyle w:val="FootnoteReference"/>
        </w:rPr>
        <w:footnoteReference w:id="37"/>
      </w:r>
      <w:r w:rsidRPr="00686C01" w:rsidR="00686C01">
        <w:t xml:space="preserve">  As explained above, however, we reject these arguments because we find that a limited waiver of the handset unlocking rule will provide Verizon with the tools to reduce identity theft and fraud without imposing an undue burden on Verizon’s customers.</w:t>
      </w:r>
    </w:p>
    <w:p w:rsidR="007977E2" w:rsidP="00C55B04" w14:paraId="266235D7" w14:textId="77777777">
      <w:pPr>
        <w:pStyle w:val="ParaNum"/>
      </w:pPr>
      <w:r>
        <w:t>W</w:t>
      </w:r>
      <w:r>
        <w:t xml:space="preserve">e </w:t>
      </w:r>
      <w:r w:rsidR="00FA46D9">
        <w:t xml:space="preserve">likewise </w:t>
      </w:r>
      <w:r>
        <w:t xml:space="preserve">reject T-Mobile’s argument that </w:t>
      </w:r>
      <w:r w:rsidR="00FA46D9">
        <w:t xml:space="preserve">granting Verizon </w:t>
      </w:r>
      <w:r>
        <w:t>relief requires a rulemaking proceeding because it will “eviscerate” the unlocking rule</w:t>
      </w:r>
      <w:r w:rsidR="0018438D">
        <w:t xml:space="preserve"> and because Verizon is the only major carrier subject to the rule</w:t>
      </w:r>
      <w:r>
        <w:t>.</w:t>
      </w:r>
      <w:r>
        <w:rPr>
          <w:rStyle w:val="FootnoteReference"/>
        </w:rPr>
        <w:footnoteReference w:id="38"/>
      </w:r>
      <w:r>
        <w:t xml:space="preserve">  </w:t>
      </w:r>
      <w:r>
        <w:t xml:space="preserve">The unlocking rule remains fully in place except for the </w:t>
      </w:r>
      <w:r w:rsidR="0018438D">
        <w:t>narrowly time-limited locking permitted here for the important reasons laid out above.</w:t>
      </w:r>
    </w:p>
    <w:p w:rsidR="00BB700E" w:rsidP="00C55B04" w14:paraId="20B84529" w14:textId="77777777">
      <w:pPr>
        <w:pStyle w:val="ParaNum"/>
      </w:pPr>
      <w:r>
        <w:t xml:space="preserve">We also find unconvincing </w:t>
      </w:r>
      <w:r w:rsidR="00A40B26">
        <w:t>Pine Belt</w:t>
      </w:r>
      <w:r>
        <w:t>’s</w:t>
      </w:r>
      <w:r w:rsidR="00A40B26">
        <w:t xml:space="preserve"> and </w:t>
      </w:r>
      <w:r w:rsidR="002E5381">
        <w:t>RWA</w:t>
      </w:r>
      <w:r>
        <w:t>’s</w:t>
      </w:r>
      <w:r w:rsidR="002E5381">
        <w:t xml:space="preserve"> </w:t>
      </w:r>
      <w:r>
        <w:t>argument</w:t>
      </w:r>
      <w:r w:rsidR="002E5381">
        <w:t xml:space="preserve"> that granting Verizon’s waiver request </w:t>
      </w:r>
      <w:r w:rsidR="00C90450">
        <w:t xml:space="preserve">will hurt </w:t>
      </w:r>
      <w:r w:rsidR="004634FE">
        <w:t xml:space="preserve">rural wireless consumers and </w:t>
      </w:r>
      <w:r w:rsidR="002E5381">
        <w:t>rural carriers</w:t>
      </w:r>
      <w:r w:rsidR="004634FE">
        <w:t xml:space="preserve"> as they try to compete with large carriers.</w:t>
      </w:r>
      <w:r>
        <w:rPr>
          <w:rStyle w:val="FootnoteReference"/>
        </w:rPr>
        <w:footnoteReference w:id="39"/>
      </w:r>
      <w:r w:rsidR="007278BA">
        <w:t xml:space="preserve">  These commenters </w:t>
      </w:r>
      <w:r>
        <w:t xml:space="preserve">maintain </w:t>
      </w:r>
      <w:r w:rsidR="007278BA">
        <w:t xml:space="preserve">that rural </w:t>
      </w:r>
      <w:r w:rsidR="002E5381">
        <w:t xml:space="preserve">consumers </w:t>
      </w:r>
      <w:r w:rsidR="006A3B93">
        <w:t xml:space="preserve">buy </w:t>
      </w:r>
      <w:r w:rsidR="0042739F">
        <w:t xml:space="preserve">the latest </w:t>
      </w:r>
      <w:r w:rsidR="006A3B93">
        <w:t xml:space="preserve">handsets from </w:t>
      </w:r>
      <w:r w:rsidR="006012A4">
        <w:t xml:space="preserve">Verizon </w:t>
      </w:r>
      <w:r w:rsidR="006A3B93">
        <w:t xml:space="preserve">and </w:t>
      </w:r>
      <w:r w:rsidR="0081087C">
        <w:t xml:space="preserve">then </w:t>
      </w:r>
      <w:r w:rsidR="006A3B93">
        <w:t>use the</w:t>
      </w:r>
      <w:r w:rsidR="007278BA">
        <w:t>se</w:t>
      </w:r>
      <w:r w:rsidR="006A3B93">
        <w:t xml:space="preserve"> </w:t>
      </w:r>
      <w:r w:rsidR="002E5381">
        <w:t>handsets</w:t>
      </w:r>
      <w:r w:rsidR="006A3B93">
        <w:t xml:space="preserve"> on rural wireless networks that may have better service then </w:t>
      </w:r>
      <w:r w:rsidR="006012A4">
        <w:t>Verizon</w:t>
      </w:r>
      <w:r w:rsidR="0081087C">
        <w:t>’s network</w:t>
      </w:r>
      <w:r w:rsidR="006012A4">
        <w:t xml:space="preserve"> </w:t>
      </w:r>
      <w:r w:rsidR="006A3B93">
        <w:t>in the</w:t>
      </w:r>
      <w:r w:rsidR="006012A4">
        <w:t>se</w:t>
      </w:r>
      <w:r w:rsidR="006A3B93">
        <w:t xml:space="preserve"> area</w:t>
      </w:r>
      <w:r w:rsidR="00EC0C65">
        <w:t>s</w:t>
      </w:r>
      <w:r w:rsidR="006A3B93">
        <w:t>.</w:t>
      </w:r>
      <w:r w:rsidR="0042739F">
        <w:t xml:space="preserve">  </w:t>
      </w:r>
      <w:r w:rsidR="0081087C">
        <w:t xml:space="preserve">We agree with </w:t>
      </w:r>
      <w:r w:rsidR="00FC60DF">
        <w:t>Verizon</w:t>
      </w:r>
      <w:r w:rsidR="0081087C">
        <w:t xml:space="preserve">’s response that </w:t>
      </w:r>
      <w:r w:rsidR="00866642">
        <w:t xml:space="preserve">cases in which </w:t>
      </w:r>
      <w:r w:rsidR="0042739F">
        <w:t>Verizon</w:t>
      </w:r>
      <w:r w:rsidR="002B3607">
        <w:t>’s</w:t>
      </w:r>
      <w:r w:rsidR="0042739F">
        <w:t xml:space="preserve"> customers port their numbers or change carriers within the first 60 days of service</w:t>
      </w:r>
      <w:r w:rsidR="00866642">
        <w:t xml:space="preserve"> are “exceedingly rare</w:t>
      </w:r>
      <w:r w:rsidR="0042739F">
        <w:t>.</w:t>
      </w:r>
      <w:r w:rsidR="00866642">
        <w:t>”</w:t>
      </w:r>
      <w:r>
        <w:rPr>
          <w:rStyle w:val="FootnoteReference"/>
        </w:rPr>
        <w:footnoteReference w:id="40"/>
      </w:r>
      <w:r w:rsidR="0042739F">
        <w:t xml:space="preserve">  </w:t>
      </w:r>
      <w:r w:rsidR="00866642">
        <w:t xml:space="preserve">Moreover, </w:t>
      </w:r>
      <w:r w:rsidR="0018438D">
        <w:t>there is no need for rural customers to acquire handsets through Verizon if they intend to use another carrier’s service; they can simply buy a handset directly from the manufacturer or through another retail outlet.</w:t>
      </w:r>
      <w:r w:rsidRPr="0018438D" w:rsidR="0018438D">
        <w:rPr>
          <w:rStyle w:val="FootnoteReference"/>
        </w:rPr>
        <w:t xml:space="preserve"> </w:t>
      </w:r>
      <w:r>
        <w:rPr>
          <w:rStyle w:val="FootnoteReference"/>
        </w:rPr>
        <w:footnoteReference w:id="41"/>
      </w:r>
      <w:r w:rsidR="0018438D">
        <w:t xml:space="preserve">  W</w:t>
      </w:r>
      <w:r w:rsidR="00866642">
        <w:t xml:space="preserve">e find it </w:t>
      </w:r>
      <w:r w:rsidR="00416F20">
        <w:t xml:space="preserve">highly unlikely that </w:t>
      </w:r>
      <w:r w:rsidR="0018438D">
        <w:t>many</w:t>
      </w:r>
      <w:r w:rsidR="00416F20">
        <w:t xml:space="preserve"> consumers </w:t>
      </w:r>
      <w:r w:rsidR="00866642">
        <w:t xml:space="preserve">would </w:t>
      </w:r>
      <w:r w:rsidR="0018438D">
        <w:t xml:space="preserve">instead </w:t>
      </w:r>
      <w:r w:rsidR="00416F20">
        <w:t xml:space="preserve">go through the process of signing up for service with </w:t>
      </w:r>
      <w:r w:rsidR="006012A4">
        <w:t xml:space="preserve">Verizon </w:t>
      </w:r>
      <w:r w:rsidR="002B5A36">
        <w:t>to obtain a device</w:t>
      </w:r>
      <w:r w:rsidR="005E0D3A">
        <w:t xml:space="preserve">, </w:t>
      </w:r>
      <w:r w:rsidR="00416F20">
        <w:t>only to immediately switch service to a rural carrier</w:t>
      </w:r>
      <w:r w:rsidR="002B5A36">
        <w:t xml:space="preserve"> after paying for the device in full</w:t>
      </w:r>
      <w:r w:rsidR="00416F20">
        <w:t>.</w:t>
      </w:r>
      <w:r>
        <w:rPr>
          <w:rStyle w:val="FootnoteReference"/>
        </w:rPr>
        <w:footnoteReference w:id="42"/>
      </w:r>
      <w:r w:rsidR="00416F20">
        <w:t xml:space="preserve">  </w:t>
      </w:r>
      <w:r w:rsidR="0018438D">
        <w:t>In any event, Verizon remains free to sell unlocked handsets to a consumer who wants to pay in full upon purchase.</w:t>
      </w:r>
      <w:bookmarkStart w:id="6" w:name="_Hlk8894330"/>
    </w:p>
    <w:p w:rsidR="002E4EB9" w:rsidP="009F699D" w14:paraId="5841F761" w14:textId="77777777">
      <w:pPr>
        <w:pStyle w:val="ParaNum"/>
      </w:pPr>
      <w:r>
        <w:t xml:space="preserve">Finally, NTIA </w:t>
      </w:r>
      <w:r w:rsidR="00384AD4">
        <w:t xml:space="preserve">generally supports grant of a </w:t>
      </w:r>
      <w:r w:rsidR="00282CF4">
        <w:t xml:space="preserve">partial waiver but </w:t>
      </w:r>
      <w:r>
        <w:t>suggest</w:t>
      </w:r>
      <w:r w:rsidR="002A0678">
        <w:t>s</w:t>
      </w:r>
      <w:r>
        <w:t xml:space="preserve"> that </w:t>
      </w:r>
      <w:r w:rsidR="00A24EF1">
        <w:t>we</w:t>
      </w:r>
      <w:r>
        <w:t xml:space="preserve"> </w:t>
      </w:r>
      <w:r w:rsidR="003444D8">
        <w:t xml:space="preserve">narrow </w:t>
      </w:r>
      <w:r w:rsidR="00282CF4">
        <w:t>its</w:t>
      </w:r>
      <w:r w:rsidR="003444D8">
        <w:t xml:space="preserve"> scope to </w:t>
      </w:r>
      <w:r w:rsidRPr="003444D8" w:rsidR="003444D8">
        <w:t xml:space="preserve">permit device locking </w:t>
      </w:r>
      <w:r w:rsidR="00282CF4">
        <w:t xml:space="preserve">only </w:t>
      </w:r>
      <w:r w:rsidRPr="003444D8" w:rsidR="003444D8">
        <w:t xml:space="preserve">for </w:t>
      </w:r>
      <w:r w:rsidR="00282CF4">
        <w:t>“</w:t>
      </w:r>
      <w:r w:rsidRPr="003444D8" w:rsidR="003444D8">
        <w:t>the minimum duration necessary to mitigate the risk of theft or fraud in a particular instance</w:t>
      </w:r>
      <w:r w:rsidR="003A4DAC">
        <w:t xml:space="preserve"> </w:t>
      </w:r>
      <w:r w:rsidR="00282CF4">
        <w:t>(which may be shorter than sixty days)” and that we require Verizon to provide “a simple and effective way to request accelerated unlocking</w:t>
      </w:r>
      <w:r w:rsidR="003A4DAC">
        <w:t>.</w:t>
      </w:r>
      <w:r w:rsidR="003444D8">
        <w:t>”</w:t>
      </w:r>
      <w:r>
        <w:rPr>
          <w:rStyle w:val="FootnoteReference"/>
        </w:rPr>
        <w:footnoteReference w:id="43"/>
      </w:r>
      <w:r w:rsidR="003444D8">
        <w:t xml:space="preserve"> </w:t>
      </w:r>
      <w:r w:rsidRPr="003444D8" w:rsidR="003444D8">
        <w:t xml:space="preserve"> </w:t>
      </w:r>
      <w:r w:rsidR="00282CF4">
        <w:t>NTIA</w:t>
      </w:r>
      <w:r w:rsidR="003444D8">
        <w:t xml:space="preserve"> suggests</w:t>
      </w:r>
      <w:r w:rsidR="00A24EF1">
        <w:t>, for example,</w:t>
      </w:r>
      <w:r w:rsidR="003444D8">
        <w:t xml:space="preserve"> that </w:t>
      </w:r>
      <w:r w:rsidR="00A24EF1">
        <w:t>we</w:t>
      </w:r>
      <w:r w:rsidRPr="003444D8" w:rsidR="003444D8">
        <w:t xml:space="preserve"> consider </w:t>
      </w:r>
      <w:r>
        <w:t>requiring Verizon to unlock its handsets as soon as the first payment is successfully processed or immediately upon purchase “in situations where the fraud risk is low, such as in the case of long-time customers who acquire new handsets for use with existing service</w:t>
      </w:r>
      <w:r w:rsidR="002A0678">
        <w:t xml:space="preserve"> </w:t>
      </w:r>
      <w:r w:rsidR="005C1F2D">
        <w:t>....</w:t>
      </w:r>
      <w:r>
        <w:t>”</w:t>
      </w:r>
      <w:r>
        <w:rPr>
          <w:rStyle w:val="FootnoteReference"/>
        </w:rPr>
        <w:footnoteReference w:id="44"/>
      </w:r>
      <w:r>
        <w:t xml:space="preserve">  </w:t>
      </w:r>
      <w:r w:rsidR="00282CF4">
        <w:t>Verizon, however, responds that 60 days is the minimum necessary</w:t>
      </w:r>
      <w:r w:rsidR="00127438">
        <w:t xml:space="preserve"> to accomplish the purpose of the temporary unlocking, in order to allow for the amount of time it takes to receive and process customer payments, to identify fraud via checks from accounts with insufficient funds or stolen debit or credit cards, and to obtain information </w:t>
      </w:r>
      <w:r w:rsidR="00127438">
        <w:t>about transactions through indirect agents or national retailers.</w:t>
      </w:r>
      <w:r>
        <w:rPr>
          <w:rStyle w:val="FootnoteReference"/>
        </w:rPr>
        <w:footnoteReference w:id="45"/>
      </w:r>
      <w:r w:rsidR="00127438">
        <w:t xml:space="preserve">  </w:t>
      </w:r>
      <w:r w:rsidR="00FA4934">
        <w:t xml:space="preserve">We agree with Verizon’s assessment that </w:t>
      </w:r>
      <w:r w:rsidRPr="0017329F" w:rsidR="00FA4934">
        <w:t xml:space="preserve">the </w:t>
      </w:r>
      <w:r w:rsidR="00162464">
        <w:t>“</w:t>
      </w:r>
      <w:r w:rsidRPr="0017329F" w:rsidR="00FA4934">
        <w:t>added complexity of specifying exceptions</w:t>
      </w:r>
      <w:r w:rsidR="00162464">
        <w:t>”</w:t>
      </w:r>
      <w:r w:rsidRPr="0017329F" w:rsidR="00FA4934">
        <w:t xml:space="preserve"> to </w:t>
      </w:r>
      <w:r w:rsidR="00FA4934">
        <w:t>60-day waiver of the unlocking rule</w:t>
      </w:r>
      <w:r w:rsidR="00765ED9">
        <w:t>, as suggested by NTIA,</w:t>
      </w:r>
      <w:r w:rsidR="00FA4934">
        <w:t xml:space="preserve"> would not </w:t>
      </w:r>
      <w:r w:rsidR="00162464">
        <w:t>“</w:t>
      </w:r>
      <w:r w:rsidR="00FA4934">
        <w:t>provide</w:t>
      </w:r>
      <w:r w:rsidR="00162464">
        <w:t xml:space="preserve"> </w:t>
      </w:r>
      <w:r w:rsidRPr="0017329F" w:rsidR="00FA4934">
        <w:t>offsetting consumer benefits</w:t>
      </w:r>
      <w:r w:rsidR="00162464">
        <w:t>.</w:t>
      </w:r>
      <w:r w:rsidR="003631BB">
        <w:t>”</w:t>
      </w:r>
      <w:r>
        <w:rPr>
          <w:rStyle w:val="FootnoteReference"/>
        </w:rPr>
        <w:footnoteReference w:id="46"/>
      </w:r>
      <w:r w:rsidR="00282CF4">
        <w:t xml:space="preserve"> </w:t>
      </w:r>
      <w:r w:rsidR="00413F16">
        <w:t xml:space="preserve"> </w:t>
      </w:r>
      <w:r w:rsidR="00162464">
        <w:t xml:space="preserve">Further, </w:t>
      </w:r>
      <w:r w:rsidR="00282CF4">
        <w:t xml:space="preserve">as to the accelerated unlocking point, </w:t>
      </w:r>
      <w:r>
        <w:t xml:space="preserve">Verizon </w:t>
      </w:r>
      <w:r w:rsidR="00162464">
        <w:t xml:space="preserve">states </w:t>
      </w:r>
      <w:r>
        <w:t xml:space="preserve">that it “will review any unique or unusual circumstances with the customer on a case-by-case basis </w:t>
      </w:r>
      <w:r w:rsidR="00977687">
        <w:t>....</w:t>
      </w:r>
      <w:r>
        <w:t>”</w:t>
      </w:r>
      <w:r>
        <w:rPr>
          <w:rStyle w:val="FootnoteReference"/>
        </w:rPr>
        <w:footnoteReference w:id="47"/>
      </w:r>
      <w:r w:rsidR="00173B34">
        <w:t xml:space="preserve">  </w:t>
      </w:r>
      <w:r w:rsidR="002B4C26">
        <w:t xml:space="preserve">Given the complexities </w:t>
      </w:r>
      <w:r w:rsidR="000C64F4">
        <w:t>of implementing</w:t>
      </w:r>
      <w:r w:rsidR="002B4C26">
        <w:t xml:space="preserve"> NTIA’s </w:t>
      </w:r>
      <w:r w:rsidR="000C64F4">
        <w:t xml:space="preserve">more granular </w:t>
      </w:r>
      <w:r w:rsidR="002B4C26">
        <w:t>proposal, we find that Verizon</w:t>
      </w:r>
      <w:r w:rsidR="00881214">
        <w:t>’s</w:t>
      </w:r>
      <w:r w:rsidR="002B4C26">
        <w:t xml:space="preserve"> case-by-case review is sufficient to address any concerns about </w:t>
      </w:r>
      <w:r w:rsidR="0032126D">
        <w:t>customer</w:t>
      </w:r>
      <w:r w:rsidR="00FC64C1">
        <w:t>s’</w:t>
      </w:r>
      <w:r w:rsidR="0032126D">
        <w:t xml:space="preserve"> </w:t>
      </w:r>
      <w:r w:rsidR="00FC64C1">
        <w:t xml:space="preserve">requests for </w:t>
      </w:r>
      <w:r w:rsidR="002B4C26">
        <w:t>expedited unlocking.</w:t>
      </w:r>
      <w:r w:rsidR="00282CF4">
        <w:t xml:space="preserve"> </w:t>
      </w:r>
      <w:r w:rsidR="00127438">
        <w:t xml:space="preserve"> As stated above, we find that the limited 60-day waiver that we are granting herein is a reasonable and balanced approach that will help Verizon combat device theft and fraud and will have only a minor impact on consumers.</w:t>
      </w:r>
    </w:p>
    <w:bookmarkEnd w:id="6"/>
    <w:p w:rsidR="0080185B" w:rsidP="0080185B" w14:paraId="75BC3AFF" w14:textId="77777777">
      <w:pPr>
        <w:pStyle w:val="Heading1"/>
      </w:pPr>
      <w:r>
        <w:t>Ordering Clause</w:t>
      </w:r>
    </w:p>
    <w:p w:rsidR="0080185B" w:rsidRPr="000A0A51" w:rsidP="00C55B04" w14:paraId="51304504" w14:textId="77777777">
      <w:pPr>
        <w:pStyle w:val="ParaNum"/>
        <w:rPr>
          <w:rStyle w:val="StyleParaNum11pt1CharCharCharCharCharCharCharCharCharCharCharCharCharCharCharCharChar"/>
          <w:snapToGrid w:val="0"/>
          <w:szCs w:val="20"/>
        </w:rPr>
      </w:pPr>
      <w:r w:rsidRPr="00E051B3">
        <w:rPr>
          <w:rStyle w:val="StyleParaNum11pt1CharCharCharCharCharCharCharCharCharCharCharCharCharCharCharCharChar"/>
          <w:color w:val="000000"/>
        </w:rPr>
        <w:t>Accordingly, IT IS ORDERED that</w:t>
      </w:r>
      <w:r w:rsidR="00861131">
        <w:rPr>
          <w:rStyle w:val="StyleParaNum11pt1CharCharCharCharCharCharCharCharCharCharCharCharCharCharCharCharChar"/>
          <w:color w:val="000000"/>
        </w:rPr>
        <w:t>,</w:t>
      </w:r>
      <w:r w:rsidRPr="00E051B3">
        <w:rPr>
          <w:rStyle w:val="StyleParaNum11pt1CharCharCharCharCharCharCharCharCharCharCharCharCharCharCharCharChar"/>
          <w:color w:val="000000"/>
        </w:rPr>
        <w:t xml:space="preserve"> </w:t>
      </w:r>
      <w:bookmarkStart w:id="7" w:name="_Hlk10200003"/>
      <w:r w:rsidRPr="006516AD">
        <w:t>pursuant</w:t>
      </w:r>
      <w:r w:rsidRPr="00E051B3">
        <w:rPr>
          <w:rStyle w:val="StyleParaNum11pt1CharCharCharCharCharCharCharCharCharCharCharCharCharCharCharCharChar"/>
          <w:color w:val="000000"/>
        </w:rPr>
        <w:t xml:space="preserve"> to </w:t>
      </w:r>
      <w:r w:rsidR="00D62E0E">
        <w:t>s</w:t>
      </w:r>
      <w:r w:rsidRPr="00E051B3">
        <w:t>ection</w:t>
      </w:r>
      <w:r w:rsidR="00D62E0E">
        <w:t xml:space="preserve"> </w:t>
      </w:r>
      <w:r w:rsidRPr="00E051B3">
        <w:t>4(i) of the Communications Act of 1934, as amended, 47 U.S.C. §</w:t>
      </w:r>
      <w:r w:rsidR="00A57E4B">
        <w:t xml:space="preserve"> </w:t>
      </w:r>
      <w:r w:rsidRPr="00E051B3">
        <w:t>154(i)</w:t>
      </w:r>
      <w:r w:rsidR="00A57E4B">
        <w:t>, and section</w:t>
      </w:r>
      <w:r w:rsidR="006012A4">
        <w:t>s</w:t>
      </w:r>
      <w:r w:rsidR="00D62E0E">
        <w:t xml:space="preserve"> </w:t>
      </w:r>
      <w:r w:rsidR="006012A4">
        <w:t xml:space="preserve">0.131, 0.331, and </w:t>
      </w:r>
      <w:r w:rsidR="00A57E4B">
        <w:t>1.</w:t>
      </w:r>
      <w:r w:rsidR="006811B7">
        <w:t>2</w:t>
      </w:r>
      <w:r w:rsidR="00A57E4B">
        <w:t xml:space="preserve"> of the Commission’s rules,</w:t>
      </w:r>
      <w:r w:rsidRPr="00E051B3">
        <w:t xml:space="preserve"> </w:t>
      </w:r>
      <w:r w:rsidR="00A57E4B">
        <w:t xml:space="preserve">47 </w:t>
      </w:r>
      <w:bookmarkStart w:id="8" w:name="_Hlk10201873"/>
      <w:r w:rsidR="00A57E4B">
        <w:t xml:space="preserve">CFR </w:t>
      </w:r>
      <w:r w:rsidRPr="00E051B3" w:rsidR="00A57E4B">
        <w:t>§</w:t>
      </w:r>
      <w:r w:rsidRPr="00E051B3" w:rsidR="006012A4">
        <w:t>§</w:t>
      </w:r>
      <w:r w:rsidR="00A57E4B">
        <w:t xml:space="preserve"> </w:t>
      </w:r>
      <w:bookmarkEnd w:id="8"/>
      <w:r w:rsidR="006012A4">
        <w:t xml:space="preserve">0.131, 0.331, </w:t>
      </w:r>
      <w:r w:rsidR="00A57E4B">
        <w:t>1.</w:t>
      </w:r>
      <w:r w:rsidR="006811B7">
        <w:t>2</w:t>
      </w:r>
      <w:r w:rsidR="00A57E4B">
        <w:t xml:space="preserve">, </w:t>
      </w:r>
      <w:r w:rsidRPr="00D62E0E" w:rsidR="00A57E4B">
        <w:t xml:space="preserve">that </w:t>
      </w:r>
      <w:bookmarkEnd w:id="7"/>
      <w:r w:rsidR="00FD2D3B">
        <w:rPr>
          <w:rStyle w:val="StyleParaNum11pt1CharCharCharCharCharCharCharCharCharCharCharCharCharCharCharCharChar"/>
          <w:color w:val="000000"/>
        </w:rPr>
        <w:t xml:space="preserve">Verizon’s </w:t>
      </w:r>
      <w:r w:rsidR="008D2E9E">
        <w:rPr>
          <w:rStyle w:val="StyleParaNum11pt1CharCharCharCharCharCharCharCharCharCharCharCharCharCharCharCharChar"/>
          <w:color w:val="000000"/>
        </w:rPr>
        <w:t xml:space="preserve">request </w:t>
      </w:r>
      <w:r w:rsidRPr="008D2E9E" w:rsidR="008D2E9E">
        <w:rPr>
          <w:snapToGrid/>
          <w:color w:val="000000"/>
          <w:szCs w:val="22"/>
        </w:rPr>
        <w:t>for a declaratory ruling IS DENIED</w:t>
      </w:r>
    </w:p>
    <w:p w:rsidR="006811B7" w:rsidRPr="00D62E0E" w:rsidP="00C55B04" w14:paraId="43D4985F" w14:textId="77777777">
      <w:pPr>
        <w:pStyle w:val="ParaNum"/>
      </w:pPr>
      <w:r>
        <w:t xml:space="preserve">IT IS FURTHER ORDERED that, </w:t>
      </w:r>
      <w:r w:rsidRPr="006811B7">
        <w:t>pursuant to section 4(i) of the Communications Act of 1934, as amended, 47 U.S.C. § 154(i), and sections 0.131, 0.331, and 1.3 of the Commission’s rules, 47 CFR §§ 0.131, 0.331, 1.3, that</w:t>
      </w:r>
      <w:r>
        <w:t xml:space="preserve"> Verizon’s request </w:t>
      </w:r>
      <w:r w:rsidRPr="006811B7">
        <w:t>for a partial waiver of Section 27.16(e) of the Commission’s rules</w:t>
      </w:r>
      <w:r w:rsidR="00310DEB">
        <w:t>, 47</w:t>
      </w:r>
      <w:r w:rsidR="00EB5F0C">
        <w:t xml:space="preserve"> </w:t>
      </w:r>
      <w:r w:rsidRPr="00EB5F0C" w:rsidR="00EB5F0C">
        <w:t>CFR §</w:t>
      </w:r>
      <w:r w:rsidR="00EB5F0C">
        <w:t xml:space="preserve"> 27.16(e),</w:t>
      </w:r>
      <w:r w:rsidR="00310DEB">
        <w:t xml:space="preserve"> </w:t>
      </w:r>
      <w:r w:rsidRPr="006811B7">
        <w:t>IS GRANTED</w:t>
      </w:r>
      <w:r>
        <w:t xml:space="preserve"> to the extent specified herein.</w:t>
      </w:r>
    </w:p>
    <w:p w:rsidR="00144F53" w:rsidP="00307E71" w14:paraId="4DE66042" w14:textId="77777777">
      <w:r>
        <w:tab/>
      </w:r>
      <w:r>
        <w:tab/>
      </w:r>
      <w:r>
        <w:tab/>
      </w:r>
      <w:r>
        <w:tab/>
      </w:r>
      <w:r>
        <w:tab/>
      </w:r>
      <w:r>
        <w:tab/>
        <w:t>FEDERAL COMMUNICATIONS COMMISSION</w:t>
      </w:r>
    </w:p>
    <w:p w:rsidR="00144F53" w:rsidP="00307E71" w14:paraId="1A07A576" w14:textId="77777777"/>
    <w:p w:rsidR="00144F53" w:rsidP="00307E71" w14:paraId="32635F68" w14:textId="77777777"/>
    <w:p w:rsidR="00144F53" w:rsidP="00307E71" w14:paraId="294FF3D2" w14:textId="77777777"/>
    <w:p w:rsidR="00144F53" w:rsidP="00307E71" w14:paraId="7B498D5C" w14:textId="77777777"/>
    <w:p w:rsidR="00144F53" w:rsidP="00307E71" w14:paraId="4FC10CF7" w14:textId="77777777">
      <w:r>
        <w:tab/>
      </w:r>
      <w:r>
        <w:tab/>
      </w:r>
      <w:r>
        <w:tab/>
      </w:r>
      <w:r>
        <w:tab/>
      </w:r>
      <w:r>
        <w:tab/>
      </w:r>
      <w:r>
        <w:tab/>
        <w:t>Donald Stockdale</w:t>
      </w:r>
    </w:p>
    <w:p w:rsidR="00E051B3" w:rsidRPr="0080185B" w:rsidP="00067B2F" w14:paraId="3C1B3406" w14:textId="77777777">
      <w:r>
        <w:tab/>
      </w:r>
      <w:r>
        <w:tab/>
      </w:r>
      <w:r>
        <w:tab/>
      </w:r>
      <w:r>
        <w:tab/>
      </w:r>
      <w:r>
        <w:tab/>
      </w:r>
      <w:r>
        <w:tab/>
        <w:t>Chief, Wireless Telecommunications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7E4B" w:rsidP="0055614C" w14:paraId="6503BA2F" w14:textId="77777777">
    <w:pPr>
      <w:pStyle w:val="Footer"/>
      <w:framePr w:wrap="around" w:vAnchor="text" w:hAnchor="margin" w:xAlign="center" w:y="1"/>
    </w:pPr>
    <w:r>
      <w:fldChar w:fldCharType="begin"/>
    </w:r>
    <w:r>
      <w:instrText xml:space="preserve">PAGE  </w:instrText>
    </w:r>
    <w:r>
      <w:fldChar w:fldCharType="separate"/>
    </w:r>
    <w:r>
      <w:fldChar w:fldCharType="end"/>
    </w:r>
  </w:p>
  <w:p w:rsidR="00A57E4B" w14:paraId="5B0A806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7E4B" w14:paraId="0A5B34B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A57E4B" w14:paraId="680227EB"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7E4B" w14:paraId="3844EDD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27523" w14:paraId="03617662" w14:textId="77777777">
      <w:r>
        <w:separator/>
      </w:r>
    </w:p>
  </w:footnote>
  <w:footnote w:type="continuationSeparator" w:id="1">
    <w:p w:rsidR="00927523" w:rsidP="00C721AC" w14:paraId="2AD6E840" w14:textId="77777777">
      <w:pPr>
        <w:spacing w:before="120"/>
        <w:rPr>
          <w:sz w:val="20"/>
        </w:rPr>
      </w:pPr>
      <w:r>
        <w:rPr>
          <w:sz w:val="20"/>
        </w:rPr>
        <w:t xml:space="preserve">(Continued from previous page)  </w:t>
      </w:r>
      <w:r>
        <w:rPr>
          <w:sz w:val="20"/>
        </w:rPr>
        <w:separator/>
      </w:r>
    </w:p>
  </w:footnote>
  <w:footnote w:type="continuationNotice" w:id="2">
    <w:p w:rsidR="00927523" w:rsidP="00B86F6A" w14:paraId="26C2E9EA" w14:textId="77777777">
      <w:pPr>
        <w:jc w:val="center"/>
        <w:rPr>
          <w:sz w:val="20"/>
        </w:rPr>
      </w:pPr>
    </w:p>
  </w:footnote>
  <w:footnote w:id="3">
    <w:p w:rsidR="00A57E4B" w:rsidP="009014E7" w14:paraId="79E226F0" w14:textId="77777777">
      <w:pPr>
        <w:pStyle w:val="FootnoteText"/>
      </w:pPr>
      <w:r>
        <w:rPr>
          <w:rStyle w:val="FootnoteReference"/>
        </w:rPr>
        <w:footnoteRef/>
      </w:r>
      <w:r>
        <w:t xml:space="preserve"> </w:t>
      </w:r>
      <w:r w:rsidR="00E235B5">
        <w:t xml:space="preserve">47 CFR §§ 1.3, 27.16(e).  The Upper 700 MHZ C Block is a </w:t>
      </w:r>
      <w:r w:rsidRPr="00D265E8" w:rsidR="00E235B5">
        <w:t>22-</w:t>
      </w:r>
      <w:r w:rsidR="000C1E23">
        <w:t>megahertz</w:t>
      </w:r>
      <w:r w:rsidRPr="00D265E8" w:rsidR="00E235B5">
        <w:t xml:space="preserve"> block</w:t>
      </w:r>
      <w:r w:rsidR="00E235B5">
        <w:t xml:space="preserve"> in the 746-757 and 776-787 MHz bands that encompasses 12 licenses (Regional Economic Area Groupings)</w:t>
      </w:r>
      <w:r w:rsidR="001F2F20">
        <w:t>;</w:t>
      </w:r>
      <w:r w:rsidR="00E235B5">
        <w:t xml:space="preserve"> six of </w:t>
      </w:r>
      <w:r w:rsidR="001F2F20">
        <w:t xml:space="preserve">these licenses </w:t>
      </w:r>
      <w:r w:rsidR="00E235B5">
        <w:t xml:space="preserve">cover the </w:t>
      </w:r>
      <w:r w:rsidR="00F954F0">
        <w:t>48 contiguous states, and the other licenses cover Alaska, Hawaii, the Gulf of Mexico,</w:t>
      </w:r>
      <w:r w:rsidR="00FE3E78">
        <w:t xml:space="preserve"> and the U.S. territories</w:t>
      </w:r>
      <w:r w:rsidR="00E235B5">
        <w:t xml:space="preserve">.  </w:t>
      </w:r>
      <w:r w:rsidR="00F3466B">
        <w:t>Verizon holds</w:t>
      </w:r>
      <w:r w:rsidR="00512C4C">
        <w:t xml:space="preserve"> nine of the 12 </w:t>
      </w:r>
      <w:r w:rsidR="00E235B5">
        <w:t>licenses</w:t>
      </w:r>
      <w:r w:rsidR="00F954F0">
        <w:t xml:space="preserve"> covering the 48 contiguous states, Alaska, Hawaii, and the Gulf of Mexico</w:t>
      </w:r>
      <w:r w:rsidR="00E235B5">
        <w:t>.</w:t>
      </w:r>
    </w:p>
  </w:footnote>
  <w:footnote w:id="4">
    <w:p w:rsidR="00E235B5" w14:paraId="73FCBABF" w14:textId="77777777">
      <w:pPr>
        <w:pStyle w:val="FootnoteText"/>
      </w:pPr>
      <w:r>
        <w:rPr>
          <w:rStyle w:val="FootnoteReference"/>
        </w:rPr>
        <w:footnoteRef/>
      </w:r>
      <w:r>
        <w:t xml:space="preserve"> </w:t>
      </w:r>
      <w:r w:rsidRPr="00E0421D">
        <w:t>Verizon Request for Declaratory Ruling, or, in the Alternative, for Partial Waiver, WT Docket No. 06-150</w:t>
      </w:r>
      <w:r w:rsidR="00B45C74">
        <w:t xml:space="preserve"> at 1, 17-19</w:t>
      </w:r>
      <w:r w:rsidRPr="00E0421D">
        <w:t xml:space="preserve"> (filed Feb. 22, 2019) (Petition)</w:t>
      </w:r>
      <w:bookmarkStart w:id="2" w:name="_Hlk5203655"/>
      <w:r w:rsidRPr="00E0421D">
        <w:t>.</w:t>
      </w:r>
      <w:r>
        <w:t xml:space="preserve">  </w:t>
      </w:r>
      <w:bookmarkEnd w:id="2"/>
      <w:r>
        <w:t>For purposes of its Petition, Verizon notes that “Verizon” also includes Cellco Partnership d/b/a Verizon Wireless.</w:t>
      </w:r>
    </w:p>
  </w:footnote>
  <w:footnote w:id="5">
    <w:p w:rsidR="000B6A82" w14:paraId="41953170" w14:textId="77777777">
      <w:pPr>
        <w:pStyle w:val="FootnoteText"/>
      </w:pPr>
      <w:r>
        <w:rPr>
          <w:rStyle w:val="FootnoteReference"/>
        </w:rPr>
        <w:footnoteRef/>
      </w:r>
      <w:r>
        <w:t xml:space="preserve"> Petition at</w:t>
      </w:r>
      <w:r w:rsidR="00DE1D0A">
        <w:t xml:space="preserve"> </w:t>
      </w:r>
      <w:r w:rsidR="00156B18">
        <w:t>3-5, 11-16</w:t>
      </w:r>
      <w:r w:rsidR="00DE1D0A">
        <w:t>.</w:t>
      </w:r>
    </w:p>
  </w:footnote>
  <w:footnote w:id="6">
    <w:p w:rsidR="002279C1" w14:paraId="13967FDD" w14:textId="77777777">
      <w:pPr>
        <w:pStyle w:val="FootnoteText"/>
      </w:pPr>
      <w:r>
        <w:rPr>
          <w:rStyle w:val="FootnoteReference"/>
        </w:rPr>
        <w:footnoteRef/>
      </w:r>
      <w:r>
        <w:t xml:space="preserve"> 47 CFR § 27.16(e).</w:t>
      </w:r>
    </w:p>
  </w:footnote>
  <w:footnote w:id="7">
    <w:p w:rsidR="00A57E4B" w:rsidP="00AD7F12" w14:paraId="0FB40386" w14:textId="77777777">
      <w:pPr>
        <w:pStyle w:val="FootnoteText"/>
      </w:pPr>
      <w:r>
        <w:rPr>
          <w:rStyle w:val="FootnoteReference"/>
        </w:rPr>
        <w:footnoteRef/>
      </w:r>
      <w:r>
        <w:t xml:space="preserve"> C Block licensees </w:t>
      </w:r>
      <w:r w:rsidRPr="009047F5">
        <w:rPr>
          <w:i/>
        </w:rPr>
        <w:t>may</w:t>
      </w:r>
      <w:r>
        <w:t xml:space="preserve"> disable a feature on a handset if: (1) the feature “would not be compliant with </w:t>
      </w:r>
      <w:r w:rsidRPr="00EC367D">
        <w:t>published technical standards reasonably necessary for the management or protection of the licensee</w:t>
      </w:r>
      <w:r>
        <w:t>’</w:t>
      </w:r>
      <w:r w:rsidRPr="00EC367D">
        <w:t>s network</w:t>
      </w:r>
      <w:r>
        <w:t xml:space="preserve">,” or (2) disabling the feature is “required to comply with statute or applicable government regulation.”  </w:t>
      </w:r>
      <w:r w:rsidRPr="00EC367D">
        <w:t>47 CFR § 26.16(</w:t>
      </w:r>
      <w:r>
        <w:t>b</w:t>
      </w:r>
      <w:r w:rsidRPr="00EC367D">
        <w:t>)</w:t>
      </w:r>
      <w:r w:rsidR="00A43D5B">
        <w:t xml:space="preserve">; </w:t>
      </w:r>
      <w:r w:rsidRPr="00A43D5B" w:rsidR="00A43D5B">
        <w:rPr>
          <w:i/>
        </w:rPr>
        <w:t>see also</w:t>
      </w:r>
      <w:r w:rsidR="00A43D5B">
        <w:t xml:space="preserve"> Double Perfect Reply Comments at 3.</w:t>
      </w:r>
    </w:p>
  </w:footnote>
  <w:footnote w:id="8">
    <w:p w:rsidR="00A57E4B" w:rsidRPr="00AD7F12" w14:paraId="07F7F50A" w14:textId="77777777">
      <w:pPr>
        <w:pStyle w:val="FootnoteText"/>
      </w:pPr>
      <w:r>
        <w:rPr>
          <w:rStyle w:val="FootnoteReference"/>
        </w:rPr>
        <w:footnoteRef/>
      </w:r>
      <w:r>
        <w:t xml:space="preserve"> </w:t>
      </w:r>
      <w:r w:rsidR="00703D4B">
        <w:rPr>
          <w:i/>
        </w:rPr>
        <w:t xml:space="preserve">Service Rules for the 698-746, 747-762 and 777-792 MHz Bands, </w:t>
      </w:r>
      <w:r w:rsidR="003705FD">
        <w:t xml:space="preserve">WT Docket 06-150, </w:t>
      </w:r>
      <w:r w:rsidR="00703D4B">
        <w:t>Second Report and Order, 22 FCC Rcd 15289, 15358-15374, paras. 189-230 (2007) (</w:t>
      </w:r>
      <w:r w:rsidRPr="00AD7F12" w:rsidR="00703D4B">
        <w:rPr>
          <w:i/>
        </w:rPr>
        <w:t>700 MHz Second Report and Order</w:t>
      </w:r>
      <w:r w:rsidR="00703D4B">
        <w:t>).</w:t>
      </w:r>
    </w:p>
  </w:footnote>
  <w:footnote w:id="9">
    <w:p w:rsidR="00A57E4B" w14:paraId="355F5297" w14:textId="77777777">
      <w:pPr>
        <w:pStyle w:val="FootnoteText"/>
      </w:pPr>
      <w:r>
        <w:rPr>
          <w:rStyle w:val="FootnoteReference"/>
        </w:rPr>
        <w:footnoteRef/>
      </w:r>
      <w:r>
        <w:t xml:space="preserve"> </w:t>
      </w:r>
      <w:r w:rsidRPr="00F5776F">
        <w:rPr>
          <w:i/>
        </w:rPr>
        <w:t>Id</w:t>
      </w:r>
      <w:r>
        <w:t>. at 15370-71, para. 222.</w:t>
      </w:r>
    </w:p>
  </w:footnote>
  <w:footnote w:id="10">
    <w:p w:rsidR="00A57E4B" w14:paraId="24F03E1A" w14:textId="77777777">
      <w:pPr>
        <w:pStyle w:val="FootnoteText"/>
      </w:pPr>
      <w:r>
        <w:rPr>
          <w:rStyle w:val="FootnoteReference"/>
        </w:rPr>
        <w:footnoteRef/>
      </w:r>
      <w:r>
        <w:t xml:space="preserve"> </w:t>
      </w:r>
      <w:r w:rsidRPr="00F5776F">
        <w:rPr>
          <w:i/>
        </w:rPr>
        <w:t>Id</w:t>
      </w:r>
      <w:r>
        <w:t>.</w:t>
      </w:r>
    </w:p>
  </w:footnote>
  <w:footnote w:id="11">
    <w:p w:rsidR="00A57E4B" w14:paraId="2F8B3DB8" w14:textId="77777777">
      <w:pPr>
        <w:pStyle w:val="FootnoteText"/>
      </w:pPr>
      <w:r>
        <w:rPr>
          <w:rStyle w:val="FootnoteReference"/>
        </w:rPr>
        <w:footnoteRef/>
      </w:r>
      <w:r>
        <w:t xml:space="preserve"> </w:t>
      </w:r>
      <w:r w:rsidRPr="00F5776F">
        <w:rPr>
          <w:i/>
        </w:rPr>
        <w:t>Id</w:t>
      </w:r>
      <w:r>
        <w:t xml:space="preserve">. at 15358, para. 190 </w:t>
      </w:r>
      <w:r w:rsidR="00DF2C07">
        <w:t xml:space="preserve">&amp; </w:t>
      </w:r>
      <w:r>
        <w:t>n.430.</w:t>
      </w:r>
    </w:p>
  </w:footnote>
  <w:footnote w:id="12">
    <w:p w:rsidR="008506B6" w14:paraId="0BCB8042" w14:textId="77777777">
      <w:pPr>
        <w:pStyle w:val="FootnoteText"/>
      </w:pPr>
      <w:r>
        <w:rPr>
          <w:rStyle w:val="FootnoteReference"/>
        </w:rPr>
        <w:footnoteRef/>
      </w:r>
      <w:r>
        <w:t xml:space="preserve"> </w:t>
      </w:r>
      <w:r w:rsidR="009A0631">
        <w:t>Petition at 11-15.</w:t>
      </w:r>
    </w:p>
  </w:footnote>
  <w:footnote w:id="13">
    <w:p w:rsidR="0032493D" w:rsidP="0032493D" w14:paraId="1904113C" w14:textId="77777777">
      <w:pPr>
        <w:pStyle w:val="FootnoteText"/>
      </w:pPr>
      <w:r>
        <w:rPr>
          <w:rStyle w:val="FootnoteReference"/>
        </w:rPr>
        <w:footnoteRef/>
      </w:r>
      <w:r>
        <w:t xml:space="preserve"> </w:t>
      </w:r>
      <w:r w:rsidRPr="00200533">
        <w:t xml:space="preserve">47 CFR </w:t>
      </w:r>
      <w:r w:rsidRPr="00263CA3">
        <w:t>§ 1.3</w:t>
      </w:r>
      <w:r>
        <w:t xml:space="preserve">; </w:t>
      </w:r>
      <w:r w:rsidRPr="00263CA3">
        <w:t>Petition at 1, 20</w:t>
      </w:r>
      <w:r>
        <w:t>.</w:t>
      </w:r>
    </w:p>
  </w:footnote>
  <w:footnote w:id="14">
    <w:p w:rsidR="00A57E4B" w:rsidP="00546100" w14:paraId="4C15F98C" w14:textId="77777777">
      <w:pPr>
        <w:pStyle w:val="FootnoteText"/>
      </w:pPr>
      <w:r>
        <w:rPr>
          <w:rStyle w:val="FootnoteReference"/>
        </w:rPr>
        <w:footnoteRef/>
      </w:r>
      <w:r>
        <w:t xml:space="preserve"> </w:t>
      </w:r>
      <w:r w:rsidRPr="00263CA3">
        <w:t>47 CFR § 1.2</w:t>
      </w:r>
      <w:r>
        <w:t xml:space="preserve">; </w:t>
      </w:r>
      <w:r>
        <w:rPr>
          <w:i/>
        </w:rPr>
        <w:t>see also</w:t>
      </w:r>
      <w:r w:rsidRPr="009C4802">
        <w:t xml:space="preserve"> </w:t>
      </w:r>
      <w:r w:rsidRPr="00263CA3">
        <w:t xml:space="preserve">Petition at </w:t>
      </w:r>
      <w:r>
        <w:t xml:space="preserve">1, </w:t>
      </w:r>
      <w:r w:rsidRPr="00263CA3">
        <w:t>11</w:t>
      </w:r>
      <w:r>
        <w:t>.</w:t>
      </w:r>
    </w:p>
  </w:footnote>
  <w:footnote w:id="15">
    <w:p w:rsidR="0032493D" w14:paraId="02134608" w14:textId="77777777">
      <w:pPr>
        <w:pStyle w:val="FootnoteText"/>
      </w:pPr>
      <w:r>
        <w:rPr>
          <w:rStyle w:val="FootnoteReference"/>
        </w:rPr>
        <w:footnoteRef/>
      </w:r>
      <w:r>
        <w:t xml:space="preserve"> Petition at 2.</w:t>
      </w:r>
    </w:p>
  </w:footnote>
  <w:footnote w:id="16">
    <w:p w:rsidR="00153233" w14:paraId="38725009" w14:textId="77777777">
      <w:pPr>
        <w:pStyle w:val="FootnoteText"/>
      </w:pPr>
      <w:r>
        <w:rPr>
          <w:rStyle w:val="FootnoteReference"/>
        </w:rPr>
        <w:footnoteRef/>
      </w:r>
      <w:r>
        <w:t xml:space="preserve"> </w:t>
      </w:r>
      <w:r w:rsidR="00B90ED7">
        <w:t>Petition, Attachment A at 2, 5.</w:t>
      </w:r>
    </w:p>
  </w:footnote>
  <w:footnote w:id="17">
    <w:p w:rsidR="00153233" w14:paraId="14754CC8" w14:textId="77777777">
      <w:pPr>
        <w:pStyle w:val="FootnoteText"/>
      </w:pPr>
      <w:r>
        <w:rPr>
          <w:rStyle w:val="FootnoteReference"/>
        </w:rPr>
        <w:footnoteRef/>
      </w:r>
      <w:r>
        <w:t xml:space="preserve"> Petition at 2.</w:t>
      </w:r>
    </w:p>
  </w:footnote>
  <w:footnote w:id="18">
    <w:p w:rsidR="00BD2667" w14:paraId="730F4129" w14:textId="77777777">
      <w:pPr>
        <w:pStyle w:val="FootnoteText"/>
      </w:pPr>
      <w:r>
        <w:rPr>
          <w:rStyle w:val="FootnoteReference"/>
        </w:rPr>
        <w:footnoteRef/>
      </w:r>
      <w:r>
        <w:t xml:space="preserve"> </w:t>
      </w:r>
      <w:r w:rsidR="00C61211">
        <w:rPr>
          <w:i/>
        </w:rPr>
        <w:t xml:space="preserve">Id. </w:t>
      </w:r>
      <w:r>
        <w:t xml:space="preserve">at 11; </w:t>
      </w:r>
      <w:r w:rsidRPr="00200533">
        <w:t xml:space="preserve">47 CFR </w:t>
      </w:r>
      <w:r w:rsidRPr="00263CA3">
        <w:t>§</w:t>
      </w:r>
      <w:r>
        <w:t xml:space="preserve"> 27.16(e).</w:t>
      </w:r>
    </w:p>
  </w:footnote>
  <w:footnote w:id="19">
    <w:p w:rsidR="00BD2667" w14:paraId="2B43BE0D" w14:textId="77777777">
      <w:pPr>
        <w:pStyle w:val="FootnoteText"/>
      </w:pPr>
      <w:r>
        <w:rPr>
          <w:rStyle w:val="FootnoteReference"/>
        </w:rPr>
        <w:footnoteRef/>
      </w:r>
      <w:r>
        <w:t xml:space="preserve"> </w:t>
      </w:r>
      <w:r w:rsidR="007B66F0">
        <w:t>Petition at 11.</w:t>
      </w:r>
    </w:p>
  </w:footnote>
  <w:footnote w:id="20">
    <w:p w:rsidR="007B66F0" w14:paraId="60DED1D0" w14:textId="77777777">
      <w:pPr>
        <w:pStyle w:val="FootnoteText"/>
      </w:pPr>
      <w:r>
        <w:rPr>
          <w:rStyle w:val="FootnoteReference"/>
        </w:rPr>
        <w:footnoteRef/>
      </w:r>
      <w:r>
        <w:t xml:space="preserve"> </w:t>
      </w:r>
      <w:r w:rsidRPr="00580657">
        <w:rPr>
          <w:i/>
        </w:rPr>
        <w:t>Id</w:t>
      </w:r>
      <w:r>
        <w:t>.</w:t>
      </w:r>
    </w:p>
  </w:footnote>
  <w:footnote w:id="21">
    <w:p w:rsidR="00655916" w14:paraId="5F23F147" w14:textId="77777777">
      <w:pPr>
        <w:pStyle w:val="FootnoteText"/>
      </w:pPr>
      <w:r>
        <w:rPr>
          <w:rStyle w:val="FootnoteReference"/>
        </w:rPr>
        <w:footnoteRef/>
      </w:r>
      <w:r>
        <w:t xml:space="preserve"> Letter </w:t>
      </w:r>
      <w:r w:rsidR="00DF6D96">
        <w:t xml:space="preserve">from Douglas W. Kinkoph, Acting Deputy Assistant Secretary for Communications and Information, US Dept. of Commerce, </w:t>
      </w:r>
      <w:r>
        <w:t>to Marlene Dortch, Secretary, F</w:t>
      </w:r>
      <w:r w:rsidR="00DF6D96">
        <w:t xml:space="preserve">CC, WT Docket No. 06-150 </w:t>
      </w:r>
      <w:r>
        <w:t>(</w:t>
      </w:r>
      <w:r w:rsidR="00DF6D96">
        <w:t xml:space="preserve">filed </w:t>
      </w:r>
      <w:r>
        <w:t xml:space="preserve">June 6, 2019) (NTIA </w:t>
      </w:r>
      <w:r w:rsidRPr="00891B42" w:rsidR="00DF6D96">
        <w:rPr>
          <w:i/>
          <w:iCs/>
        </w:rPr>
        <w:t>Ex Parte</w:t>
      </w:r>
      <w:r>
        <w:t xml:space="preserve">). </w:t>
      </w:r>
    </w:p>
  </w:footnote>
  <w:footnote w:id="22">
    <w:p w:rsidR="00C227A8" w:rsidP="00C227A8" w14:paraId="00EC0D09" w14:textId="77777777">
      <w:pPr>
        <w:pStyle w:val="FootnoteText"/>
      </w:pPr>
      <w:r>
        <w:rPr>
          <w:rStyle w:val="FootnoteReference"/>
        </w:rPr>
        <w:footnoteRef/>
      </w:r>
      <w:r>
        <w:t xml:space="preserve"> Appalachian Wireless Comments at 2.</w:t>
      </w:r>
    </w:p>
  </w:footnote>
  <w:footnote w:id="23">
    <w:p w:rsidR="00C227A8" w:rsidP="00C227A8" w14:paraId="7ABCB662" w14:textId="77777777">
      <w:pPr>
        <w:pStyle w:val="FootnoteText"/>
      </w:pPr>
      <w:r>
        <w:rPr>
          <w:rStyle w:val="FootnoteReference"/>
        </w:rPr>
        <w:footnoteRef/>
      </w:r>
      <w:r>
        <w:t xml:space="preserve"> Public Knowledge Comments at 1.</w:t>
      </w:r>
    </w:p>
  </w:footnote>
  <w:footnote w:id="24">
    <w:p w:rsidR="00655916" w14:paraId="34ADBC93" w14:textId="77777777">
      <w:pPr>
        <w:pStyle w:val="FootnoteText"/>
      </w:pPr>
      <w:r>
        <w:rPr>
          <w:rStyle w:val="FootnoteReference"/>
        </w:rPr>
        <w:footnoteRef/>
      </w:r>
      <w:r>
        <w:t xml:space="preserve"> NTIA </w:t>
      </w:r>
      <w:r w:rsidRPr="00891B42" w:rsidR="00DF6D96">
        <w:rPr>
          <w:i/>
          <w:iCs/>
        </w:rPr>
        <w:t>Ex Parte</w:t>
      </w:r>
      <w:r>
        <w:t xml:space="preserve"> at 2-4.</w:t>
      </w:r>
    </w:p>
  </w:footnote>
  <w:footnote w:id="25">
    <w:p w:rsidR="00C227A8" w:rsidP="00C227A8" w14:paraId="082812DF" w14:textId="77777777">
      <w:pPr>
        <w:pStyle w:val="FootnoteText"/>
      </w:pPr>
      <w:r>
        <w:rPr>
          <w:rStyle w:val="FootnoteReference"/>
        </w:rPr>
        <w:footnoteRef/>
      </w:r>
      <w:r>
        <w:t xml:space="preserve"> Double Perfect Comments at 1; Pine Belt Comments at 1; RWA Reply at 1-2; T-Mobile Comments at 1; </w:t>
      </w:r>
      <w:r w:rsidRPr="008629CB">
        <w:rPr>
          <w:i/>
        </w:rPr>
        <w:t>see also</w:t>
      </w:r>
      <w:r>
        <w:t xml:space="preserve"> Letter from Steve B. Sharkey, Vice President, Government Affairs, Technology and Engineering Policy, T-Mobile, to Marlene H. Dortch, Secretary, FCC, WT Docket No. 06-150 (filed May 14, 2019) (T-Mobile </w:t>
      </w:r>
      <w:r w:rsidRPr="008629CB">
        <w:rPr>
          <w:i/>
        </w:rPr>
        <w:t>Ex Parte</w:t>
      </w:r>
      <w:r>
        <w:t>).</w:t>
      </w:r>
    </w:p>
  </w:footnote>
  <w:footnote w:id="26">
    <w:p w:rsidR="00B83644" w:rsidP="00B83644" w14:paraId="0468A2B9" w14:textId="77777777">
      <w:pPr>
        <w:pStyle w:val="FootnoteText"/>
      </w:pPr>
      <w:r>
        <w:rPr>
          <w:rStyle w:val="FootnoteReference"/>
        </w:rPr>
        <w:footnoteRef/>
      </w:r>
      <w:r>
        <w:t xml:space="preserve"> 47 CFR § 1.3.</w:t>
      </w:r>
    </w:p>
  </w:footnote>
  <w:footnote w:id="27">
    <w:p w:rsidR="00B83644" w14:paraId="3D373F0A" w14:textId="77777777">
      <w:pPr>
        <w:pStyle w:val="FootnoteText"/>
      </w:pPr>
      <w:r>
        <w:rPr>
          <w:rStyle w:val="FootnoteReference"/>
        </w:rPr>
        <w:footnoteRef/>
      </w:r>
      <w:r>
        <w:t xml:space="preserve"> </w:t>
      </w:r>
      <w:r w:rsidRPr="00B83644">
        <w:rPr>
          <w:i/>
          <w:iCs/>
        </w:rPr>
        <w:t xml:space="preserve">See, e.g., WAIT Radio v. FCC, </w:t>
      </w:r>
      <w:r w:rsidR="00114F7B">
        <w:rPr>
          <w:i/>
          <w:iCs/>
        </w:rPr>
        <w:t>418</w:t>
      </w:r>
      <w:r w:rsidRPr="00B83644">
        <w:t xml:space="preserve"> F.2d 1153, 1157 (D.C. Cir. 1969) (</w:t>
      </w:r>
      <w:r w:rsidRPr="00B83644">
        <w:rPr>
          <w:i/>
          <w:iCs/>
        </w:rPr>
        <w:t>WAIT Radio</w:t>
      </w:r>
      <w:r w:rsidRPr="00B83644">
        <w:t xml:space="preserve">) (holding that the FCC may exercise its discretion to waive a rule where particular facts would make strict compliance inconsistent with the public interest), </w:t>
      </w:r>
      <w:r w:rsidRPr="00B83644">
        <w:rPr>
          <w:i/>
          <w:iCs/>
        </w:rPr>
        <w:t xml:space="preserve">aff’d, </w:t>
      </w:r>
      <w:r w:rsidRPr="00B83644">
        <w:t xml:space="preserve">459 F.2d 1203 (1973), </w:t>
      </w:r>
      <w:r w:rsidRPr="00B83644">
        <w:rPr>
          <w:i/>
          <w:iCs/>
        </w:rPr>
        <w:t xml:space="preserve">cert. denied, </w:t>
      </w:r>
      <w:r w:rsidRPr="00B83644">
        <w:t xml:space="preserve">409 U.S. 1027 (1972); </w:t>
      </w:r>
      <w:r w:rsidRPr="00B83644">
        <w:rPr>
          <w:i/>
          <w:iCs/>
        </w:rPr>
        <w:t>Northeast Cellular Tel. Co. v.FCC</w:t>
      </w:r>
      <w:r w:rsidRPr="00B83644">
        <w:t>, 897 F.2d 1164 (D.C. Cir. 1990) (holding that waiver of the Commission’s rules may be granted in instances where the particular facts make strict compliance inconsistent with the public interest if applied to the petitioner and when the relief requested would not undermine the policy objective of the rule in question).</w:t>
      </w:r>
    </w:p>
  </w:footnote>
  <w:footnote w:id="28">
    <w:p w:rsidR="003F0A28" w14:paraId="0B7A4671" w14:textId="77777777">
      <w:pPr>
        <w:pStyle w:val="FootnoteText"/>
      </w:pPr>
      <w:r>
        <w:rPr>
          <w:rStyle w:val="FootnoteReference"/>
        </w:rPr>
        <w:footnoteRef/>
      </w:r>
      <w:r>
        <w:t xml:space="preserve"> Public Knowledge Comments at 2, 7.</w:t>
      </w:r>
    </w:p>
  </w:footnote>
  <w:footnote w:id="29">
    <w:p w:rsidR="002E6B58" w:rsidP="002E6B58" w14:paraId="6CED0E6D" w14:textId="77777777">
      <w:pPr>
        <w:pStyle w:val="FootnoteText"/>
      </w:pPr>
      <w:r>
        <w:rPr>
          <w:rStyle w:val="FootnoteReference"/>
        </w:rPr>
        <w:footnoteRef/>
      </w:r>
      <w:r>
        <w:t xml:space="preserve"> </w:t>
      </w:r>
      <w:r w:rsidR="00C24F2F">
        <w:t>Petition</w:t>
      </w:r>
      <w:r>
        <w:t xml:space="preserve"> at 9.</w:t>
      </w:r>
    </w:p>
  </w:footnote>
  <w:footnote w:id="30">
    <w:p w:rsidR="002E6B58" w:rsidP="002E6B58" w14:paraId="5D4F6056" w14:textId="77777777">
      <w:pPr>
        <w:pStyle w:val="FootnoteText"/>
      </w:pPr>
      <w:r>
        <w:rPr>
          <w:rStyle w:val="FootnoteReference"/>
        </w:rPr>
        <w:footnoteRef/>
      </w:r>
      <w:r>
        <w:t xml:space="preserve"> </w:t>
      </w:r>
      <w:r w:rsidRPr="00806968">
        <w:rPr>
          <w:i/>
        </w:rPr>
        <w:t>Id</w:t>
      </w:r>
      <w:r>
        <w:t>.</w:t>
      </w:r>
    </w:p>
  </w:footnote>
  <w:footnote w:id="31">
    <w:p w:rsidR="002E6B58" w:rsidP="002E6B58" w14:paraId="492F9D15" w14:textId="77777777">
      <w:pPr>
        <w:pStyle w:val="FootnoteText"/>
      </w:pPr>
      <w:r>
        <w:rPr>
          <w:rStyle w:val="FootnoteReference"/>
        </w:rPr>
        <w:footnoteRef/>
      </w:r>
      <w:r>
        <w:t xml:space="preserve"> </w:t>
      </w:r>
      <w:r w:rsidRPr="002A0829">
        <w:rPr>
          <w:i/>
        </w:rPr>
        <w:t>Id.</w:t>
      </w:r>
    </w:p>
  </w:footnote>
  <w:footnote w:id="32">
    <w:p w:rsidR="002E6B58" w:rsidP="002E6B58" w14:paraId="42AA004D" w14:textId="77777777">
      <w:pPr>
        <w:pStyle w:val="FootnoteText"/>
      </w:pPr>
      <w:r>
        <w:rPr>
          <w:rStyle w:val="FootnoteReference"/>
        </w:rPr>
        <w:footnoteRef/>
      </w:r>
      <w:r>
        <w:t xml:space="preserve"> Appalachian Wireless Comments at 2, 4.</w:t>
      </w:r>
    </w:p>
  </w:footnote>
  <w:footnote w:id="33">
    <w:p w:rsidR="007278BA" w14:paraId="0EDA635E" w14:textId="77777777">
      <w:pPr>
        <w:pStyle w:val="FootnoteText"/>
      </w:pPr>
      <w:r>
        <w:rPr>
          <w:rStyle w:val="FootnoteReference"/>
        </w:rPr>
        <w:footnoteRef/>
      </w:r>
      <w:r>
        <w:t xml:space="preserve"> </w:t>
      </w:r>
      <w:r w:rsidRPr="00DF2C07" w:rsidR="00DF2C07">
        <w:rPr>
          <w:i/>
        </w:rPr>
        <w:t>See</w:t>
      </w:r>
      <w:r w:rsidR="00DF2C07">
        <w:t xml:space="preserve"> </w:t>
      </w:r>
      <w:r w:rsidRPr="00AD7F12">
        <w:rPr>
          <w:i/>
        </w:rPr>
        <w:t>700 MHz Second Report and Order</w:t>
      </w:r>
      <w:r>
        <w:t>, 22 FCC Rcd at 15362, paras. 198, 203</w:t>
      </w:r>
      <w:r w:rsidR="007C6278">
        <w:t xml:space="preserve">; </w:t>
      </w:r>
      <w:r w:rsidRPr="007C6278" w:rsidR="007C6278">
        <w:rPr>
          <w:i/>
        </w:rPr>
        <w:t>see also</w:t>
      </w:r>
      <w:r w:rsidR="007C6278">
        <w:t xml:space="preserve"> </w:t>
      </w:r>
      <w:r w:rsidR="00391D53">
        <w:t xml:space="preserve">Pine Belt Comments at 4, 5-6; </w:t>
      </w:r>
      <w:r w:rsidR="007C6278">
        <w:t>Public Knowledge Comments at 4</w:t>
      </w:r>
      <w:r>
        <w:t>.</w:t>
      </w:r>
    </w:p>
  </w:footnote>
  <w:footnote w:id="34">
    <w:p w:rsidR="00CD15C5" w:rsidRPr="00E851D1" w:rsidP="00CD15C5" w14:paraId="6B22B502" w14:textId="77777777">
      <w:pPr>
        <w:pStyle w:val="FootnoteText"/>
      </w:pPr>
      <w:r>
        <w:rPr>
          <w:rStyle w:val="FootnoteReference"/>
        </w:rPr>
        <w:footnoteRef/>
      </w:r>
      <w:r>
        <w:t xml:space="preserve"> </w:t>
      </w:r>
      <w:r w:rsidR="00E851D1">
        <w:t>Petition at 4</w:t>
      </w:r>
      <w:r w:rsidR="001D1EFC">
        <w:t>, 15</w:t>
      </w:r>
      <w:r w:rsidR="00E851D1">
        <w:t>.</w:t>
      </w:r>
    </w:p>
  </w:footnote>
  <w:footnote w:id="35">
    <w:p w:rsidR="00CD15C5" w:rsidP="00CD15C5" w14:paraId="2D86FFD8" w14:textId="77777777">
      <w:pPr>
        <w:pStyle w:val="FootnoteText"/>
      </w:pPr>
      <w:r>
        <w:rPr>
          <w:rStyle w:val="FootnoteReference"/>
        </w:rPr>
        <w:footnoteRef/>
      </w:r>
      <w:r>
        <w:t xml:space="preserve"> </w:t>
      </w:r>
      <w:r w:rsidRPr="005F43FB">
        <w:rPr>
          <w:i/>
        </w:rPr>
        <w:t>Id</w:t>
      </w:r>
      <w:r>
        <w:t>.</w:t>
      </w:r>
    </w:p>
  </w:footnote>
  <w:footnote w:id="36">
    <w:p w:rsidR="009A477E" w14:paraId="2F11CD86" w14:textId="77777777">
      <w:pPr>
        <w:pStyle w:val="FootnoteText"/>
      </w:pPr>
      <w:r>
        <w:rPr>
          <w:rStyle w:val="FootnoteReference"/>
        </w:rPr>
        <w:footnoteRef/>
      </w:r>
      <w:r>
        <w:t xml:space="preserve"> </w:t>
      </w:r>
      <w:r w:rsidRPr="009A477E">
        <w:t>RWA Comments at 5-6.</w:t>
      </w:r>
    </w:p>
  </w:footnote>
  <w:footnote w:id="37">
    <w:p w:rsidR="009A477E" w14:paraId="59064F2A" w14:textId="77777777">
      <w:pPr>
        <w:pStyle w:val="FootnoteText"/>
      </w:pPr>
      <w:r>
        <w:rPr>
          <w:rStyle w:val="FootnoteReference"/>
        </w:rPr>
        <w:footnoteRef/>
      </w:r>
      <w:r>
        <w:t xml:space="preserve"> </w:t>
      </w:r>
      <w:r w:rsidRPr="009A477E">
        <w:t>Double Perfect Comments at 1-3; RWA Comments at 5-6.</w:t>
      </w:r>
    </w:p>
  </w:footnote>
  <w:footnote w:id="38">
    <w:p w:rsidR="007977E2" w:rsidP="007977E2" w14:paraId="6217F504" w14:textId="77777777">
      <w:pPr>
        <w:pStyle w:val="FootnoteText"/>
      </w:pPr>
      <w:r>
        <w:rPr>
          <w:rStyle w:val="FootnoteReference"/>
        </w:rPr>
        <w:footnoteRef/>
      </w:r>
      <w:r>
        <w:t xml:space="preserve"> T-Mobile Comments at 4-5; </w:t>
      </w:r>
      <w:r w:rsidRPr="007278BA">
        <w:rPr>
          <w:i/>
        </w:rPr>
        <w:t>see also</w:t>
      </w:r>
      <w:r>
        <w:t xml:space="preserve"> Double Perfect Reply at 6; </w:t>
      </w:r>
      <w:r w:rsidRPr="00420381">
        <w:rPr>
          <w:i/>
          <w:iCs/>
        </w:rPr>
        <w:t>Verilink Corporation’s Petition for Rulemaking to Amend the</w:t>
      </w:r>
      <w:r>
        <w:rPr>
          <w:i/>
          <w:iCs/>
        </w:rPr>
        <w:t xml:space="preserve"> </w:t>
      </w:r>
      <w:r w:rsidRPr="00420381">
        <w:rPr>
          <w:i/>
          <w:iCs/>
        </w:rPr>
        <w:t>Commission’s Part 68 Rules to Authorize Regulated Carriers to Provide Certain Line Build Out</w:t>
      </w:r>
      <w:r>
        <w:rPr>
          <w:i/>
          <w:iCs/>
        </w:rPr>
        <w:t xml:space="preserve"> </w:t>
      </w:r>
      <w:r w:rsidRPr="00420381">
        <w:rPr>
          <w:i/>
          <w:iCs/>
        </w:rPr>
        <w:t>Functionality as a Part of Regulated Network Equipment on Customer Premises</w:t>
      </w:r>
      <w:r w:rsidRPr="00420381">
        <w:t xml:space="preserve">, </w:t>
      </w:r>
      <w:r w:rsidR="00E17A35">
        <w:t xml:space="preserve">RM-8158, </w:t>
      </w:r>
      <w:r w:rsidR="00F61369">
        <w:t xml:space="preserve">Memorandum Opinion and Order, </w:t>
      </w:r>
      <w:r w:rsidRPr="00420381">
        <w:t>10 FCC Rcd 8914</w:t>
      </w:r>
      <w:r>
        <w:t>, 8916,</w:t>
      </w:r>
      <w:r w:rsidRPr="00420381">
        <w:t xml:space="preserve"> </w:t>
      </w:r>
      <w:r>
        <w:t>para.</w:t>
      </w:r>
      <w:r w:rsidRPr="00420381">
        <w:t xml:space="preserve"> 6</w:t>
      </w:r>
      <w:r>
        <w:rPr>
          <w:i/>
          <w:iCs/>
        </w:rPr>
        <w:t xml:space="preserve"> </w:t>
      </w:r>
      <w:r w:rsidRPr="00420381">
        <w:t>(</w:t>
      </w:r>
      <w:r w:rsidR="00620535">
        <w:t>CC</w:t>
      </w:r>
      <w:r w:rsidR="00F61369">
        <w:t xml:space="preserve">B </w:t>
      </w:r>
      <w:r w:rsidRPr="00420381">
        <w:t>199</w:t>
      </w:r>
      <w:r w:rsidR="00F61369">
        <w:t>5</w:t>
      </w:r>
      <w:r w:rsidRPr="00420381">
        <w:t>) (noting that the waiver process should not be used to “effectively circumvent the Commission’s</w:t>
      </w:r>
      <w:r>
        <w:t xml:space="preserve"> </w:t>
      </w:r>
      <w:r w:rsidRPr="00420381">
        <w:t>rulemaking function”)</w:t>
      </w:r>
      <w:r>
        <w:t>.</w:t>
      </w:r>
    </w:p>
  </w:footnote>
  <w:footnote w:id="39">
    <w:p w:rsidR="00373ACA" w:rsidP="00373ACA" w14:paraId="4C1F96D5" w14:textId="77777777">
      <w:pPr>
        <w:pStyle w:val="FootnoteText"/>
      </w:pPr>
      <w:r>
        <w:rPr>
          <w:rStyle w:val="FootnoteReference"/>
        </w:rPr>
        <w:footnoteRef/>
      </w:r>
      <w:r>
        <w:t xml:space="preserve"> Pine Belt Comments at 5-7 (unlocking rule allows consumers to purchase the latest handsets from Verizon and then immediately switch to a small, rural carrier that has better service where they live than Verizon); RWA Reply at </w:t>
      </w:r>
      <w:r w:rsidR="0088069B">
        <w:t>7</w:t>
      </w:r>
      <w:r>
        <w:t xml:space="preserve"> (rural consumers wa</w:t>
      </w:r>
      <w:r w:rsidR="00DE48D7">
        <w:t>n</w:t>
      </w:r>
      <w:r>
        <w:t>t to buy the newest handsets but use them on a rural carrier’s network).</w:t>
      </w:r>
    </w:p>
  </w:footnote>
  <w:footnote w:id="40">
    <w:p w:rsidR="00E851D1" w14:paraId="72EA574C" w14:textId="77777777">
      <w:pPr>
        <w:pStyle w:val="FootnoteText"/>
      </w:pPr>
      <w:r>
        <w:rPr>
          <w:rStyle w:val="FootnoteReference"/>
        </w:rPr>
        <w:footnoteRef/>
      </w:r>
      <w:r>
        <w:t xml:space="preserve"> Petition at 4.</w:t>
      </w:r>
    </w:p>
  </w:footnote>
  <w:footnote w:id="41">
    <w:p w:rsidR="0018438D" w:rsidP="0018438D" w14:paraId="2323EA5C" w14:textId="77777777">
      <w:pPr>
        <w:pStyle w:val="FootnoteText"/>
      </w:pPr>
      <w:r>
        <w:rPr>
          <w:rStyle w:val="FootnoteReference"/>
        </w:rPr>
        <w:footnoteRef/>
      </w:r>
      <w:r>
        <w:t xml:space="preserve"> </w:t>
      </w:r>
      <w:r w:rsidRPr="005855A5">
        <w:rPr>
          <w:i/>
        </w:rPr>
        <w:t>Id</w:t>
      </w:r>
      <w:r>
        <w:t>. at 5.</w:t>
      </w:r>
    </w:p>
  </w:footnote>
  <w:footnote w:id="42">
    <w:p w:rsidR="00416F20" w14:paraId="33E286B1" w14:textId="77777777">
      <w:pPr>
        <w:pStyle w:val="FootnoteText"/>
      </w:pPr>
      <w:r>
        <w:rPr>
          <w:rStyle w:val="FootnoteReference"/>
        </w:rPr>
        <w:footnoteRef/>
      </w:r>
      <w:r>
        <w:t xml:space="preserve"> </w:t>
      </w:r>
      <w:r w:rsidRPr="005855A5">
        <w:rPr>
          <w:i/>
        </w:rPr>
        <w:t>Id</w:t>
      </w:r>
      <w:r>
        <w:t>.</w:t>
      </w:r>
      <w:r w:rsidR="005855A5">
        <w:t xml:space="preserve"> at 4-5.</w:t>
      </w:r>
    </w:p>
  </w:footnote>
  <w:footnote w:id="43">
    <w:p w:rsidR="003A4DAC" w14:paraId="145601C8" w14:textId="77777777">
      <w:pPr>
        <w:pStyle w:val="FootnoteText"/>
      </w:pPr>
      <w:r>
        <w:rPr>
          <w:rStyle w:val="FootnoteReference"/>
        </w:rPr>
        <w:footnoteRef/>
      </w:r>
      <w:r>
        <w:t xml:space="preserve"> NTIA </w:t>
      </w:r>
      <w:r w:rsidRPr="00891B42">
        <w:rPr>
          <w:i/>
        </w:rPr>
        <w:t>Ex Parte</w:t>
      </w:r>
      <w:r>
        <w:t xml:space="preserve"> at 2.</w:t>
      </w:r>
    </w:p>
  </w:footnote>
  <w:footnote w:id="44">
    <w:p w:rsidR="002E4EB9" w:rsidRPr="0055067D" w14:paraId="428F0217" w14:textId="77777777">
      <w:pPr>
        <w:pStyle w:val="FootnoteText"/>
      </w:pPr>
      <w:r>
        <w:rPr>
          <w:rStyle w:val="FootnoteReference"/>
        </w:rPr>
        <w:footnoteRef/>
      </w:r>
      <w:r>
        <w:t xml:space="preserve"> </w:t>
      </w:r>
      <w:r w:rsidRPr="00891B42" w:rsidR="005C1F2D">
        <w:rPr>
          <w:i/>
        </w:rPr>
        <w:t>Id</w:t>
      </w:r>
      <w:r w:rsidR="005C1F2D">
        <w:t xml:space="preserve">. </w:t>
      </w:r>
      <w:r w:rsidR="0055067D">
        <w:t xml:space="preserve">at </w:t>
      </w:r>
      <w:r w:rsidR="002A0678">
        <w:t>3.</w:t>
      </w:r>
    </w:p>
  </w:footnote>
  <w:footnote w:id="45">
    <w:p w:rsidR="00127438" w14:paraId="034FFB2F" w14:textId="77777777">
      <w:pPr>
        <w:pStyle w:val="FootnoteText"/>
      </w:pPr>
      <w:r>
        <w:rPr>
          <w:rStyle w:val="FootnoteReference"/>
        </w:rPr>
        <w:footnoteRef/>
      </w:r>
      <w:r>
        <w:t xml:space="preserve"> </w:t>
      </w:r>
      <w:r w:rsidR="00D11408">
        <w:t xml:space="preserve">Letter from William H. Johnson, Senior Vice President, Federal Regulatory and Legal Affairs, Verizon, to Marlene H. Dortch, Secretary, FCC, WT Docket No. 06-150, at </w:t>
      </w:r>
      <w:r w:rsidR="00AB6302">
        <w:t>2-3</w:t>
      </w:r>
      <w:r w:rsidR="00D11408">
        <w:t xml:space="preserve"> (filed June 12, 2019).</w:t>
      </w:r>
    </w:p>
  </w:footnote>
  <w:footnote w:id="46">
    <w:p w:rsidR="005515A9" w14:paraId="2E63F0D9" w14:textId="77777777">
      <w:pPr>
        <w:pStyle w:val="FootnoteText"/>
      </w:pPr>
      <w:r>
        <w:rPr>
          <w:rStyle w:val="FootnoteReference"/>
        </w:rPr>
        <w:footnoteRef/>
      </w:r>
      <w:r>
        <w:t xml:space="preserve"> </w:t>
      </w:r>
      <w:r w:rsidRPr="00891B42" w:rsidR="00D11408">
        <w:rPr>
          <w:i/>
        </w:rPr>
        <w:t>Id</w:t>
      </w:r>
      <w:r w:rsidR="00D11408">
        <w:t>.</w:t>
      </w:r>
      <w:r w:rsidR="00AC6C78">
        <w:t xml:space="preserve"> at 4.</w:t>
      </w:r>
    </w:p>
  </w:footnote>
  <w:footnote w:id="47">
    <w:p w:rsidR="002E4EB9" w14:paraId="4B1B8635" w14:textId="77777777">
      <w:pPr>
        <w:pStyle w:val="FootnoteText"/>
      </w:pPr>
      <w:r>
        <w:rPr>
          <w:rStyle w:val="FootnoteReference"/>
        </w:rPr>
        <w:footnoteRef/>
      </w:r>
      <w:r>
        <w:t xml:space="preserve"> </w:t>
      </w:r>
      <w:r w:rsidRPr="00891B42" w:rsidR="00977687">
        <w:rPr>
          <w:i/>
        </w:rPr>
        <w:t>Id</w:t>
      </w:r>
      <w:r w:rsidR="0097768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7E4B" w:rsidP="00810B6F" w14:paraId="21A7D436" w14:textId="6BA2D74D">
    <w:pPr>
      <w:pStyle w:val="Header"/>
      <w:rPr>
        <w:b w:val="0"/>
      </w:rPr>
    </w:pPr>
    <w:r>
      <w:tab/>
      <w:t>Federal Communications Commission</w:t>
    </w:r>
    <w:r>
      <w:tab/>
    </w:r>
    <w:r w:rsidR="00124FB1">
      <w:t>DA 19-</w:t>
    </w:r>
    <w:r w:rsidR="005B3AD9">
      <w:t>593</w:t>
    </w:r>
  </w:p>
  <w:p w:rsidR="00A57E4B" w14:paraId="3E84E7E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A57E4B" w14:paraId="0BC1129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7E4B" w:rsidP="00810B6F" w14:paraId="7D2714C1" w14:textId="0AB24230">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sidR="00352C73">
      <w:rPr>
        <w:spacing w:val="-2"/>
      </w:rPr>
      <w:t>DA</w:t>
    </w:r>
    <w:r>
      <w:rPr>
        <w:spacing w:val="-2"/>
      </w:rPr>
      <w:t xml:space="preserve"> 19-</w:t>
    </w:r>
    <w:r w:rsidR="005B3AD9">
      <w:rPr>
        <w:spacing w:val="-2"/>
      </w:rPr>
      <w:t>593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7B682A"/>
    <w:multiLevelType w:val="hybridMultilevel"/>
    <w:tmpl w:val="B8C041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32DBB"/>
    <w:multiLevelType w:val="hybridMultilevel"/>
    <w:tmpl w:val="141E14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5"/>
  </w:num>
  <w:num w:numId="5">
    <w:abstractNumId w:val="3"/>
  </w:num>
  <w:num w:numId="6">
    <w:abstractNumId w:val="1"/>
  </w:num>
  <w:num w:numId="7">
    <w:abstractNumId w:val="4"/>
  </w:num>
  <w:num w:numId="8">
    <w:abstractNumId w:val="4"/>
  </w:num>
  <w:num w:numId="9">
    <w:abstractNumId w:val="7"/>
    <w:lvlOverride w:ilvl="0">
      <w:startOverride w:val="1"/>
    </w:lvlOverride>
  </w:num>
  <w:num w:numId="10">
    <w:abstractNumId w:val="7"/>
    <w:lvlOverride w:ilvl="0">
      <w:startOverride w:val="1"/>
    </w:lvlOverride>
  </w:num>
  <w:num w:numId="11">
    <w:abstractNumId w:val="0"/>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lvlOverride w:ilvl="0">
      <w:startOverride w:val="1"/>
    </w:lvlOverride>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7"/>
  </w:num>
  <w:num w:numId="47">
    <w:abstractNumId w:val="7"/>
  </w:num>
  <w:num w:numId="48">
    <w:abstractNumId w:val="7"/>
  </w:num>
  <w:num w:numId="49">
    <w:abstractNumId w:val="7"/>
  </w:num>
  <w:num w:numId="50">
    <w:abstractNumId w:val="7"/>
  </w:num>
  <w:num w:numId="51">
    <w:abstractNumId w:val="7"/>
  </w:num>
  <w:num w:numId="52">
    <w:abstractNumId w:val="7"/>
  </w:num>
  <w:num w:numId="53">
    <w:abstractNumId w:val="7"/>
  </w:num>
  <w:num w:numId="54">
    <w:abstractNumId w:val="7"/>
  </w:num>
  <w:num w:numId="55">
    <w:abstractNumId w:val="7"/>
  </w:num>
  <w:num w:numId="56">
    <w:abstractNumId w:val="7"/>
  </w:num>
  <w:num w:numId="57">
    <w:abstractNumId w:val="7"/>
  </w:num>
  <w:num w:numId="58">
    <w:abstractNumId w:val="7"/>
  </w:num>
  <w:num w:numId="59">
    <w:abstractNumId w:val="7"/>
  </w:num>
  <w:num w:numId="60">
    <w:abstractNumId w:val="7"/>
  </w:num>
  <w:num w:numId="61">
    <w:abstractNumId w:val="7"/>
  </w:num>
  <w:num w:numId="62">
    <w:abstractNumId w:val="7"/>
  </w:num>
  <w:num w:numId="63">
    <w:abstractNumId w:val="7"/>
  </w:num>
  <w:num w:numId="64">
    <w:abstractNumId w:val="7"/>
  </w:num>
  <w:num w:numId="65">
    <w:abstractNumId w:val="7"/>
  </w:num>
  <w:num w:numId="66">
    <w:abstractNumId w:val="7"/>
  </w:num>
  <w:num w:numId="67">
    <w:abstractNumId w:val="7"/>
  </w:num>
  <w:num w:numId="68">
    <w:abstractNumId w:val="7"/>
  </w:num>
  <w:num w:numId="69">
    <w:abstractNumId w:val="7"/>
  </w:num>
  <w:num w:numId="70">
    <w:abstractNumId w:val="6"/>
  </w:num>
  <w:num w:numId="71">
    <w:abstractNumId w:val="7"/>
    <w:lvlOverride w:ilvl="0">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1E4"/>
    <w:rsid w:val="0000369F"/>
    <w:rsid w:val="00010BCB"/>
    <w:rsid w:val="0001249B"/>
    <w:rsid w:val="00013794"/>
    <w:rsid w:val="00014C64"/>
    <w:rsid w:val="0001787E"/>
    <w:rsid w:val="0002089F"/>
    <w:rsid w:val="000244DF"/>
    <w:rsid w:val="000251D9"/>
    <w:rsid w:val="00033B43"/>
    <w:rsid w:val="00036039"/>
    <w:rsid w:val="00037F90"/>
    <w:rsid w:val="0004056F"/>
    <w:rsid w:val="00044E72"/>
    <w:rsid w:val="000466D1"/>
    <w:rsid w:val="00052C96"/>
    <w:rsid w:val="00054287"/>
    <w:rsid w:val="000565F5"/>
    <w:rsid w:val="000568C1"/>
    <w:rsid w:val="00060E8B"/>
    <w:rsid w:val="00067B2F"/>
    <w:rsid w:val="0007279B"/>
    <w:rsid w:val="00075C41"/>
    <w:rsid w:val="000821C3"/>
    <w:rsid w:val="00083B16"/>
    <w:rsid w:val="000856B1"/>
    <w:rsid w:val="0008595C"/>
    <w:rsid w:val="00085F78"/>
    <w:rsid w:val="00086555"/>
    <w:rsid w:val="000875BF"/>
    <w:rsid w:val="00091C5E"/>
    <w:rsid w:val="00096D8C"/>
    <w:rsid w:val="000A0A51"/>
    <w:rsid w:val="000A1C12"/>
    <w:rsid w:val="000A7218"/>
    <w:rsid w:val="000B5A66"/>
    <w:rsid w:val="000B68F2"/>
    <w:rsid w:val="000B6A82"/>
    <w:rsid w:val="000C0B65"/>
    <w:rsid w:val="000C1E23"/>
    <w:rsid w:val="000C2528"/>
    <w:rsid w:val="000C64F4"/>
    <w:rsid w:val="000D1BBA"/>
    <w:rsid w:val="000E05FE"/>
    <w:rsid w:val="000E1327"/>
    <w:rsid w:val="000E3D42"/>
    <w:rsid w:val="000F00FE"/>
    <w:rsid w:val="000F0798"/>
    <w:rsid w:val="000F3D5C"/>
    <w:rsid w:val="00101670"/>
    <w:rsid w:val="00113E18"/>
    <w:rsid w:val="00114F7B"/>
    <w:rsid w:val="00116031"/>
    <w:rsid w:val="001175BE"/>
    <w:rsid w:val="00122BD5"/>
    <w:rsid w:val="00124FB1"/>
    <w:rsid w:val="00127438"/>
    <w:rsid w:val="00130C6F"/>
    <w:rsid w:val="001330ED"/>
    <w:rsid w:val="00133F79"/>
    <w:rsid w:val="00135143"/>
    <w:rsid w:val="0014105B"/>
    <w:rsid w:val="001433D5"/>
    <w:rsid w:val="0014445A"/>
    <w:rsid w:val="00144F53"/>
    <w:rsid w:val="001463E8"/>
    <w:rsid w:val="0014695F"/>
    <w:rsid w:val="00151AC0"/>
    <w:rsid w:val="00153233"/>
    <w:rsid w:val="00153A1D"/>
    <w:rsid w:val="00154C29"/>
    <w:rsid w:val="00154EB6"/>
    <w:rsid w:val="00156B18"/>
    <w:rsid w:val="00157656"/>
    <w:rsid w:val="00160A20"/>
    <w:rsid w:val="00162464"/>
    <w:rsid w:val="00163269"/>
    <w:rsid w:val="0016458C"/>
    <w:rsid w:val="001708F1"/>
    <w:rsid w:val="00170A1E"/>
    <w:rsid w:val="001710D7"/>
    <w:rsid w:val="001720BD"/>
    <w:rsid w:val="0017329F"/>
    <w:rsid w:val="00173847"/>
    <w:rsid w:val="00173B34"/>
    <w:rsid w:val="001745D6"/>
    <w:rsid w:val="00177F0C"/>
    <w:rsid w:val="00180283"/>
    <w:rsid w:val="00180CE5"/>
    <w:rsid w:val="001817F9"/>
    <w:rsid w:val="0018438D"/>
    <w:rsid w:val="00184510"/>
    <w:rsid w:val="0018489F"/>
    <w:rsid w:val="00186479"/>
    <w:rsid w:val="00186F0F"/>
    <w:rsid w:val="00194A66"/>
    <w:rsid w:val="00196525"/>
    <w:rsid w:val="00197F9D"/>
    <w:rsid w:val="001A0FBD"/>
    <w:rsid w:val="001A4F55"/>
    <w:rsid w:val="001A745D"/>
    <w:rsid w:val="001A779E"/>
    <w:rsid w:val="001B1B26"/>
    <w:rsid w:val="001B26AF"/>
    <w:rsid w:val="001B4015"/>
    <w:rsid w:val="001C34E7"/>
    <w:rsid w:val="001D1EFC"/>
    <w:rsid w:val="001D6BCF"/>
    <w:rsid w:val="001E01CA"/>
    <w:rsid w:val="001E2F01"/>
    <w:rsid w:val="001F292D"/>
    <w:rsid w:val="001F2F20"/>
    <w:rsid w:val="00200533"/>
    <w:rsid w:val="00203A69"/>
    <w:rsid w:val="00204A9E"/>
    <w:rsid w:val="002052B4"/>
    <w:rsid w:val="0021321D"/>
    <w:rsid w:val="00215BEF"/>
    <w:rsid w:val="00217876"/>
    <w:rsid w:val="002207EA"/>
    <w:rsid w:val="002226CE"/>
    <w:rsid w:val="00222C65"/>
    <w:rsid w:val="002279C1"/>
    <w:rsid w:val="002339A6"/>
    <w:rsid w:val="00236511"/>
    <w:rsid w:val="00241565"/>
    <w:rsid w:val="00246187"/>
    <w:rsid w:val="002525CD"/>
    <w:rsid w:val="00254F26"/>
    <w:rsid w:val="00263CA3"/>
    <w:rsid w:val="00275CF5"/>
    <w:rsid w:val="00277829"/>
    <w:rsid w:val="00282CF4"/>
    <w:rsid w:val="0028301F"/>
    <w:rsid w:val="00285017"/>
    <w:rsid w:val="0029567C"/>
    <w:rsid w:val="002A0678"/>
    <w:rsid w:val="002A0829"/>
    <w:rsid w:val="002A2D2E"/>
    <w:rsid w:val="002A3BF2"/>
    <w:rsid w:val="002A53D4"/>
    <w:rsid w:val="002A57BD"/>
    <w:rsid w:val="002B3607"/>
    <w:rsid w:val="002B4C26"/>
    <w:rsid w:val="002B5A36"/>
    <w:rsid w:val="002C00E8"/>
    <w:rsid w:val="002C6286"/>
    <w:rsid w:val="002D33F2"/>
    <w:rsid w:val="002D3B44"/>
    <w:rsid w:val="002E2C64"/>
    <w:rsid w:val="002E3A00"/>
    <w:rsid w:val="002E4EB5"/>
    <w:rsid w:val="002E4EB9"/>
    <w:rsid w:val="002E5381"/>
    <w:rsid w:val="002E6B58"/>
    <w:rsid w:val="002F0C27"/>
    <w:rsid w:val="002F2768"/>
    <w:rsid w:val="002F2C84"/>
    <w:rsid w:val="0030252E"/>
    <w:rsid w:val="00307E71"/>
    <w:rsid w:val="00310DEB"/>
    <w:rsid w:val="00312CF4"/>
    <w:rsid w:val="003145C3"/>
    <w:rsid w:val="00317616"/>
    <w:rsid w:val="00317F70"/>
    <w:rsid w:val="00320339"/>
    <w:rsid w:val="00320C55"/>
    <w:rsid w:val="0032126D"/>
    <w:rsid w:val="0032174F"/>
    <w:rsid w:val="0032471E"/>
    <w:rsid w:val="0032493D"/>
    <w:rsid w:val="003279C7"/>
    <w:rsid w:val="00331C31"/>
    <w:rsid w:val="0033538B"/>
    <w:rsid w:val="00337258"/>
    <w:rsid w:val="003411D9"/>
    <w:rsid w:val="00343531"/>
    <w:rsid w:val="00343749"/>
    <w:rsid w:val="00343902"/>
    <w:rsid w:val="00343B96"/>
    <w:rsid w:val="003444D8"/>
    <w:rsid w:val="00344CC9"/>
    <w:rsid w:val="0035106B"/>
    <w:rsid w:val="003510A3"/>
    <w:rsid w:val="00352C73"/>
    <w:rsid w:val="00357B96"/>
    <w:rsid w:val="00361B89"/>
    <w:rsid w:val="003631BB"/>
    <w:rsid w:val="00365EC7"/>
    <w:rsid w:val="003660ED"/>
    <w:rsid w:val="003705FD"/>
    <w:rsid w:val="00373298"/>
    <w:rsid w:val="00373ACA"/>
    <w:rsid w:val="00373F20"/>
    <w:rsid w:val="003801AF"/>
    <w:rsid w:val="00384AD4"/>
    <w:rsid w:val="00391D53"/>
    <w:rsid w:val="003A0553"/>
    <w:rsid w:val="003A11B7"/>
    <w:rsid w:val="003A2DDB"/>
    <w:rsid w:val="003A4DAC"/>
    <w:rsid w:val="003B0550"/>
    <w:rsid w:val="003B3002"/>
    <w:rsid w:val="003B694F"/>
    <w:rsid w:val="003C2EBC"/>
    <w:rsid w:val="003C7CA2"/>
    <w:rsid w:val="003D3D8B"/>
    <w:rsid w:val="003D42C5"/>
    <w:rsid w:val="003D6F72"/>
    <w:rsid w:val="003E3EA1"/>
    <w:rsid w:val="003E584E"/>
    <w:rsid w:val="003F0A28"/>
    <w:rsid w:val="003F171C"/>
    <w:rsid w:val="003F182B"/>
    <w:rsid w:val="00403326"/>
    <w:rsid w:val="004075E8"/>
    <w:rsid w:val="004078AC"/>
    <w:rsid w:val="00407A18"/>
    <w:rsid w:val="004100DA"/>
    <w:rsid w:val="00410932"/>
    <w:rsid w:val="00412FC5"/>
    <w:rsid w:val="00413F16"/>
    <w:rsid w:val="00416849"/>
    <w:rsid w:val="00416CBB"/>
    <w:rsid w:val="00416F20"/>
    <w:rsid w:val="00420381"/>
    <w:rsid w:val="00422247"/>
    <w:rsid w:val="00422276"/>
    <w:rsid w:val="004242F1"/>
    <w:rsid w:val="00424D3B"/>
    <w:rsid w:val="0042595B"/>
    <w:rsid w:val="00425A3A"/>
    <w:rsid w:val="0042739F"/>
    <w:rsid w:val="0043125A"/>
    <w:rsid w:val="00433F5E"/>
    <w:rsid w:val="00435A94"/>
    <w:rsid w:val="00436988"/>
    <w:rsid w:val="00440D7F"/>
    <w:rsid w:val="00445A00"/>
    <w:rsid w:val="00445EFD"/>
    <w:rsid w:val="004504D8"/>
    <w:rsid w:val="00451B0F"/>
    <w:rsid w:val="004534A2"/>
    <w:rsid w:val="00455BF3"/>
    <w:rsid w:val="004634FE"/>
    <w:rsid w:val="00464A36"/>
    <w:rsid w:val="00466AF0"/>
    <w:rsid w:val="004715E8"/>
    <w:rsid w:val="00481860"/>
    <w:rsid w:val="00485784"/>
    <w:rsid w:val="00485910"/>
    <w:rsid w:val="00490762"/>
    <w:rsid w:val="004938A3"/>
    <w:rsid w:val="004944A2"/>
    <w:rsid w:val="004964E5"/>
    <w:rsid w:val="004A60BD"/>
    <w:rsid w:val="004B01F3"/>
    <w:rsid w:val="004B5FC0"/>
    <w:rsid w:val="004C2EE3"/>
    <w:rsid w:val="004C3C9A"/>
    <w:rsid w:val="004D1A46"/>
    <w:rsid w:val="004D279D"/>
    <w:rsid w:val="004E2E35"/>
    <w:rsid w:val="004E3F32"/>
    <w:rsid w:val="004E3FBE"/>
    <w:rsid w:val="004E4A22"/>
    <w:rsid w:val="004E7B03"/>
    <w:rsid w:val="004F1210"/>
    <w:rsid w:val="004F213B"/>
    <w:rsid w:val="004F3D4D"/>
    <w:rsid w:val="00500426"/>
    <w:rsid w:val="005023D0"/>
    <w:rsid w:val="005064AB"/>
    <w:rsid w:val="00506C92"/>
    <w:rsid w:val="00507BEC"/>
    <w:rsid w:val="00511968"/>
    <w:rsid w:val="00512C4C"/>
    <w:rsid w:val="0051509A"/>
    <w:rsid w:val="005177CD"/>
    <w:rsid w:val="00521F95"/>
    <w:rsid w:val="005424DA"/>
    <w:rsid w:val="00544393"/>
    <w:rsid w:val="0054464F"/>
    <w:rsid w:val="00546100"/>
    <w:rsid w:val="00547261"/>
    <w:rsid w:val="0055038E"/>
    <w:rsid w:val="0055067D"/>
    <w:rsid w:val="005515A9"/>
    <w:rsid w:val="00555BD9"/>
    <w:rsid w:val="0055614C"/>
    <w:rsid w:val="0056136A"/>
    <w:rsid w:val="00562659"/>
    <w:rsid w:val="00563408"/>
    <w:rsid w:val="00563F65"/>
    <w:rsid w:val="00566D06"/>
    <w:rsid w:val="005713DE"/>
    <w:rsid w:val="00571E09"/>
    <w:rsid w:val="0057524F"/>
    <w:rsid w:val="00575BD0"/>
    <w:rsid w:val="005768B9"/>
    <w:rsid w:val="00580657"/>
    <w:rsid w:val="00583BF0"/>
    <w:rsid w:val="005855A5"/>
    <w:rsid w:val="00591492"/>
    <w:rsid w:val="005914D9"/>
    <w:rsid w:val="00591C73"/>
    <w:rsid w:val="005970D9"/>
    <w:rsid w:val="005A1764"/>
    <w:rsid w:val="005A3294"/>
    <w:rsid w:val="005B3808"/>
    <w:rsid w:val="005B3AD9"/>
    <w:rsid w:val="005B3DBE"/>
    <w:rsid w:val="005B6E9B"/>
    <w:rsid w:val="005C1C17"/>
    <w:rsid w:val="005C1F2D"/>
    <w:rsid w:val="005C7AF7"/>
    <w:rsid w:val="005D47CC"/>
    <w:rsid w:val="005D5A69"/>
    <w:rsid w:val="005D6710"/>
    <w:rsid w:val="005D6F2F"/>
    <w:rsid w:val="005E0D3A"/>
    <w:rsid w:val="005E14C2"/>
    <w:rsid w:val="005E1840"/>
    <w:rsid w:val="005F197D"/>
    <w:rsid w:val="005F358A"/>
    <w:rsid w:val="005F43FB"/>
    <w:rsid w:val="006012A4"/>
    <w:rsid w:val="00602D4E"/>
    <w:rsid w:val="00607BA5"/>
    <w:rsid w:val="0061002F"/>
    <w:rsid w:val="0061180A"/>
    <w:rsid w:val="0061308F"/>
    <w:rsid w:val="00614322"/>
    <w:rsid w:val="006165D9"/>
    <w:rsid w:val="00620535"/>
    <w:rsid w:val="00626EB6"/>
    <w:rsid w:val="00630F7F"/>
    <w:rsid w:val="006404E8"/>
    <w:rsid w:val="00640569"/>
    <w:rsid w:val="00643A69"/>
    <w:rsid w:val="006516AD"/>
    <w:rsid w:val="00652AB9"/>
    <w:rsid w:val="00655916"/>
    <w:rsid w:val="00655D03"/>
    <w:rsid w:val="0065666E"/>
    <w:rsid w:val="00660650"/>
    <w:rsid w:val="00660900"/>
    <w:rsid w:val="0066228C"/>
    <w:rsid w:val="00663C9D"/>
    <w:rsid w:val="00663F11"/>
    <w:rsid w:val="006674A4"/>
    <w:rsid w:val="0066762D"/>
    <w:rsid w:val="006709E6"/>
    <w:rsid w:val="00673823"/>
    <w:rsid w:val="00677138"/>
    <w:rsid w:val="006811B7"/>
    <w:rsid w:val="00683388"/>
    <w:rsid w:val="00683EB6"/>
    <w:rsid w:val="00683F84"/>
    <w:rsid w:val="00686C01"/>
    <w:rsid w:val="00692A05"/>
    <w:rsid w:val="00692DAA"/>
    <w:rsid w:val="0069469A"/>
    <w:rsid w:val="00695239"/>
    <w:rsid w:val="006A2D46"/>
    <w:rsid w:val="006A3B93"/>
    <w:rsid w:val="006A6A81"/>
    <w:rsid w:val="006B6005"/>
    <w:rsid w:val="006C3203"/>
    <w:rsid w:val="006C35CF"/>
    <w:rsid w:val="006D2E30"/>
    <w:rsid w:val="006D39A9"/>
    <w:rsid w:val="006E3A72"/>
    <w:rsid w:val="006F27EE"/>
    <w:rsid w:val="006F7393"/>
    <w:rsid w:val="0070224F"/>
    <w:rsid w:val="00702D90"/>
    <w:rsid w:val="00703D4B"/>
    <w:rsid w:val="00705C6A"/>
    <w:rsid w:val="007115F7"/>
    <w:rsid w:val="00711D85"/>
    <w:rsid w:val="00721A4E"/>
    <w:rsid w:val="00723028"/>
    <w:rsid w:val="00726ACB"/>
    <w:rsid w:val="007278BA"/>
    <w:rsid w:val="007306FD"/>
    <w:rsid w:val="00733C79"/>
    <w:rsid w:val="00740EAF"/>
    <w:rsid w:val="007470C7"/>
    <w:rsid w:val="00747F5D"/>
    <w:rsid w:val="007506F3"/>
    <w:rsid w:val="00750E49"/>
    <w:rsid w:val="00761832"/>
    <w:rsid w:val="00763CB2"/>
    <w:rsid w:val="0076579B"/>
    <w:rsid w:val="00765ED9"/>
    <w:rsid w:val="00767312"/>
    <w:rsid w:val="00767997"/>
    <w:rsid w:val="00780925"/>
    <w:rsid w:val="00785689"/>
    <w:rsid w:val="007950F0"/>
    <w:rsid w:val="00795AE6"/>
    <w:rsid w:val="00796BC8"/>
    <w:rsid w:val="0079754B"/>
    <w:rsid w:val="007977E2"/>
    <w:rsid w:val="007A067E"/>
    <w:rsid w:val="007A14B8"/>
    <w:rsid w:val="007A1E6D"/>
    <w:rsid w:val="007A4595"/>
    <w:rsid w:val="007B0EB2"/>
    <w:rsid w:val="007B130D"/>
    <w:rsid w:val="007B66F0"/>
    <w:rsid w:val="007C06E5"/>
    <w:rsid w:val="007C277C"/>
    <w:rsid w:val="007C2F82"/>
    <w:rsid w:val="007C6278"/>
    <w:rsid w:val="007C771E"/>
    <w:rsid w:val="007D3D1B"/>
    <w:rsid w:val="007D42ED"/>
    <w:rsid w:val="007E3CB4"/>
    <w:rsid w:val="0080185B"/>
    <w:rsid w:val="00806968"/>
    <w:rsid w:val="0081087C"/>
    <w:rsid w:val="00810B6F"/>
    <w:rsid w:val="008179B8"/>
    <w:rsid w:val="00821BDB"/>
    <w:rsid w:val="00822CE0"/>
    <w:rsid w:val="00830F8C"/>
    <w:rsid w:val="00833EDA"/>
    <w:rsid w:val="0083613E"/>
    <w:rsid w:val="00840463"/>
    <w:rsid w:val="00841008"/>
    <w:rsid w:val="008413F4"/>
    <w:rsid w:val="00841AB1"/>
    <w:rsid w:val="00841AEB"/>
    <w:rsid w:val="008474F0"/>
    <w:rsid w:val="00850434"/>
    <w:rsid w:val="008506B6"/>
    <w:rsid w:val="008541D7"/>
    <w:rsid w:val="008544F5"/>
    <w:rsid w:val="00856A0E"/>
    <w:rsid w:val="00861131"/>
    <w:rsid w:val="00861FC4"/>
    <w:rsid w:val="008621F7"/>
    <w:rsid w:val="008629CB"/>
    <w:rsid w:val="00866642"/>
    <w:rsid w:val="0086750A"/>
    <w:rsid w:val="00867CC1"/>
    <w:rsid w:val="0088069B"/>
    <w:rsid w:val="00881214"/>
    <w:rsid w:val="00882F2F"/>
    <w:rsid w:val="008853D5"/>
    <w:rsid w:val="00891B42"/>
    <w:rsid w:val="00892D97"/>
    <w:rsid w:val="008A1AB9"/>
    <w:rsid w:val="008A4277"/>
    <w:rsid w:val="008B2B63"/>
    <w:rsid w:val="008B5B7F"/>
    <w:rsid w:val="008C1E45"/>
    <w:rsid w:val="008C3FE2"/>
    <w:rsid w:val="008C4F5D"/>
    <w:rsid w:val="008C6441"/>
    <w:rsid w:val="008C68F1"/>
    <w:rsid w:val="008C7351"/>
    <w:rsid w:val="008C7AF2"/>
    <w:rsid w:val="008D2E9E"/>
    <w:rsid w:val="008D37FC"/>
    <w:rsid w:val="008D64D2"/>
    <w:rsid w:val="008E0AC3"/>
    <w:rsid w:val="008F3F21"/>
    <w:rsid w:val="008F4F4D"/>
    <w:rsid w:val="008F7E72"/>
    <w:rsid w:val="00900980"/>
    <w:rsid w:val="009014E7"/>
    <w:rsid w:val="00903599"/>
    <w:rsid w:val="009047F5"/>
    <w:rsid w:val="0090799E"/>
    <w:rsid w:val="00921803"/>
    <w:rsid w:val="00926503"/>
    <w:rsid w:val="009267C9"/>
    <w:rsid w:val="00927523"/>
    <w:rsid w:val="009334A1"/>
    <w:rsid w:val="00933E5F"/>
    <w:rsid w:val="00935CDD"/>
    <w:rsid w:val="009365C0"/>
    <w:rsid w:val="00940025"/>
    <w:rsid w:val="009503F9"/>
    <w:rsid w:val="009553B6"/>
    <w:rsid w:val="00961550"/>
    <w:rsid w:val="00963C08"/>
    <w:rsid w:val="00963F22"/>
    <w:rsid w:val="009670E8"/>
    <w:rsid w:val="0097252C"/>
    <w:rsid w:val="009726D8"/>
    <w:rsid w:val="009728A5"/>
    <w:rsid w:val="00976C72"/>
    <w:rsid w:val="00977687"/>
    <w:rsid w:val="00982BE9"/>
    <w:rsid w:val="00990742"/>
    <w:rsid w:val="009925EA"/>
    <w:rsid w:val="00993D23"/>
    <w:rsid w:val="00994A51"/>
    <w:rsid w:val="009A015A"/>
    <w:rsid w:val="009A0631"/>
    <w:rsid w:val="009A146B"/>
    <w:rsid w:val="009A3459"/>
    <w:rsid w:val="009A43C7"/>
    <w:rsid w:val="009A465B"/>
    <w:rsid w:val="009A477E"/>
    <w:rsid w:val="009A6073"/>
    <w:rsid w:val="009A7738"/>
    <w:rsid w:val="009B0F99"/>
    <w:rsid w:val="009B1AF5"/>
    <w:rsid w:val="009B2B66"/>
    <w:rsid w:val="009B3A02"/>
    <w:rsid w:val="009B3D82"/>
    <w:rsid w:val="009B4115"/>
    <w:rsid w:val="009C0BB8"/>
    <w:rsid w:val="009C4802"/>
    <w:rsid w:val="009D4510"/>
    <w:rsid w:val="009D7308"/>
    <w:rsid w:val="009F27BE"/>
    <w:rsid w:val="009F5062"/>
    <w:rsid w:val="009F699D"/>
    <w:rsid w:val="009F76DB"/>
    <w:rsid w:val="00A03382"/>
    <w:rsid w:val="00A158DE"/>
    <w:rsid w:val="00A15F05"/>
    <w:rsid w:val="00A164A7"/>
    <w:rsid w:val="00A16DF1"/>
    <w:rsid w:val="00A20F76"/>
    <w:rsid w:val="00A22C95"/>
    <w:rsid w:val="00A2481A"/>
    <w:rsid w:val="00A24EF1"/>
    <w:rsid w:val="00A31042"/>
    <w:rsid w:val="00A32C3B"/>
    <w:rsid w:val="00A36A7A"/>
    <w:rsid w:val="00A40B26"/>
    <w:rsid w:val="00A40BD8"/>
    <w:rsid w:val="00A43B2F"/>
    <w:rsid w:val="00A43D5B"/>
    <w:rsid w:val="00A4495C"/>
    <w:rsid w:val="00A45F4F"/>
    <w:rsid w:val="00A501E9"/>
    <w:rsid w:val="00A5258E"/>
    <w:rsid w:val="00A57E4B"/>
    <w:rsid w:val="00A600A9"/>
    <w:rsid w:val="00A66B07"/>
    <w:rsid w:val="00A759A6"/>
    <w:rsid w:val="00A760B6"/>
    <w:rsid w:val="00A761EE"/>
    <w:rsid w:val="00A77453"/>
    <w:rsid w:val="00A83828"/>
    <w:rsid w:val="00A853B6"/>
    <w:rsid w:val="00A877FE"/>
    <w:rsid w:val="00A914F0"/>
    <w:rsid w:val="00A92622"/>
    <w:rsid w:val="00A943D9"/>
    <w:rsid w:val="00A94633"/>
    <w:rsid w:val="00AA55B7"/>
    <w:rsid w:val="00AA5B9E"/>
    <w:rsid w:val="00AA66B1"/>
    <w:rsid w:val="00AB2407"/>
    <w:rsid w:val="00AB53DF"/>
    <w:rsid w:val="00AB5868"/>
    <w:rsid w:val="00AB5C9B"/>
    <w:rsid w:val="00AB6302"/>
    <w:rsid w:val="00AC0360"/>
    <w:rsid w:val="00AC3334"/>
    <w:rsid w:val="00AC42C3"/>
    <w:rsid w:val="00AC4B1C"/>
    <w:rsid w:val="00AC6850"/>
    <w:rsid w:val="00AC6870"/>
    <w:rsid w:val="00AC6C78"/>
    <w:rsid w:val="00AC71BE"/>
    <w:rsid w:val="00AD319B"/>
    <w:rsid w:val="00AD5BB8"/>
    <w:rsid w:val="00AD7F12"/>
    <w:rsid w:val="00AE6608"/>
    <w:rsid w:val="00AF00B5"/>
    <w:rsid w:val="00AF0574"/>
    <w:rsid w:val="00B03C8F"/>
    <w:rsid w:val="00B0758D"/>
    <w:rsid w:val="00B078E9"/>
    <w:rsid w:val="00B07B7E"/>
    <w:rsid w:val="00B07E5C"/>
    <w:rsid w:val="00B1134A"/>
    <w:rsid w:val="00B17F02"/>
    <w:rsid w:val="00B200BE"/>
    <w:rsid w:val="00B21B0D"/>
    <w:rsid w:val="00B225B4"/>
    <w:rsid w:val="00B23D98"/>
    <w:rsid w:val="00B31CBF"/>
    <w:rsid w:val="00B40E45"/>
    <w:rsid w:val="00B42FDF"/>
    <w:rsid w:val="00B45C74"/>
    <w:rsid w:val="00B55600"/>
    <w:rsid w:val="00B62F86"/>
    <w:rsid w:val="00B647D5"/>
    <w:rsid w:val="00B65C69"/>
    <w:rsid w:val="00B66A12"/>
    <w:rsid w:val="00B70411"/>
    <w:rsid w:val="00B73EAF"/>
    <w:rsid w:val="00B77FD8"/>
    <w:rsid w:val="00B811F7"/>
    <w:rsid w:val="00B83644"/>
    <w:rsid w:val="00B86F6A"/>
    <w:rsid w:val="00B87223"/>
    <w:rsid w:val="00B90C1D"/>
    <w:rsid w:val="00B90ED7"/>
    <w:rsid w:val="00B9524E"/>
    <w:rsid w:val="00B97409"/>
    <w:rsid w:val="00B97C0C"/>
    <w:rsid w:val="00BA0644"/>
    <w:rsid w:val="00BA2A09"/>
    <w:rsid w:val="00BA3AFF"/>
    <w:rsid w:val="00BA52A8"/>
    <w:rsid w:val="00BA5DC6"/>
    <w:rsid w:val="00BA6196"/>
    <w:rsid w:val="00BB104E"/>
    <w:rsid w:val="00BB21AC"/>
    <w:rsid w:val="00BB700E"/>
    <w:rsid w:val="00BC6D8C"/>
    <w:rsid w:val="00BD0424"/>
    <w:rsid w:val="00BD2667"/>
    <w:rsid w:val="00BE26CB"/>
    <w:rsid w:val="00BE2A65"/>
    <w:rsid w:val="00BE4313"/>
    <w:rsid w:val="00BF22AB"/>
    <w:rsid w:val="00C07A79"/>
    <w:rsid w:val="00C1174A"/>
    <w:rsid w:val="00C20597"/>
    <w:rsid w:val="00C227A8"/>
    <w:rsid w:val="00C24881"/>
    <w:rsid w:val="00C24F2F"/>
    <w:rsid w:val="00C27683"/>
    <w:rsid w:val="00C34006"/>
    <w:rsid w:val="00C34249"/>
    <w:rsid w:val="00C36B4C"/>
    <w:rsid w:val="00C36F23"/>
    <w:rsid w:val="00C4101B"/>
    <w:rsid w:val="00C426B1"/>
    <w:rsid w:val="00C429E7"/>
    <w:rsid w:val="00C50B87"/>
    <w:rsid w:val="00C51F0E"/>
    <w:rsid w:val="00C52BAA"/>
    <w:rsid w:val="00C55B04"/>
    <w:rsid w:val="00C570BE"/>
    <w:rsid w:val="00C57D20"/>
    <w:rsid w:val="00C61211"/>
    <w:rsid w:val="00C6232E"/>
    <w:rsid w:val="00C65008"/>
    <w:rsid w:val="00C66160"/>
    <w:rsid w:val="00C668A8"/>
    <w:rsid w:val="00C721AC"/>
    <w:rsid w:val="00C8080F"/>
    <w:rsid w:val="00C81D50"/>
    <w:rsid w:val="00C836D9"/>
    <w:rsid w:val="00C846AF"/>
    <w:rsid w:val="00C90450"/>
    <w:rsid w:val="00C90D6A"/>
    <w:rsid w:val="00C955DE"/>
    <w:rsid w:val="00CA247E"/>
    <w:rsid w:val="00CA50AC"/>
    <w:rsid w:val="00CA6D21"/>
    <w:rsid w:val="00CC2339"/>
    <w:rsid w:val="00CC2985"/>
    <w:rsid w:val="00CC72B6"/>
    <w:rsid w:val="00CD01E4"/>
    <w:rsid w:val="00CD15C5"/>
    <w:rsid w:val="00CF1E64"/>
    <w:rsid w:val="00CF4A8A"/>
    <w:rsid w:val="00D00495"/>
    <w:rsid w:val="00D0218D"/>
    <w:rsid w:val="00D11408"/>
    <w:rsid w:val="00D221BF"/>
    <w:rsid w:val="00D23B28"/>
    <w:rsid w:val="00D25FB5"/>
    <w:rsid w:val="00D265E8"/>
    <w:rsid w:val="00D34A7D"/>
    <w:rsid w:val="00D41708"/>
    <w:rsid w:val="00D41E33"/>
    <w:rsid w:val="00D44223"/>
    <w:rsid w:val="00D50A9C"/>
    <w:rsid w:val="00D5503C"/>
    <w:rsid w:val="00D6039F"/>
    <w:rsid w:val="00D62E0E"/>
    <w:rsid w:val="00D642A7"/>
    <w:rsid w:val="00D6541C"/>
    <w:rsid w:val="00D6700B"/>
    <w:rsid w:val="00D703A0"/>
    <w:rsid w:val="00D7197B"/>
    <w:rsid w:val="00D7280F"/>
    <w:rsid w:val="00D74307"/>
    <w:rsid w:val="00D824FB"/>
    <w:rsid w:val="00D85A1C"/>
    <w:rsid w:val="00DA0033"/>
    <w:rsid w:val="00DA0993"/>
    <w:rsid w:val="00DA2529"/>
    <w:rsid w:val="00DA7784"/>
    <w:rsid w:val="00DB130A"/>
    <w:rsid w:val="00DB2EBB"/>
    <w:rsid w:val="00DB6FB3"/>
    <w:rsid w:val="00DC10A1"/>
    <w:rsid w:val="00DC3625"/>
    <w:rsid w:val="00DC655F"/>
    <w:rsid w:val="00DD0B59"/>
    <w:rsid w:val="00DD1034"/>
    <w:rsid w:val="00DD1209"/>
    <w:rsid w:val="00DD314E"/>
    <w:rsid w:val="00DD7B1E"/>
    <w:rsid w:val="00DD7EBD"/>
    <w:rsid w:val="00DE1D0A"/>
    <w:rsid w:val="00DE48D7"/>
    <w:rsid w:val="00DE7432"/>
    <w:rsid w:val="00DF2C07"/>
    <w:rsid w:val="00DF4F03"/>
    <w:rsid w:val="00DF54E2"/>
    <w:rsid w:val="00DF62B6"/>
    <w:rsid w:val="00DF6D96"/>
    <w:rsid w:val="00DF7F10"/>
    <w:rsid w:val="00E0216A"/>
    <w:rsid w:val="00E0421D"/>
    <w:rsid w:val="00E051B3"/>
    <w:rsid w:val="00E07225"/>
    <w:rsid w:val="00E12F49"/>
    <w:rsid w:val="00E15C83"/>
    <w:rsid w:val="00E16B6E"/>
    <w:rsid w:val="00E1748D"/>
    <w:rsid w:val="00E17A35"/>
    <w:rsid w:val="00E22B00"/>
    <w:rsid w:val="00E235B5"/>
    <w:rsid w:val="00E23864"/>
    <w:rsid w:val="00E24938"/>
    <w:rsid w:val="00E30ED8"/>
    <w:rsid w:val="00E3566A"/>
    <w:rsid w:val="00E36931"/>
    <w:rsid w:val="00E401BB"/>
    <w:rsid w:val="00E43A10"/>
    <w:rsid w:val="00E44AEA"/>
    <w:rsid w:val="00E4685E"/>
    <w:rsid w:val="00E47FAA"/>
    <w:rsid w:val="00E5409F"/>
    <w:rsid w:val="00E57145"/>
    <w:rsid w:val="00E57CC5"/>
    <w:rsid w:val="00E6084C"/>
    <w:rsid w:val="00E62316"/>
    <w:rsid w:val="00E651F4"/>
    <w:rsid w:val="00E71473"/>
    <w:rsid w:val="00E74DCC"/>
    <w:rsid w:val="00E75FD6"/>
    <w:rsid w:val="00E81E46"/>
    <w:rsid w:val="00E826E6"/>
    <w:rsid w:val="00E8492A"/>
    <w:rsid w:val="00E850B7"/>
    <w:rsid w:val="00E851D1"/>
    <w:rsid w:val="00E9032E"/>
    <w:rsid w:val="00E9277C"/>
    <w:rsid w:val="00E94315"/>
    <w:rsid w:val="00E94731"/>
    <w:rsid w:val="00E95A02"/>
    <w:rsid w:val="00EA2779"/>
    <w:rsid w:val="00EB0BD4"/>
    <w:rsid w:val="00EB11FC"/>
    <w:rsid w:val="00EB157D"/>
    <w:rsid w:val="00EB5F0C"/>
    <w:rsid w:val="00EC0C65"/>
    <w:rsid w:val="00EC367D"/>
    <w:rsid w:val="00ED1FF4"/>
    <w:rsid w:val="00EE5324"/>
    <w:rsid w:val="00EE6488"/>
    <w:rsid w:val="00EF5B37"/>
    <w:rsid w:val="00EF7C31"/>
    <w:rsid w:val="00F00F56"/>
    <w:rsid w:val="00F021FA"/>
    <w:rsid w:val="00F02C05"/>
    <w:rsid w:val="00F11B91"/>
    <w:rsid w:val="00F14238"/>
    <w:rsid w:val="00F15784"/>
    <w:rsid w:val="00F21BD0"/>
    <w:rsid w:val="00F22A57"/>
    <w:rsid w:val="00F23290"/>
    <w:rsid w:val="00F30527"/>
    <w:rsid w:val="00F31D96"/>
    <w:rsid w:val="00F3466B"/>
    <w:rsid w:val="00F418E0"/>
    <w:rsid w:val="00F42B10"/>
    <w:rsid w:val="00F458FB"/>
    <w:rsid w:val="00F46112"/>
    <w:rsid w:val="00F51CAA"/>
    <w:rsid w:val="00F5225B"/>
    <w:rsid w:val="00F53902"/>
    <w:rsid w:val="00F5776F"/>
    <w:rsid w:val="00F577ED"/>
    <w:rsid w:val="00F602A0"/>
    <w:rsid w:val="00F61369"/>
    <w:rsid w:val="00F62E97"/>
    <w:rsid w:val="00F64209"/>
    <w:rsid w:val="00F704C8"/>
    <w:rsid w:val="00F80B0A"/>
    <w:rsid w:val="00F80E12"/>
    <w:rsid w:val="00F816E6"/>
    <w:rsid w:val="00F82B9C"/>
    <w:rsid w:val="00F91185"/>
    <w:rsid w:val="00F92E56"/>
    <w:rsid w:val="00F93BF5"/>
    <w:rsid w:val="00F954F0"/>
    <w:rsid w:val="00FA46D9"/>
    <w:rsid w:val="00FA4934"/>
    <w:rsid w:val="00FC46AD"/>
    <w:rsid w:val="00FC4880"/>
    <w:rsid w:val="00FC60DF"/>
    <w:rsid w:val="00FC64C1"/>
    <w:rsid w:val="00FC7056"/>
    <w:rsid w:val="00FC70DB"/>
    <w:rsid w:val="00FD2D3B"/>
    <w:rsid w:val="00FE01A4"/>
    <w:rsid w:val="00FE3E78"/>
    <w:rsid w:val="00FE443D"/>
    <w:rsid w:val="00FE7FD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B3697D8-86B4-461B-87F7-E8E0D663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AFF"/>
    <w:pPr>
      <w:widowControl w:val="0"/>
    </w:pPr>
    <w:rPr>
      <w:snapToGrid w:val="0"/>
      <w:kern w:val="28"/>
      <w:sz w:val="22"/>
    </w:rPr>
  </w:style>
  <w:style w:type="paragraph" w:styleId="Heading1">
    <w:name w:val="heading 1"/>
    <w:basedOn w:val="Normal"/>
    <w:next w:val="ParaNum"/>
    <w:qFormat/>
    <w:rsid w:val="00BA3AF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A3AFF"/>
    <w:pPr>
      <w:keepNext/>
      <w:numPr>
        <w:ilvl w:val="1"/>
        <w:numId w:val="3"/>
      </w:numPr>
      <w:spacing w:after="120"/>
      <w:outlineLvl w:val="1"/>
    </w:pPr>
    <w:rPr>
      <w:b/>
    </w:rPr>
  </w:style>
  <w:style w:type="paragraph" w:styleId="Heading3">
    <w:name w:val="heading 3"/>
    <w:basedOn w:val="Normal"/>
    <w:next w:val="ParaNum"/>
    <w:qFormat/>
    <w:rsid w:val="00BA3AFF"/>
    <w:pPr>
      <w:keepNext/>
      <w:numPr>
        <w:ilvl w:val="2"/>
        <w:numId w:val="3"/>
      </w:numPr>
      <w:tabs>
        <w:tab w:val="left" w:pos="2160"/>
      </w:tabs>
      <w:spacing w:after="120"/>
      <w:outlineLvl w:val="2"/>
    </w:pPr>
    <w:rPr>
      <w:b/>
    </w:rPr>
  </w:style>
  <w:style w:type="paragraph" w:styleId="Heading4">
    <w:name w:val="heading 4"/>
    <w:basedOn w:val="Normal"/>
    <w:next w:val="ParaNum"/>
    <w:qFormat/>
    <w:rsid w:val="00BA3AFF"/>
    <w:pPr>
      <w:keepNext/>
      <w:numPr>
        <w:ilvl w:val="3"/>
        <w:numId w:val="3"/>
      </w:numPr>
      <w:tabs>
        <w:tab w:val="left" w:pos="2880"/>
      </w:tabs>
      <w:spacing w:after="120"/>
      <w:outlineLvl w:val="3"/>
    </w:pPr>
    <w:rPr>
      <w:b/>
    </w:rPr>
  </w:style>
  <w:style w:type="paragraph" w:styleId="Heading5">
    <w:name w:val="heading 5"/>
    <w:basedOn w:val="Normal"/>
    <w:next w:val="ParaNum"/>
    <w:qFormat/>
    <w:rsid w:val="00BA3AF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A3AFF"/>
    <w:pPr>
      <w:numPr>
        <w:ilvl w:val="5"/>
        <w:numId w:val="3"/>
      </w:numPr>
      <w:tabs>
        <w:tab w:val="left" w:pos="4320"/>
      </w:tabs>
      <w:spacing w:after="120"/>
      <w:outlineLvl w:val="5"/>
    </w:pPr>
    <w:rPr>
      <w:b/>
    </w:rPr>
  </w:style>
  <w:style w:type="paragraph" w:styleId="Heading7">
    <w:name w:val="heading 7"/>
    <w:basedOn w:val="Normal"/>
    <w:next w:val="ParaNum"/>
    <w:qFormat/>
    <w:rsid w:val="00BA3AF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A3AF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A3AF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A3AF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A3AFF"/>
  </w:style>
  <w:style w:type="paragraph" w:customStyle="1" w:styleId="ParaNum">
    <w:name w:val="ParaNum"/>
    <w:basedOn w:val="Normal"/>
    <w:rsid w:val="00BA3AFF"/>
    <w:pPr>
      <w:numPr>
        <w:numId w:val="2"/>
      </w:numPr>
      <w:tabs>
        <w:tab w:val="clear" w:pos="1080"/>
        <w:tab w:val="num" w:pos="1440"/>
      </w:tabs>
      <w:spacing w:after="120"/>
    </w:pPr>
  </w:style>
  <w:style w:type="paragraph" w:styleId="EndnoteText">
    <w:name w:val="endnote text"/>
    <w:basedOn w:val="Normal"/>
    <w:semiHidden/>
    <w:rsid w:val="00BA3AFF"/>
    <w:rPr>
      <w:sz w:val="20"/>
    </w:rPr>
  </w:style>
  <w:style w:type="character" w:styleId="EndnoteReference">
    <w:name w:val="endnote reference"/>
    <w:semiHidden/>
    <w:rsid w:val="00BA3AFF"/>
    <w:rPr>
      <w:vertAlign w:val="superscript"/>
    </w:rPr>
  </w:style>
  <w:style w:type="paragraph" w:styleId="FootnoteText">
    <w:name w:val="footnote text"/>
    <w:link w:val="FootnoteTextChar"/>
    <w:rsid w:val="00BA3AFF"/>
    <w:pPr>
      <w:spacing w:after="120"/>
    </w:pPr>
  </w:style>
  <w:style w:type="character" w:styleId="FootnoteReference">
    <w:name w:val="footnote reference"/>
    <w:rsid w:val="00BA3AFF"/>
    <w:rPr>
      <w:rFonts w:ascii="Times New Roman" w:hAnsi="Times New Roman"/>
      <w:dstrike w:val="0"/>
      <w:color w:val="auto"/>
      <w:sz w:val="20"/>
      <w:vertAlign w:val="superscript"/>
    </w:rPr>
  </w:style>
  <w:style w:type="paragraph" w:styleId="TOC1">
    <w:name w:val="toc 1"/>
    <w:basedOn w:val="Normal"/>
    <w:next w:val="Normal"/>
    <w:semiHidden/>
    <w:rsid w:val="00BA3AF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A3AFF"/>
    <w:pPr>
      <w:tabs>
        <w:tab w:val="left" w:pos="720"/>
        <w:tab w:val="right" w:leader="dot" w:pos="9360"/>
      </w:tabs>
      <w:suppressAutoHyphens/>
      <w:ind w:left="720" w:right="720" w:hanging="360"/>
    </w:pPr>
    <w:rPr>
      <w:noProof/>
    </w:rPr>
  </w:style>
  <w:style w:type="paragraph" w:styleId="TOC3">
    <w:name w:val="toc 3"/>
    <w:basedOn w:val="Normal"/>
    <w:next w:val="Normal"/>
    <w:semiHidden/>
    <w:rsid w:val="00BA3AF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A3AF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A3AF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A3AF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A3AF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A3AF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A3AF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A3AFF"/>
    <w:pPr>
      <w:tabs>
        <w:tab w:val="right" w:pos="9360"/>
      </w:tabs>
      <w:suppressAutoHyphens/>
    </w:pPr>
  </w:style>
  <w:style w:type="character" w:customStyle="1" w:styleId="EquationCaption">
    <w:name w:val="_Equation Caption"/>
    <w:rsid w:val="00BA3AFF"/>
  </w:style>
  <w:style w:type="paragraph" w:styleId="Header">
    <w:name w:val="header"/>
    <w:basedOn w:val="Normal"/>
    <w:autoRedefine/>
    <w:rsid w:val="00BA3AFF"/>
    <w:pPr>
      <w:tabs>
        <w:tab w:val="center" w:pos="4680"/>
        <w:tab w:val="right" w:pos="9360"/>
      </w:tabs>
    </w:pPr>
    <w:rPr>
      <w:b/>
    </w:rPr>
  </w:style>
  <w:style w:type="paragraph" w:styleId="Footer">
    <w:name w:val="footer"/>
    <w:basedOn w:val="Normal"/>
    <w:link w:val="FooterChar"/>
    <w:uiPriority w:val="99"/>
    <w:rsid w:val="00BA3AFF"/>
    <w:pPr>
      <w:tabs>
        <w:tab w:val="center" w:pos="4320"/>
        <w:tab w:val="right" w:pos="8640"/>
      </w:tabs>
    </w:pPr>
  </w:style>
  <w:style w:type="character" w:styleId="PageNumber">
    <w:name w:val="page number"/>
    <w:basedOn w:val="DefaultParagraphFont"/>
    <w:rsid w:val="00BA3AFF"/>
  </w:style>
  <w:style w:type="paragraph" w:styleId="BlockText">
    <w:name w:val="Block Text"/>
    <w:basedOn w:val="Normal"/>
    <w:rsid w:val="00BA3AFF"/>
    <w:pPr>
      <w:spacing w:after="240"/>
      <w:ind w:left="1440" w:right="1440"/>
    </w:pPr>
  </w:style>
  <w:style w:type="paragraph" w:customStyle="1" w:styleId="Paratitle">
    <w:name w:val="Para title"/>
    <w:basedOn w:val="Normal"/>
    <w:rsid w:val="00BA3AFF"/>
    <w:pPr>
      <w:tabs>
        <w:tab w:val="center" w:pos="9270"/>
      </w:tabs>
      <w:spacing w:after="240"/>
    </w:pPr>
    <w:rPr>
      <w:spacing w:val="-2"/>
    </w:rPr>
  </w:style>
  <w:style w:type="paragraph" w:customStyle="1" w:styleId="Bullet">
    <w:name w:val="Bullet"/>
    <w:basedOn w:val="Normal"/>
    <w:rsid w:val="00BA3AFF"/>
    <w:pPr>
      <w:tabs>
        <w:tab w:val="left" w:pos="2160"/>
      </w:tabs>
      <w:spacing w:after="220"/>
      <w:ind w:left="2160" w:hanging="720"/>
    </w:pPr>
  </w:style>
  <w:style w:type="paragraph" w:customStyle="1" w:styleId="TableFormat">
    <w:name w:val="TableFormat"/>
    <w:basedOn w:val="Bullet"/>
    <w:rsid w:val="00BA3AFF"/>
    <w:pPr>
      <w:tabs>
        <w:tab w:val="clear" w:pos="2160"/>
        <w:tab w:val="left" w:pos="5040"/>
      </w:tabs>
      <w:ind w:left="5040" w:hanging="3600"/>
    </w:pPr>
  </w:style>
  <w:style w:type="paragraph" w:customStyle="1" w:styleId="TOCTitle">
    <w:name w:val="TOC Title"/>
    <w:basedOn w:val="Normal"/>
    <w:rsid w:val="00BA3AF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A3AFF"/>
    <w:pPr>
      <w:jc w:val="center"/>
    </w:pPr>
    <w:rPr>
      <w:rFonts w:ascii="Times New Roman Bold" w:hAnsi="Times New Roman Bold"/>
      <w:b/>
      <w:bCs/>
      <w:caps/>
      <w:szCs w:val="22"/>
    </w:rPr>
  </w:style>
  <w:style w:type="character" w:styleId="Hyperlink">
    <w:name w:val="Hyperlink"/>
    <w:rsid w:val="00BA3AFF"/>
    <w:rPr>
      <w:color w:val="0000FF"/>
      <w:u w:val="single"/>
    </w:rPr>
  </w:style>
  <w:style w:type="character" w:customStyle="1" w:styleId="FooterChar">
    <w:name w:val="Footer Char"/>
    <w:link w:val="Footer"/>
    <w:uiPriority w:val="99"/>
    <w:rsid w:val="00BA3AFF"/>
    <w:rPr>
      <w:snapToGrid w:val="0"/>
      <w:kern w:val="28"/>
      <w:sz w:val="22"/>
    </w:rPr>
  </w:style>
  <w:style w:type="character" w:customStyle="1" w:styleId="StyleParaNum11pt1CharCharCharCharCharCharCharCharCharCharCharCharCharCharCharCharChar">
    <w:name w:val="Style ParaNum + 11 pt1 Char Char Char Char Char Char Char Char Char Char Char Char Char Char Char Char Char"/>
    <w:basedOn w:val="DefaultParagraphFont"/>
    <w:rsid w:val="00E051B3"/>
    <w:rPr>
      <w:noProof w:val="0"/>
      <w:snapToGrid w:val="0"/>
      <w:kern w:val="28"/>
      <w:sz w:val="22"/>
      <w:szCs w:val="22"/>
      <w:lang w:val="en-US" w:eastAsia="en-US" w:bidi="ar-SA"/>
    </w:rPr>
  </w:style>
  <w:style w:type="paragraph" w:styleId="BalloonText">
    <w:name w:val="Balloon Text"/>
    <w:basedOn w:val="Normal"/>
    <w:link w:val="BalloonTextChar"/>
    <w:rsid w:val="00F42B10"/>
    <w:rPr>
      <w:rFonts w:ascii="Segoe UI" w:hAnsi="Segoe UI" w:cs="Segoe UI"/>
      <w:snapToGrid/>
      <w:sz w:val="18"/>
      <w:szCs w:val="18"/>
    </w:rPr>
  </w:style>
  <w:style w:type="character" w:customStyle="1" w:styleId="BalloonTextChar">
    <w:name w:val="Balloon Text Char"/>
    <w:basedOn w:val="DefaultParagraphFont"/>
    <w:link w:val="BalloonText"/>
    <w:rsid w:val="00F42B10"/>
    <w:rPr>
      <w:rFonts w:ascii="Segoe UI" w:hAnsi="Segoe UI" w:cs="Segoe UI"/>
      <w:snapToGrid w:val="0"/>
      <w:kern w:val="28"/>
      <w:sz w:val="18"/>
      <w:szCs w:val="18"/>
    </w:rPr>
  </w:style>
  <w:style w:type="paragraph" w:styleId="ListParagraph">
    <w:name w:val="List Paragraph"/>
    <w:basedOn w:val="Normal"/>
    <w:uiPriority w:val="34"/>
    <w:qFormat/>
    <w:rsid w:val="00940025"/>
    <w:pPr>
      <w:ind w:left="720"/>
      <w:contextualSpacing/>
    </w:pPr>
    <w:rPr>
      <w:rFonts w:ascii="Calibri" w:hAnsi="Calibri" w:cs="Calibri"/>
    </w:rPr>
  </w:style>
  <w:style w:type="character" w:customStyle="1" w:styleId="FootnoteTextChar">
    <w:name w:val="Footnote Text Char"/>
    <w:basedOn w:val="DefaultParagraphFont"/>
    <w:link w:val="FootnoteText"/>
    <w:rsid w:val="00B83644"/>
  </w:style>
  <w:style w:type="character" w:styleId="CommentReference">
    <w:name w:val="annotation reference"/>
    <w:basedOn w:val="DefaultParagraphFont"/>
    <w:uiPriority w:val="99"/>
    <w:rsid w:val="007977E2"/>
    <w:rPr>
      <w:sz w:val="16"/>
      <w:szCs w:val="16"/>
    </w:rPr>
  </w:style>
  <w:style w:type="paragraph" w:styleId="CommentText">
    <w:name w:val="annotation text"/>
    <w:basedOn w:val="Normal"/>
    <w:link w:val="CommentTextChar"/>
    <w:rsid w:val="007977E2"/>
    <w:rPr>
      <w:sz w:val="20"/>
    </w:rPr>
  </w:style>
  <w:style w:type="character" w:customStyle="1" w:styleId="CommentTextChar">
    <w:name w:val="Comment Text Char"/>
    <w:basedOn w:val="DefaultParagraphFont"/>
    <w:link w:val="CommentText"/>
    <w:rsid w:val="007977E2"/>
    <w:rPr>
      <w:rFonts w:asciiTheme="minorHAnsi" w:eastAsiaTheme="minorHAnsi" w:hAnsiTheme="minorHAnsi" w:cstheme="minorBidi"/>
    </w:rPr>
  </w:style>
  <w:style w:type="paragraph" w:styleId="CommentSubject">
    <w:name w:val="annotation subject"/>
    <w:basedOn w:val="CommentText"/>
    <w:next w:val="CommentText"/>
    <w:link w:val="CommentSubjectChar"/>
    <w:rsid w:val="007977E2"/>
    <w:rPr>
      <w:b/>
      <w:bCs/>
    </w:rPr>
  </w:style>
  <w:style w:type="character" w:customStyle="1" w:styleId="CommentSubjectChar">
    <w:name w:val="Comment Subject Char"/>
    <w:basedOn w:val="CommentTextChar"/>
    <w:link w:val="CommentSubject"/>
    <w:rsid w:val="007977E2"/>
    <w:rPr>
      <w:rFonts w:asciiTheme="minorHAnsi" w:eastAsiaTheme="minorHAnsi" w:hAnsiTheme="minorHAnsi" w:cstheme="minorBidi"/>
      <w:b/>
      <w:bCs/>
    </w:rPr>
  </w:style>
  <w:style w:type="paragraph" w:styleId="Revision">
    <w:name w:val="Revision"/>
    <w:hidden/>
    <w:uiPriority w:val="99"/>
    <w:semiHidden/>
    <w:rsid w:val="00124FB1"/>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