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85D08" w:rsidRPr="00890EA9" w:rsidP="00F85D08" w14:paraId="613DEAB2" w14:textId="7427FC39">
      <w:pPr>
        <w:jc w:val="right"/>
        <w:rPr>
          <w:b/>
          <w:szCs w:val="22"/>
        </w:rPr>
      </w:pPr>
      <w:r w:rsidRPr="00890EA9">
        <w:rPr>
          <w:b/>
          <w:szCs w:val="22"/>
        </w:rPr>
        <w:t>DA 19-</w:t>
      </w:r>
      <w:r w:rsidR="00ED53D3">
        <w:rPr>
          <w:b/>
          <w:szCs w:val="22"/>
        </w:rPr>
        <w:t>601</w:t>
      </w:r>
    </w:p>
    <w:p w:rsidR="00F85D08" w:rsidRPr="00890EA9" w:rsidP="00F85D08" w14:paraId="1F619BE9" w14:textId="72E19728">
      <w:pPr>
        <w:spacing w:before="60"/>
        <w:jc w:val="right"/>
        <w:rPr>
          <w:b/>
          <w:szCs w:val="22"/>
        </w:rPr>
      </w:pPr>
      <w:r w:rsidRPr="00890EA9">
        <w:rPr>
          <w:b/>
          <w:szCs w:val="22"/>
        </w:rPr>
        <w:t xml:space="preserve">Released:  </w:t>
      </w:r>
      <w:r w:rsidRPr="00F06DBF" w:rsidR="00620EDC">
        <w:rPr>
          <w:b/>
          <w:szCs w:val="22"/>
        </w:rPr>
        <w:t>June</w:t>
      </w:r>
      <w:r w:rsidRPr="00F06DBF">
        <w:rPr>
          <w:b/>
          <w:szCs w:val="22"/>
        </w:rPr>
        <w:t xml:space="preserve"> </w:t>
      </w:r>
      <w:r w:rsidRPr="00F06DBF" w:rsidR="00620EDC">
        <w:rPr>
          <w:b/>
          <w:szCs w:val="22"/>
        </w:rPr>
        <w:t>28</w:t>
      </w:r>
      <w:r w:rsidRPr="00890EA9">
        <w:rPr>
          <w:b/>
          <w:szCs w:val="22"/>
        </w:rPr>
        <w:t>, 2019</w:t>
      </w:r>
    </w:p>
    <w:p w:rsidR="00F85D08" w:rsidRPr="00890EA9" w:rsidP="00F85D08" w14:paraId="7EA70D09" w14:textId="77777777">
      <w:pPr>
        <w:jc w:val="right"/>
        <w:rPr>
          <w:szCs w:val="22"/>
        </w:rPr>
      </w:pPr>
    </w:p>
    <w:p w:rsidR="00F85D08" w:rsidRPr="00890EA9" w:rsidP="00F85D08" w14:paraId="69AC18D7" w14:textId="347E1F82">
      <w:pPr>
        <w:spacing w:after="240"/>
        <w:jc w:val="center"/>
        <w:rPr>
          <w:rFonts w:ascii="Times New Roman Bold" w:hAnsi="Times New Roman Bold"/>
          <w:b/>
          <w:caps/>
          <w:szCs w:val="22"/>
        </w:rPr>
      </w:pPr>
      <w:r w:rsidRPr="00890EA9">
        <w:rPr>
          <w:rFonts w:ascii="Times New Roman Bold" w:hAnsi="Times New Roman Bold"/>
          <w:b/>
          <w:caps/>
          <w:szCs w:val="22"/>
        </w:rPr>
        <w:t>CONSUMER AND GOVERNMENTAL AFFAIRS BUREAU SEEKS COMMENT ON</w:t>
      </w:r>
      <w:r w:rsidR="007657D8">
        <w:rPr>
          <w:rFonts w:ascii="Times New Roman Bold" w:hAnsi="Times New Roman Bold"/>
          <w:b/>
          <w:caps/>
          <w:szCs w:val="22"/>
        </w:rPr>
        <w:t xml:space="preserve"> REQUEST FOR CLARIFICATION</w:t>
      </w:r>
      <w:r w:rsidR="00620EDC">
        <w:rPr>
          <w:rFonts w:ascii="Times New Roman Bold" w:hAnsi="Times New Roman Bold"/>
          <w:b/>
          <w:caps/>
          <w:szCs w:val="22"/>
        </w:rPr>
        <w:t xml:space="preserve"> </w:t>
      </w:r>
      <w:r w:rsidR="004232BD">
        <w:rPr>
          <w:rFonts w:ascii="Times New Roman Bold" w:hAnsi="Times New Roman Bold"/>
          <w:b/>
          <w:caps/>
          <w:szCs w:val="22"/>
        </w:rPr>
        <w:t>FILED BY</w:t>
      </w:r>
      <w:r w:rsidR="00620EDC">
        <w:rPr>
          <w:rFonts w:ascii="Times New Roman Bold" w:hAnsi="Times New Roman Bold"/>
          <w:b/>
          <w:caps/>
          <w:szCs w:val="22"/>
        </w:rPr>
        <w:t xml:space="preserve"> PATRICK MAUPIN</w:t>
      </w:r>
    </w:p>
    <w:p w:rsidR="00F85D08" w:rsidRPr="00890EA9" w:rsidP="005C412F" w14:paraId="1A3A8B96" w14:textId="17749FA5">
      <w:pPr>
        <w:jc w:val="center"/>
        <w:rPr>
          <w:b/>
          <w:szCs w:val="22"/>
        </w:rPr>
      </w:pPr>
      <w:r w:rsidRPr="00890EA9">
        <w:rPr>
          <w:b/>
          <w:szCs w:val="22"/>
        </w:rPr>
        <w:t>CG Docket No. 02-278</w:t>
      </w:r>
    </w:p>
    <w:p w:rsidR="00F85D08" w:rsidRPr="00890EA9" w:rsidP="00F85D08" w14:paraId="5309C133" w14:textId="77777777">
      <w:pPr>
        <w:jc w:val="center"/>
        <w:rPr>
          <w:szCs w:val="22"/>
        </w:rPr>
      </w:pPr>
    </w:p>
    <w:p w:rsidR="00F85D08" w:rsidRPr="00890EA9" w:rsidP="00F85D08" w14:paraId="384594D9" w14:textId="1B16F04F">
      <w:pPr>
        <w:rPr>
          <w:b/>
          <w:szCs w:val="22"/>
        </w:rPr>
      </w:pPr>
      <w:r w:rsidRPr="00890EA9">
        <w:rPr>
          <w:b/>
          <w:szCs w:val="22"/>
        </w:rPr>
        <w:t xml:space="preserve">Comment Date:  </w:t>
      </w:r>
      <w:r w:rsidRPr="00F06DBF" w:rsidR="00690DED">
        <w:rPr>
          <w:b/>
          <w:szCs w:val="22"/>
        </w:rPr>
        <w:t>July 29</w:t>
      </w:r>
      <w:r w:rsidRPr="00890EA9">
        <w:rPr>
          <w:b/>
          <w:szCs w:val="22"/>
        </w:rPr>
        <w:t>, 2019</w:t>
      </w:r>
    </w:p>
    <w:p w:rsidR="00F85D08" w:rsidRPr="00890EA9" w:rsidP="00F85D08" w14:paraId="606C2212" w14:textId="4A90628C">
      <w:pPr>
        <w:rPr>
          <w:b/>
          <w:szCs w:val="22"/>
        </w:rPr>
      </w:pPr>
      <w:r w:rsidRPr="00890EA9">
        <w:rPr>
          <w:b/>
          <w:szCs w:val="22"/>
        </w:rPr>
        <w:t xml:space="preserve">Reply Comment Date:  </w:t>
      </w:r>
      <w:r w:rsidRPr="00F06DBF">
        <w:rPr>
          <w:b/>
          <w:szCs w:val="22"/>
        </w:rPr>
        <w:t>A</w:t>
      </w:r>
      <w:r w:rsidRPr="00F06DBF" w:rsidR="00690DED">
        <w:rPr>
          <w:b/>
          <w:szCs w:val="22"/>
        </w:rPr>
        <w:t>ugust 13</w:t>
      </w:r>
      <w:r w:rsidR="00690DED">
        <w:rPr>
          <w:b/>
          <w:szCs w:val="22"/>
        </w:rPr>
        <w:t>,</w:t>
      </w:r>
      <w:r w:rsidRPr="00890EA9">
        <w:rPr>
          <w:b/>
          <w:szCs w:val="22"/>
        </w:rPr>
        <w:t xml:space="preserve"> 2019</w:t>
      </w:r>
    </w:p>
    <w:p w:rsidR="00F85D08" w:rsidP="00F85D08" w14:paraId="2F63F331" w14:textId="77777777"/>
    <w:p w:rsidR="00F85D08" w:rsidRPr="00B55831" w:rsidP="004232BD" w14:paraId="287572CC" w14:textId="26722738">
      <w:pPr>
        <w:widowControl/>
        <w:autoSpaceDE w:val="0"/>
        <w:autoSpaceDN w:val="0"/>
        <w:adjustRightInd w:val="0"/>
        <w:ind w:firstLine="720"/>
        <w:rPr>
          <w:snapToGrid/>
          <w:kern w:val="0"/>
          <w:szCs w:val="22"/>
        </w:rPr>
      </w:pPr>
      <w:r>
        <w:t xml:space="preserve">With this Public Notice, we seek comment on a </w:t>
      </w:r>
      <w:r w:rsidR="00620EDC">
        <w:t>request for clarification</w:t>
      </w:r>
      <w:r>
        <w:t xml:space="preserve"> filed by </w:t>
      </w:r>
      <w:r w:rsidR="00620EDC">
        <w:t>Patrick Maupin</w:t>
      </w:r>
      <w:r>
        <w:t>.</w:t>
      </w:r>
      <w:r>
        <w:rPr>
          <w:rStyle w:val="FootnoteReference"/>
        </w:rPr>
        <w:footnoteReference w:id="3"/>
      </w:r>
      <w:r>
        <w:t xml:space="preserve">  </w:t>
      </w:r>
      <w:r w:rsidR="00620EDC">
        <w:t>Mr. Maupin</w:t>
      </w:r>
      <w:r>
        <w:t xml:space="preserve"> asks the </w:t>
      </w:r>
      <w:r w:rsidR="000F0734">
        <w:t xml:space="preserve">Federal Communications </w:t>
      </w:r>
      <w:r>
        <w:t xml:space="preserve">Commission to clarify the </w:t>
      </w:r>
      <w:r w:rsidR="00620EDC">
        <w:t>scope of the</w:t>
      </w:r>
      <w:r w:rsidR="004232BD">
        <w:t xml:space="preserve"> </w:t>
      </w:r>
      <w:r w:rsidR="00620EDC">
        <w:t>established business relationship (EBR)</w:t>
      </w:r>
      <w:r w:rsidR="004232BD">
        <w:t xml:space="preserve"> exemption</w:t>
      </w:r>
      <w:r w:rsidR="00620EDC">
        <w:t xml:space="preserve"> </w:t>
      </w:r>
      <w:r>
        <w:t xml:space="preserve">under the </w:t>
      </w:r>
      <w:r w:rsidR="004232BD">
        <w:t>“</w:t>
      </w:r>
      <w:r w:rsidR="00620EDC">
        <w:t>do-not-call</w:t>
      </w:r>
      <w:r w:rsidR="004232BD">
        <w:t>”</w:t>
      </w:r>
      <w:r w:rsidR="00ED4C47">
        <w:t xml:space="preserve"> provisions </w:t>
      </w:r>
      <w:r>
        <w:t>of the Telephone Consumer Protection Act of 1991 (TCPA).</w:t>
      </w:r>
      <w:r>
        <w:rPr>
          <w:rStyle w:val="FootnoteReference"/>
        </w:rPr>
        <w:footnoteReference w:id="4"/>
      </w:r>
      <w:r>
        <w:t xml:space="preserve">  Specifically</w:t>
      </w:r>
      <w:r w:rsidR="005671F1">
        <w:t>, Mr. Maupin</w:t>
      </w:r>
      <w:r>
        <w:t xml:space="preserve"> requests that the Commission clarify </w:t>
      </w:r>
      <w:r w:rsidRPr="00B55831" w:rsidR="00B55831">
        <w:rPr>
          <w:snapToGrid/>
          <w:kern w:val="0"/>
          <w:szCs w:val="22"/>
        </w:rPr>
        <w:t xml:space="preserve">that </w:t>
      </w:r>
      <w:r w:rsidR="00B55831">
        <w:rPr>
          <w:snapToGrid/>
          <w:kern w:val="0"/>
          <w:szCs w:val="22"/>
        </w:rPr>
        <w:t>“</w:t>
      </w:r>
      <w:r w:rsidRPr="00B55831" w:rsidR="00B55831">
        <w:rPr>
          <w:snapToGrid/>
          <w:kern w:val="0"/>
          <w:szCs w:val="22"/>
        </w:rPr>
        <w:t>the purchase of an automobile at retail from a car dealer does not</w:t>
      </w:r>
      <w:r w:rsidR="00B55831">
        <w:rPr>
          <w:snapToGrid/>
          <w:kern w:val="0"/>
          <w:szCs w:val="22"/>
        </w:rPr>
        <w:t xml:space="preserve"> </w:t>
      </w:r>
      <w:r w:rsidRPr="00B55831" w:rsidR="00B55831">
        <w:rPr>
          <w:snapToGrid/>
          <w:kern w:val="0"/>
          <w:szCs w:val="22"/>
        </w:rPr>
        <w:t xml:space="preserve">automatically create an </w:t>
      </w:r>
      <w:r w:rsidR="00B9560C">
        <w:rPr>
          <w:snapToGrid/>
          <w:kern w:val="0"/>
          <w:szCs w:val="22"/>
        </w:rPr>
        <w:t>[established business relationship]</w:t>
      </w:r>
      <w:r w:rsidRPr="00B55831" w:rsidR="00B55831">
        <w:rPr>
          <w:snapToGrid/>
          <w:kern w:val="0"/>
          <w:szCs w:val="22"/>
        </w:rPr>
        <w:t xml:space="preserve"> between the automobile purchaser and the third</w:t>
      </w:r>
      <w:r w:rsidR="00B9560C">
        <w:rPr>
          <w:snapToGrid/>
          <w:kern w:val="0"/>
          <w:szCs w:val="22"/>
        </w:rPr>
        <w:t>-</w:t>
      </w:r>
      <w:r w:rsidRPr="00B55831" w:rsidR="00B55831">
        <w:rPr>
          <w:snapToGrid/>
          <w:kern w:val="0"/>
          <w:szCs w:val="22"/>
        </w:rPr>
        <w:t>party</w:t>
      </w:r>
      <w:r w:rsidR="00B55831">
        <w:rPr>
          <w:snapToGrid/>
          <w:kern w:val="0"/>
          <w:szCs w:val="22"/>
        </w:rPr>
        <w:t xml:space="preserve"> </w:t>
      </w:r>
      <w:r w:rsidRPr="00B55831" w:rsidR="00B55831">
        <w:rPr>
          <w:snapToGrid/>
          <w:kern w:val="0"/>
          <w:szCs w:val="22"/>
        </w:rPr>
        <w:t>provider of a radio subscription servi</w:t>
      </w:r>
      <w:r w:rsidR="009F6BC3">
        <w:rPr>
          <w:snapToGrid/>
          <w:kern w:val="0"/>
          <w:szCs w:val="22"/>
        </w:rPr>
        <w:t>ce</w:t>
      </w:r>
      <w:r w:rsidR="00B9560C">
        <w:rPr>
          <w:snapToGrid/>
          <w:kern w:val="0"/>
          <w:szCs w:val="22"/>
        </w:rPr>
        <w:t>,</w:t>
      </w:r>
      <w:r w:rsidR="00B55831">
        <w:rPr>
          <w:snapToGrid/>
          <w:kern w:val="0"/>
          <w:szCs w:val="22"/>
        </w:rPr>
        <w:t>”</w:t>
      </w:r>
      <w:r w:rsidR="00740642">
        <w:rPr>
          <w:snapToGrid/>
          <w:kern w:val="0"/>
          <w:szCs w:val="22"/>
        </w:rPr>
        <w:t xml:space="preserve"> which would </w:t>
      </w:r>
      <w:r w:rsidR="009F6BC3">
        <w:rPr>
          <w:snapToGrid/>
          <w:kern w:val="0"/>
          <w:szCs w:val="22"/>
        </w:rPr>
        <w:t>permit</w:t>
      </w:r>
      <w:r w:rsidR="00740642">
        <w:rPr>
          <w:snapToGrid/>
          <w:kern w:val="0"/>
          <w:szCs w:val="22"/>
        </w:rPr>
        <w:t xml:space="preserve"> the radio subscription service provider to</w:t>
      </w:r>
      <w:r w:rsidR="00C734AD">
        <w:rPr>
          <w:snapToGrid/>
          <w:kern w:val="0"/>
          <w:szCs w:val="22"/>
        </w:rPr>
        <w:t xml:space="preserve"> call</w:t>
      </w:r>
      <w:r w:rsidR="00740642">
        <w:rPr>
          <w:snapToGrid/>
          <w:kern w:val="0"/>
          <w:szCs w:val="22"/>
        </w:rPr>
        <w:t xml:space="preserve"> </w:t>
      </w:r>
      <w:r w:rsidR="00826021">
        <w:rPr>
          <w:snapToGrid/>
          <w:kern w:val="0"/>
          <w:szCs w:val="22"/>
        </w:rPr>
        <w:t>the</w:t>
      </w:r>
      <w:r w:rsidR="00740642">
        <w:rPr>
          <w:snapToGrid/>
          <w:kern w:val="0"/>
          <w:szCs w:val="22"/>
        </w:rPr>
        <w:t xml:space="preserve"> purchaser</w:t>
      </w:r>
      <w:r w:rsidR="009F6BC3">
        <w:rPr>
          <w:snapToGrid/>
          <w:kern w:val="0"/>
          <w:szCs w:val="22"/>
        </w:rPr>
        <w:t xml:space="preserve"> </w:t>
      </w:r>
      <w:r w:rsidR="00B9560C">
        <w:rPr>
          <w:snapToGrid/>
          <w:kern w:val="0"/>
          <w:szCs w:val="22"/>
        </w:rPr>
        <w:t xml:space="preserve">even </w:t>
      </w:r>
      <w:r w:rsidR="00826021">
        <w:rPr>
          <w:snapToGrid/>
          <w:kern w:val="0"/>
          <w:szCs w:val="22"/>
        </w:rPr>
        <w:t>if th</w:t>
      </w:r>
      <w:r w:rsidR="000946FB">
        <w:rPr>
          <w:snapToGrid/>
          <w:kern w:val="0"/>
          <w:szCs w:val="22"/>
        </w:rPr>
        <w:t>at</w:t>
      </w:r>
      <w:r w:rsidR="00826021">
        <w:rPr>
          <w:snapToGrid/>
          <w:kern w:val="0"/>
          <w:szCs w:val="22"/>
        </w:rPr>
        <w:t xml:space="preserve"> purchaser is </w:t>
      </w:r>
      <w:r w:rsidR="009F6BC3">
        <w:rPr>
          <w:snapToGrid/>
          <w:kern w:val="0"/>
          <w:szCs w:val="22"/>
        </w:rPr>
        <w:t xml:space="preserve">registered on the </w:t>
      </w:r>
      <w:r w:rsidR="00CE0E6E">
        <w:rPr>
          <w:snapToGrid/>
          <w:kern w:val="0"/>
          <w:szCs w:val="22"/>
        </w:rPr>
        <w:t>National Do</w:t>
      </w:r>
      <w:r w:rsidR="009F6BC3">
        <w:rPr>
          <w:snapToGrid/>
          <w:kern w:val="0"/>
          <w:szCs w:val="22"/>
        </w:rPr>
        <w:t>-</w:t>
      </w:r>
      <w:r w:rsidR="00CE0E6E">
        <w:rPr>
          <w:snapToGrid/>
          <w:kern w:val="0"/>
          <w:szCs w:val="22"/>
        </w:rPr>
        <w:t>Not</w:t>
      </w:r>
      <w:r w:rsidR="009F6BC3">
        <w:rPr>
          <w:snapToGrid/>
          <w:kern w:val="0"/>
          <w:szCs w:val="22"/>
        </w:rPr>
        <w:t>-</w:t>
      </w:r>
      <w:r w:rsidR="00CE0E6E">
        <w:rPr>
          <w:snapToGrid/>
          <w:kern w:val="0"/>
          <w:szCs w:val="22"/>
        </w:rPr>
        <w:t>Call Registry</w:t>
      </w:r>
      <w:r w:rsidR="00740642">
        <w:rPr>
          <w:snapToGrid/>
          <w:kern w:val="0"/>
          <w:szCs w:val="22"/>
        </w:rPr>
        <w:t>.</w:t>
      </w:r>
      <w:r>
        <w:rPr>
          <w:rStyle w:val="FootnoteReference"/>
        </w:rPr>
        <w:footnoteReference w:id="5"/>
      </w:r>
      <w:r>
        <w:t xml:space="preserve">  </w:t>
      </w:r>
    </w:p>
    <w:p w:rsidR="00F85D08" w:rsidP="00F85D08" w14:paraId="3CC1C757" w14:textId="77777777"/>
    <w:p w:rsidR="00F85D08" w:rsidP="00F85D08" w14:paraId="7109162A" w14:textId="4A6CAF11">
      <w:pPr>
        <w:ind w:firstLine="720"/>
      </w:pPr>
      <w:r>
        <w:rPr>
          <w:szCs w:val="22"/>
        </w:rPr>
        <w:t xml:space="preserve">We seek comment on this and any other issues raised by the </w:t>
      </w:r>
      <w:r w:rsidR="00B55831">
        <w:rPr>
          <w:i/>
          <w:szCs w:val="22"/>
        </w:rPr>
        <w:t>Request for Clarification</w:t>
      </w:r>
      <w:r>
        <w:rPr>
          <w:szCs w:val="22"/>
        </w:rPr>
        <w:t>.</w:t>
      </w:r>
    </w:p>
    <w:p w:rsidR="00F85D08" w:rsidP="00F85D08" w14:paraId="04A446FE" w14:textId="77777777">
      <w:pPr>
        <w:autoSpaceDE w:val="0"/>
        <w:autoSpaceDN w:val="0"/>
        <w:adjustRightInd w:val="0"/>
        <w:rPr>
          <w:szCs w:val="22"/>
        </w:rPr>
      </w:pPr>
    </w:p>
    <w:p w:rsidR="00F85D08" w:rsidP="00F85D08" w14:paraId="2D4429F5" w14:textId="4F6E7734">
      <w:pPr>
        <w:ind w:firstLine="720"/>
        <w:rPr>
          <w:szCs w:val="22"/>
        </w:rPr>
      </w:pPr>
      <w:r w:rsidRPr="000D7702">
        <w:rPr>
          <w:i/>
          <w:szCs w:val="22"/>
        </w:rPr>
        <w:t xml:space="preserve">Filing Requirements.  </w:t>
      </w:r>
      <w:r w:rsidR="00B9560C">
        <w:rPr>
          <w:szCs w:val="22"/>
        </w:rPr>
        <w:t>Pursuant to section 1.2 of the Commission’s rules, i</w:t>
      </w:r>
      <w:r w:rsidRPr="000D7702">
        <w:rPr>
          <w:szCs w:val="22"/>
        </w:rPr>
        <w:t>nterested parties may file comments on or before the date indicated on the first page of this document.</w:t>
      </w:r>
      <w:r>
        <w:rPr>
          <w:szCs w:val="22"/>
          <w:vertAlign w:val="superscript"/>
        </w:rPr>
        <w:footnoteReference w:id="6"/>
      </w:r>
      <w:r w:rsidRPr="000D7702">
        <w:rPr>
          <w:szCs w:val="22"/>
        </w:rPr>
        <w:t xml:space="preserve">  </w:t>
      </w:r>
      <w:r w:rsidRPr="000D7702">
        <w:rPr>
          <w:iCs/>
          <w:szCs w:val="22"/>
        </w:rPr>
        <w:t>All filings mus</w:t>
      </w:r>
      <w:r>
        <w:rPr>
          <w:iCs/>
          <w:szCs w:val="22"/>
        </w:rPr>
        <w:t>t reference CG Docket No. 02-278</w:t>
      </w:r>
      <w:r w:rsidRPr="000D7702">
        <w:rPr>
          <w:iCs/>
          <w:szCs w:val="22"/>
        </w:rPr>
        <w:t xml:space="preserve">.  </w:t>
      </w:r>
      <w:r w:rsidRPr="000D7702">
        <w:rPr>
          <w:szCs w:val="22"/>
        </w:rPr>
        <w:t>Comments may be filed using the Commission’s Electronic Comment Filing System (ECFS).</w:t>
      </w:r>
      <w:r>
        <w:rPr>
          <w:szCs w:val="22"/>
          <w:vertAlign w:val="superscript"/>
        </w:rPr>
        <w:footnoteReference w:id="7"/>
      </w:r>
      <w:r w:rsidRPr="000D7702">
        <w:rPr>
          <w:szCs w:val="22"/>
        </w:rPr>
        <w:t xml:space="preserve"> </w:t>
      </w:r>
    </w:p>
    <w:p w:rsidR="00A97E74" w:rsidRPr="000D7702" w:rsidP="00F85D08" w14:paraId="2B0A71E0" w14:textId="77777777">
      <w:pPr>
        <w:ind w:firstLine="720"/>
        <w:rPr>
          <w:szCs w:val="22"/>
        </w:rPr>
      </w:pPr>
    </w:p>
    <w:p w:rsidR="00F85D08" w:rsidRPr="000D7702" w:rsidP="00882B83" w14:paraId="4ABF57FF" w14:textId="77777777">
      <w:pPr>
        <w:widowControl/>
        <w:numPr>
          <w:ilvl w:val="0"/>
          <w:numId w:val="7"/>
        </w:numPr>
        <w:spacing w:after="120"/>
        <w:rPr>
          <w:szCs w:val="22"/>
        </w:rPr>
      </w:pPr>
      <w:r w:rsidRPr="000D7702">
        <w:rPr>
          <w:szCs w:val="22"/>
        </w:rPr>
        <w:t xml:space="preserve">Electronic Filers:  Comments may be filed electronically using the Internet by accessing ECFS:  </w:t>
      </w:r>
      <w:bookmarkStart w:id="0" w:name="_GoBack"/>
      <w:bookmarkEnd w:id="0"/>
      <w:hyperlink r:id="rId5" w:history="1">
        <w:r w:rsidRPr="000D7702">
          <w:rPr>
            <w:color w:val="0000FF"/>
            <w:szCs w:val="22"/>
            <w:u w:val="single"/>
          </w:rPr>
          <w:t>https://www.fcc.gov/ecfs/</w:t>
        </w:r>
      </w:hyperlink>
      <w:r w:rsidRPr="000D7702">
        <w:rPr>
          <w:szCs w:val="22"/>
        </w:rPr>
        <w:t xml:space="preserve">.  </w:t>
      </w:r>
    </w:p>
    <w:p w:rsidR="00F85D08" w:rsidRPr="000D7702" w:rsidP="00F85D08" w14:paraId="299F9F44" w14:textId="77777777">
      <w:pPr>
        <w:numPr>
          <w:ilvl w:val="0"/>
          <w:numId w:val="7"/>
        </w:numPr>
        <w:spacing w:after="120"/>
        <w:rPr>
          <w:szCs w:val="22"/>
        </w:rPr>
      </w:pPr>
      <w:r w:rsidRPr="000D7702">
        <w:rPr>
          <w:szCs w:val="22"/>
        </w:rPr>
        <w:t>Paper Filers:  Parties who choose to file by paper must file an original and one copy of each filing.</w:t>
      </w:r>
    </w:p>
    <w:p w:rsidR="00F85D08" w:rsidRPr="000D7702" w:rsidP="00F85D08" w14:paraId="6BADAE12" w14:textId="77777777">
      <w:pPr>
        <w:widowControl/>
        <w:numPr>
          <w:ilvl w:val="0"/>
          <w:numId w:val="7"/>
        </w:numPr>
        <w:spacing w:after="120"/>
        <w:rPr>
          <w:szCs w:val="22"/>
        </w:rPr>
      </w:pPr>
      <w:r w:rsidRPr="000D7702">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F85D08" w:rsidRPr="000D7702" w:rsidP="00F85D08" w14:paraId="00FBD57D" w14:textId="77777777">
      <w:pPr>
        <w:numPr>
          <w:ilvl w:val="1"/>
          <w:numId w:val="7"/>
        </w:numPr>
        <w:spacing w:after="120"/>
        <w:rPr>
          <w:szCs w:val="22"/>
        </w:rPr>
      </w:pPr>
      <w:r w:rsidRPr="000D7702">
        <w:rPr>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F85D08" w:rsidRPr="000D7702" w:rsidP="00F85D08" w14:paraId="5839D415" w14:textId="77777777">
      <w:pPr>
        <w:numPr>
          <w:ilvl w:val="1"/>
          <w:numId w:val="7"/>
        </w:numPr>
        <w:spacing w:after="120"/>
        <w:rPr>
          <w:szCs w:val="22"/>
        </w:rPr>
      </w:pPr>
      <w:r w:rsidRPr="000D7702">
        <w:rPr>
          <w:szCs w:val="22"/>
        </w:rPr>
        <w:t>Commercial overnight mail (other than U.S. Postal Service Express Mail and Priority Mail) must be sent to 9050 Junction Drive, Annapolis Junction, MD 20701.</w:t>
      </w:r>
    </w:p>
    <w:p w:rsidR="00F85D08" w:rsidRPr="000D7702" w:rsidP="00F85D08" w14:paraId="3D8A01E5" w14:textId="77777777">
      <w:pPr>
        <w:numPr>
          <w:ilvl w:val="1"/>
          <w:numId w:val="7"/>
        </w:numPr>
        <w:spacing w:after="120"/>
        <w:rPr>
          <w:szCs w:val="22"/>
        </w:rPr>
      </w:pPr>
      <w:r w:rsidRPr="000D7702">
        <w:rPr>
          <w:szCs w:val="22"/>
        </w:rPr>
        <w:t>U.S. Postal Service first-class, Express, and Priority mail must be addressed to 445 12th Street, SW, Washington DC  20554.</w:t>
      </w:r>
    </w:p>
    <w:p w:rsidR="00F85D08" w:rsidRPr="000D7702" w:rsidP="00F85D08" w14:paraId="72779271" w14:textId="77777777">
      <w:pPr>
        <w:spacing w:after="120"/>
        <w:ind w:firstLine="720"/>
        <w:rPr>
          <w:szCs w:val="22"/>
        </w:rPr>
      </w:pPr>
      <w:r w:rsidRPr="000D7702">
        <w:rPr>
          <w:i/>
          <w:szCs w:val="22"/>
        </w:rPr>
        <w:t>Ex Parte Rules</w:t>
      </w:r>
      <w:r w:rsidRPr="000D7702">
        <w:rPr>
          <w:szCs w:val="22"/>
        </w:rPr>
        <w:t xml:space="preserve">.  The proceeding this Notice initiates shall be treated as a “permit-but-disclose” proceeding in accordance with the Commission’s </w:t>
      </w:r>
      <w:r w:rsidRPr="000D7702">
        <w:rPr>
          <w:i/>
          <w:iCs/>
          <w:szCs w:val="22"/>
        </w:rPr>
        <w:t xml:space="preserve">ex parte </w:t>
      </w:r>
      <w:r w:rsidRPr="000D7702">
        <w:rPr>
          <w:szCs w:val="22"/>
        </w:rPr>
        <w:t>rules.</w:t>
      </w:r>
      <w:r>
        <w:rPr>
          <w:szCs w:val="22"/>
          <w:vertAlign w:val="superscript"/>
        </w:rPr>
        <w:footnoteReference w:id="8"/>
      </w:r>
      <w:r w:rsidRPr="000D7702">
        <w:rPr>
          <w:szCs w:val="22"/>
        </w:rPr>
        <w:t xml:space="preserve">  Persons making </w:t>
      </w:r>
      <w:r w:rsidRPr="000D7702">
        <w:rPr>
          <w:i/>
          <w:szCs w:val="22"/>
        </w:rPr>
        <w:t xml:space="preserve">ex parte </w:t>
      </w:r>
      <w:r w:rsidRPr="000D7702">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D7702">
        <w:rPr>
          <w:i/>
          <w:iCs/>
          <w:szCs w:val="22"/>
        </w:rPr>
        <w:t xml:space="preserve">ex parte </w:t>
      </w:r>
      <w:r w:rsidRPr="000D7702">
        <w:rPr>
          <w:szCs w:val="22"/>
        </w:rPr>
        <w:t xml:space="preserve">presentations are reminded that memoranda summarizing the presentation must (1) list all persons attending or otherwise participating in the meeting at which the </w:t>
      </w:r>
      <w:r w:rsidRPr="000D7702">
        <w:rPr>
          <w:i/>
          <w:iCs/>
          <w:szCs w:val="22"/>
        </w:rPr>
        <w:t xml:space="preserve">ex parte </w:t>
      </w:r>
      <w:r w:rsidRPr="000D7702">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D7702">
        <w:rPr>
          <w:i/>
          <w:iCs/>
          <w:szCs w:val="22"/>
        </w:rPr>
        <w:t xml:space="preserve">ex parte </w:t>
      </w:r>
      <w:r w:rsidRPr="000D7702">
        <w:rPr>
          <w:szCs w:val="22"/>
        </w:rPr>
        <w:t xml:space="preserve">meetings are deemed to be written </w:t>
      </w:r>
      <w:r w:rsidRPr="000D7702">
        <w:rPr>
          <w:i/>
          <w:iCs/>
          <w:szCs w:val="22"/>
        </w:rPr>
        <w:t>ex parte</w:t>
      </w:r>
      <w:r w:rsidRPr="000D7702">
        <w:rPr>
          <w:szCs w:val="22"/>
        </w:rPr>
        <w:t xml:space="preserve"> presentations and must be filed consistent with rule 1.1206(b).  In proceedings governed by rule 1.49(f) or for which the Commission has made available a method of electronic filing, written </w:t>
      </w:r>
      <w:r w:rsidRPr="000D7702">
        <w:rPr>
          <w:i/>
          <w:iCs/>
          <w:szCs w:val="22"/>
        </w:rPr>
        <w:t xml:space="preserve">ex parte </w:t>
      </w:r>
      <w:r w:rsidRPr="000D7702">
        <w:rPr>
          <w:szCs w:val="22"/>
        </w:rPr>
        <w:t xml:space="preserve">presentations and memoranda summarizing oral </w:t>
      </w:r>
      <w:r w:rsidRPr="000D7702">
        <w:rPr>
          <w:i/>
          <w:iCs/>
          <w:szCs w:val="22"/>
        </w:rPr>
        <w:t xml:space="preserve">ex parte </w:t>
      </w:r>
      <w:r w:rsidRPr="000D7702">
        <w:rPr>
          <w:szCs w:val="22"/>
        </w:rPr>
        <w:t>presentations, and all attachments thereto, must be filed through the electronic comment filing system available for that proceeding, and must be filed in their native format (</w:t>
      </w:r>
      <w:r w:rsidRPr="00017649">
        <w:rPr>
          <w:iCs/>
          <w:szCs w:val="22"/>
        </w:rPr>
        <w:t>e.g.</w:t>
      </w:r>
      <w:r w:rsidRPr="00017649">
        <w:rPr>
          <w:szCs w:val="22"/>
        </w:rPr>
        <w:t>,</w:t>
      </w:r>
      <w:r w:rsidRPr="000D7702">
        <w:rPr>
          <w:szCs w:val="22"/>
        </w:rPr>
        <w:t xml:space="preserve"> .doc, .xml, .ppt, searchable .pdf).  Participants in this proceeding should familiarize themselves with the Commission’s </w:t>
      </w:r>
      <w:r w:rsidRPr="000D7702">
        <w:rPr>
          <w:i/>
          <w:iCs/>
          <w:szCs w:val="22"/>
        </w:rPr>
        <w:t xml:space="preserve">ex parte </w:t>
      </w:r>
      <w:r w:rsidRPr="000D7702">
        <w:rPr>
          <w:szCs w:val="22"/>
        </w:rPr>
        <w:t>rules.</w:t>
      </w:r>
    </w:p>
    <w:p w:rsidR="00F85D08" w:rsidRPr="000D7702" w:rsidP="00F85D08" w14:paraId="7039FA99" w14:textId="77777777">
      <w:pPr>
        <w:spacing w:after="120"/>
        <w:ind w:firstLine="720"/>
        <w:rPr>
          <w:szCs w:val="22"/>
        </w:rPr>
      </w:pPr>
      <w:r w:rsidRPr="000D7702">
        <w:rPr>
          <w:i/>
          <w:szCs w:val="22"/>
        </w:rPr>
        <w:t xml:space="preserve">People with Disabilities.  </w:t>
      </w:r>
      <w:r w:rsidRPr="000D7702">
        <w:rPr>
          <w:szCs w:val="22"/>
        </w:rPr>
        <w:t xml:space="preserve">To request materials in accessible formats for people with disabilities (Braille, large print, electronic files, audio format), send an e-mail to </w:t>
      </w:r>
      <w:hyperlink r:id="rId6" w:history="1">
        <w:r w:rsidRPr="000D7702">
          <w:rPr>
            <w:color w:val="0000FF"/>
            <w:szCs w:val="22"/>
            <w:u w:val="single"/>
          </w:rPr>
          <w:t>fcc504@fcc.gov</w:t>
        </w:r>
      </w:hyperlink>
      <w:r w:rsidRPr="000D7702">
        <w:rPr>
          <w:szCs w:val="22"/>
        </w:rPr>
        <w:t xml:space="preserve"> or call the Consumer and Governmental Affairs Bureau at 202-418-0530 (voice), 844-432-2275 (videophone), or 202-418-0432 (TTY).  </w:t>
      </w:r>
    </w:p>
    <w:p w:rsidR="00F85D08" w:rsidP="00F85D08" w14:paraId="7B4FC207" w14:textId="459C412E">
      <w:pPr>
        <w:widowControl/>
        <w:ind w:firstLine="720"/>
        <w:rPr>
          <w:szCs w:val="22"/>
        </w:rPr>
      </w:pPr>
      <w:r>
        <w:rPr>
          <w:i/>
          <w:szCs w:val="22"/>
        </w:rPr>
        <w:t>Additional Information.</w:t>
      </w:r>
      <w:r>
        <w:rPr>
          <w:szCs w:val="22"/>
        </w:rPr>
        <w:t xml:space="preserve">  For further information, </w:t>
      </w:r>
      <w:r w:rsidRPr="001411E5">
        <w:rPr>
          <w:szCs w:val="22"/>
        </w:rPr>
        <w:t xml:space="preserve">contact </w:t>
      </w:r>
      <w:r>
        <w:rPr>
          <w:szCs w:val="22"/>
        </w:rPr>
        <w:t>Erica H. McMahon, Consumer Policy Division,</w:t>
      </w:r>
      <w:r w:rsidRPr="001411E5">
        <w:rPr>
          <w:szCs w:val="22"/>
        </w:rPr>
        <w:t xml:space="preserve"> Consumer</w:t>
      </w:r>
      <w:r>
        <w:rPr>
          <w:szCs w:val="22"/>
        </w:rPr>
        <w:t xml:space="preserve"> </w:t>
      </w:r>
      <w:r w:rsidR="00BB7C88">
        <w:rPr>
          <w:szCs w:val="22"/>
        </w:rPr>
        <w:t>and</w:t>
      </w:r>
      <w:r w:rsidRPr="001411E5">
        <w:rPr>
          <w:szCs w:val="22"/>
        </w:rPr>
        <w:t xml:space="preserve"> Governmental Affairs Bureau, at (202) 418-</w:t>
      </w:r>
      <w:r>
        <w:rPr>
          <w:szCs w:val="22"/>
        </w:rPr>
        <w:t>0346</w:t>
      </w:r>
      <w:r w:rsidRPr="001411E5">
        <w:rPr>
          <w:szCs w:val="22"/>
        </w:rPr>
        <w:t xml:space="preserve"> or </w:t>
      </w:r>
      <w:hyperlink r:id="rId7" w:history="1">
        <w:r w:rsidRPr="00591FE8">
          <w:rPr>
            <w:rStyle w:val="Hyperlink"/>
            <w:szCs w:val="22"/>
          </w:rPr>
          <w:t>Erica.McMahon@fcc.gov</w:t>
        </w:r>
      </w:hyperlink>
      <w:r w:rsidRPr="001411E5">
        <w:rPr>
          <w:szCs w:val="22"/>
        </w:rPr>
        <w:t>.</w:t>
      </w:r>
    </w:p>
    <w:p w:rsidR="00F85D08" w:rsidP="00F85D08" w14:paraId="3DD38FE3" w14:textId="77777777">
      <w:pPr>
        <w:widowControl/>
      </w:pPr>
    </w:p>
    <w:p w:rsidR="00F85D08" w:rsidP="00F85D08" w14:paraId="7843CF5A" w14:textId="77777777">
      <w:pPr>
        <w:widowControl/>
        <w:jc w:val="center"/>
        <w:rPr>
          <w:b/>
        </w:rPr>
      </w:pPr>
    </w:p>
    <w:p w:rsidR="00F85D08" w:rsidRPr="00B316C8" w:rsidP="00F85D08" w14:paraId="5C76B25E" w14:textId="77777777">
      <w:pPr>
        <w:widowControl/>
        <w:jc w:val="center"/>
        <w:rPr>
          <w:b/>
        </w:rPr>
      </w:pPr>
      <w:r w:rsidRPr="00B316C8">
        <w:rPr>
          <w:b/>
        </w:rPr>
        <w:t>-FCC-</w:t>
      </w:r>
    </w:p>
    <w:p w:rsidR="00930ECF" w:rsidRPr="00930ECF" w:rsidP="00F96F63" w14:paraId="008F1CDB" w14:textId="77777777">
      <w:pPr>
        <w:rPr>
          <w:sz w:val="24"/>
        </w:rPr>
      </w:pPr>
    </w:p>
    <w:sectPr w:rsidSect="000E5884">
      <w:headerReference w:type="default" r:id="rId8"/>
      <w:footerReference w:type="even" r:id="rId9"/>
      <w:footerReference w:type="default" r:id="rId10"/>
      <w:headerReference w:type="first" r:id="rId11"/>
      <w:footerReference w:type="first" r:id="rId12"/>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8BB0AF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A9FAA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BFB895A" w14:textId="77777777">
    <w:pPr>
      <w:pStyle w:val="Footer"/>
      <w:jc w:val="center"/>
    </w:pPr>
    <w:r>
      <w:fldChar w:fldCharType="begin"/>
    </w:r>
    <w:r>
      <w:instrText xml:space="preserve"> PAGE   \* MERGEFORMAT </w:instrText>
    </w:r>
    <w:r>
      <w:fldChar w:fldCharType="separate"/>
    </w:r>
    <w:r w:rsidR="00B9560C">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EFA95E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909F0" w14:paraId="785A2CD9" w14:textId="77777777">
      <w:r>
        <w:separator/>
      </w:r>
    </w:p>
  </w:footnote>
  <w:footnote w:type="continuationSeparator" w:id="1">
    <w:p w:rsidR="00F909F0" w14:paraId="1E84ABB6" w14:textId="77777777">
      <w:pPr>
        <w:rPr>
          <w:sz w:val="20"/>
        </w:rPr>
      </w:pPr>
      <w:r>
        <w:rPr>
          <w:sz w:val="20"/>
        </w:rPr>
        <w:t xml:space="preserve">(Continued from previous page)  </w:t>
      </w:r>
      <w:r>
        <w:rPr>
          <w:sz w:val="20"/>
        </w:rPr>
        <w:separator/>
      </w:r>
    </w:p>
  </w:footnote>
  <w:footnote w:type="continuationNotice" w:id="2">
    <w:p w:rsidR="00F909F0" w:rsidP="00EE4493" w14:paraId="69BCBAB3" w14:textId="77777777">
      <w:pPr>
        <w:jc w:val="center"/>
        <w:rPr>
          <w:sz w:val="20"/>
        </w:rPr>
      </w:pPr>
    </w:p>
  </w:footnote>
  <w:footnote w:id="3">
    <w:p w:rsidR="00F85D08" w:rsidP="00F85D08" w14:paraId="0D834EE9" w14:textId="54F202AC">
      <w:pPr>
        <w:pStyle w:val="FootnoteText"/>
      </w:pPr>
      <w:r>
        <w:rPr>
          <w:rStyle w:val="FootnoteReference"/>
        </w:rPr>
        <w:footnoteRef/>
      </w:r>
      <w:r>
        <w:t xml:space="preserve"> </w:t>
      </w:r>
      <w:r w:rsidR="00620EDC">
        <w:t>Request for Clarification filed by Patrick Maupin</w:t>
      </w:r>
      <w:r>
        <w:t>, CG Docket No. 02-278 (</w:t>
      </w:r>
      <w:r w:rsidRPr="003606A7">
        <w:t xml:space="preserve">filed </w:t>
      </w:r>
      <w:r w:rsidR="007D6038">
        <w:t>June 21</w:t>
      </w:r>
      <w:r>
        <w:t>, 2019) (</w:t>
      </w:r>
      <w:r w:rsidR="00B55831">
        <w:rPr>
          <w:i/>
        </w:rPr>
        <w:t>Request for Clarification</w:t>
      </w:r>
      <w:r>
        <w:t>).</w:t>
      </w:r>
    </w:p>
  </w:footnote>
  <w:footnote w:id="4">
    <w:p w:rsidR="00F85D08" w:rsidRPr="00D05EF7" w:rsidP="00F85D08" w14:paraId="0176E789" w14:textId="364C1DF8">
      <w:pPr>
        <w:pStyle w:val="FootnoteText"/>
      </w:pPr>
      <w:r>
        <w:rPr>
          <w:rStyle w:val="FootnoteReference"/>
        </w:rPr>
        <w:footnoteRef/>
      </w:r>
      <w:r>
        <w:t xml:space="preserve"> </w:t>
      </w:r>
      <w:r w:rsidR="00B55831">
        <w:rPr>
          <w:i/>
        </w:rPr>
        <w:t>Request for Clarification</w:t>
      </w:r>
      <w:r w:rsidR="00DD566C">
        <w:t xml:space="preserve"> at </w:t>
      </w:r>
      <w:r w:rsidR="00D7484D">
        <w:t>2</w:t>
      </w:r>
      <w:r w:rsidR="00DD566C">
        <w:t xml:space="preserve">.  </w:t>
      </w:r>
      <w:r w:rsidR="000D7A80">
        <w:t xml:space="preserve">The TCPA is codified </w:t>
      </w:r>
      <w:r w:rsidR="00DD566C">
        <w:t>in</w:t>
      </w:r>
      <w:r w:rsidR="000D7A80">
        <w:t xml:space="preserve"> </w:t>
      </w:r>
      <w:r>
        <w:t xml:space="preserve">47 U.S.C. </w:t>
      </w:r>
      <w:r w:rsidRPr="00C17DC1">
        <w:t>§</w:t>
      </w:r>
      <w:r>
        <w:t xml:space="preserve"> 227</w:t>
      </w:r>
      <w:r w:rsidR="000D7A80">
        <w:t xml:space="preserve">.  The Commission’s implementing rules on </w:t>
      </w:r>
      <w:r w:rsidR="00121269">
        <w:t>tele</w:t>
      </w:r>
      <w:r w:rsidR="002A348C">
        <w:t>phone solicitations</w:t>
      </w:r>
      <w:r w:rsidR="000D7A80">
        <w:t xml:space="preserve"> are found in 47 CFR </w:t>
      </w:r>
      <w:r w:rsidRPr="00C17DC1" w:rsidR="000D7A80">
        <w:t>§</w:t>
      </w:r>
      <w:r w:rsidR="000D7A80">
        <w:t xml:space="preserve"> 64.1200. </w:t>
      </w:r>
      <w:r>
        <w:t xml:space="preserve"> </w:t>
      </w:r>
      <w:r w:rsidR="000D7A80">
        <w:rPr>
          <w:i/>
        </w:rPr>
        <w:t>S</w:t>
      </w:r>
      <w:r w:rsidRPr="00C920DF">
        <w:rPr>
          <w:i/>
        </w:rPr>
        <w:t>ee also</w:t>
      </w:r>
      <w:r w:rsidR="00DF2A99">
        <w:t xml:space="preserve"> </w:t>
      </w:r>
      <w:r w:rsidR="00740642">
        <w:rPr>
          <w:i/>
        </w:rPr>
        <w:t>Rules and Regulations Implementing the Telephone Consumer Protection Act of 1991</w:t>
      </w:r>
      <w:r w:rsidR="00740642">
        <w:t xml:space="preserve">, CG Docket No. 02-278, Report and Order, 18 FCC </w:t>
      </w:r>
      <w:r w:rsidR="00740642">
        <w:t>Rcd</w:t>
      </w:r>
      <w:r w:rsidR="00740642">
        <w:t xml:space="preserve"> 14014 (2003)</w:t>
      </w:r>
      <w:r w:rsidR="00D05EF7">
        <w:t xml:space="preserve"> (</w:t>
      </w:r>
      <w:r w:rsidRPr="00DF2A99" w:rsidR="00D05EF7">
        <w:rPr>
          <w:i/>
        </w:rPr>
        <w:t>2003 TCPA Order</w:t>
      </w:r>
      <w:r w:rsidRPr="00D05EF7" w:rsidR="00D05EF7">
        <w:t>)</w:t>
      </w:r>
      <w:r w:rsidRPr="00D05EF7" w:rsidR="00740642">
        <w:t>.</w:t>
      </w:r>
      <w:r w:rsidRPr="00D05EF7" w:rsidR="00D05EF7">
        <w:t xml:space="preserve">  In the </w:t>
      </w:r>
      <w:r w:rsidRPr="00D05EF7" w:rsidR="00D05EF7">
        <w:rPr>
          <w:i/>
        </w:rPr>
        <w:t>2003 TCPA Order</w:t>
      </w:r>
      <w:r w:rsidRPr="00D05EF7" w:rsidR="00D05EF7">
        <w:t xml:space="preserve">, the Commission adopted a </w:t>
      </w:r>
      <w:r w:rsidR="00154369">
        <w:t>N</w:t>
      </w:r>
      <w:r w:rsidRPr="00D05EF7" w:rsidR="00154369">
        <w:t xml:space="preserve">ational </w:t>
      </w:r>
      <w:r w:rsidR="00154369">
        <w:t>D</w:t>
      </w:r>
      <w:r w:rsidRPr="00D05EF7" w:rsidR="00154369">
        <w:t>o</w:t>
      </w:r>
      <w:r w:rsidRPr="00D05EF7" w:rsidR="00D05EF7">
        <w:t>-</w:t>
      </w:r>
      <w:r w:rsidR="00154369">
        <w:t>N</w:t>
      </w:r>
      <w:r w:rsidRPr="00D05EF7" w:rsidR="00154369">
        <w:t>ot</w:t>
      </w:r>
      <w:r w:rsidRPr="00D05EF7" w:rsidR="00D05EF7">
        <w:t>-</w:t>
      </w:r>
      <w:r w:rsidR="00154369">
        <w:t>C</w:t>
      </w:r>
      <w:r w:rsidRPr="00D05EF7" w:rsidR="00154369">
        <w:t xml:space="preserve">all </w:t>
      </w:r>
      <w:r w:rsidR="00154369">
        <w:t>R</w:t>
      </w:r>
      <w:r w:rsidRPr="00D05EF7" w:rsidR="00154369">
        <w:t xml:space="preserve">egistry </w:t>
      </w:r>
      <w:r w:rsidRPr="00D05EF7" w:rsidR="00D05EF7">
        <w:t xml:space="preserve">to provide residential consumers with an option to </w:t>
      </w:r>
      <w:r w:rsidR="00FE06A3">
        <w:t xml:space="preserve">avoid </w:t>
      </w:r>
      <w:r w:rsidRPr="00D05EF7" w:rsidR="00D05EF7">
        <w:t>unwanted telephone solicitations</w:t>
      </w:r>
      <w:r w:rsidR="00FE06A3">
        <w:t xml:space="preserve"> by putting their phone numbers on the Registry</w:t>
      </w:r>
      <w:r w:rsidRPr="00D05EF7" w:rsidR="00D05EF7">
        <w:t xml:space="preserve">. </w:t>
      </w:r>
      <w:r w:rsidR="00DF2A99">
        <w:t xml:space="preserve"> </w:t>
      </w:r>
      <w:r w:rsidRPr="00D05EF7" w:rsidR="00D05EF7">
        <w:t xml:space="preserve">Calls that do not fall within the definition of </w:t>
      </w:r>
      <w:r w:rsidR="00DF2A99">
        <w:t>“</w:t>
      </w:r>
      <w:r w:rsidRPr="00D05EF7" w:rsidR="00D05EF7">
        <w:t>telephone solicitation</w:t>
      </w:r>
      <w:r w:rsidR="00DF2A99">
        <w:t>”</w:t>
      </w:r>
      <w:r w:rsidRPr="00D05EF7" w:rsidR="00D05EF7">
        <w:t xml:space="preserve"> as defined in section 227(a)(3)</w:t>
      </w:r>
      <w:r w:rsidR="00DF2A99">
        <w:t xml:space="preserve"> of the TCPA</w:t>
      </w:r>
      <w:r w:rsidRPr="00D05EF7" w:rsidR="00D05EF7">
        <w:t xml:space="preserve"> are not restricted by the </w:t>
      </w:r>
      <w:r w:rsidR="007834EF">
        <w:t>N</w:t>
      </w:r>
      <w:r w:rsidRPr="00D05EF7" w:rsidR="007834EF">
        <w:t xml:space="preserve">ational </w:t>
      </w:r>
      <w:r w:rsidR="007834EF">
        <w:t>D</w:t>
      </w:r>
      <w:r w:rsidRPr="00D05EF7" w:rsidR="007834EF">
        <w:t>o</w:t>
      </w:r>
      <w:r w:rsidRPr="00D05EF7" w:rsidR="00D05EF7">
        <w:t>-</w:t>
      </w:r>
      <w:r w:rsidR="007834EF">
        <w:t>N</w:t>
      </w:r>
      <w:r w:rsidRPr="00D05EF7" w:rsidR="007834EF">
        <w:t>ot</w:t>
      </w:r>
      <w:r w:rsidRPr="00D05EF7" w:rsidR="00D05EF7">
        <w:t>-</w:t>
      </w:r>
      <w:r w:rsidR="007834EF">
        <w:t>C</w:t>
      </w:r>
      <w:r w:rsidRPr="00D05EF7" w:rsidR="007834EF">
        <w:t xml:space="preserve">all </w:t>
      </w:r>
      <w:r w:rsidR="007834EF">
        <w:t>Registry</w:t>
      </w:r>
      <w:r w:rsidRPr="00D05EF7" w:rsidR="00D05EF7">
        <w:t xml:space="preserve">.  These include calls to persons with whom the seller or telemarketer has an </w:t>
      </w:r>
      <w:r w:rsidR="00CC42CC">
        <w:t>“</w:t>
      </w:r>
      <w:r w:rsidRPr="00D05EF7" w:rsidR="00D05EF7">
        <w:t>established business relationship</w:t>
      </w:r>
      <w:r w:rsidR="00CC42CC">
        <w:t>.”</w:t>
      </w:r>
      <w:r w:rsidR="00DF2A99">
        <w:t xml:space="preserve">  </w:t>
      </w:r>
      <w:r w:rsidR="00DF2A99">
        <w:rPr>
          <w:i/>
        </w:rPr>
        <w:t>See 2003 TCPA Order</w:t>
      </w:r>
      <w:r w:rsidR="00DF2A99">
        <w:t xml:space="preserve">, 18 FCC </w:t>
      </w:r>
      <w:r w:rsidR="00DF2A99">
        <w:t>Rcd</w:t>
      </w:r>
      <w:r w:rsidR="00DF2A99">
        <w:t xml:space="preserve"> at 14039-40, </w:t>
      </w:r>
      <w:r w:rsidR="00210221">
        <w:t>14076-87</w:t>
      </w:r>
      <w:r w:rsidR="00F10EF2">
        <w:t xml:space="preserve">, </w:t>
      </w:r>
      <w:r w:rsidR="00DF2A99">
        <w:t>para</w:t>
      </w:r>
      <w:r w:rsidR="00F10EF2">
        <w:t>s</w:t>
      </w:r>
      <w:r w:rsidR="00DF2A99">
        <w:t>. 37</w:t>
      </w:r>
      <w:r w:rsidR="00FE06A3">
        <w:t>,</w:t>
      </w:r>
      <w:r w:rsidR="00F10EF2">
        <w:t xml:space="preserve"> 109-124</w:t>
      </w:r>
      <w:r w:rsidR="000F40D0">
        <w:t xml:space="preserve">; 47 CFR </w:t>
      </w:r>
      <w:r w:rsidRPr="00C17DC1" w:rsidR="000F40D0">
        <w:t>§</w:t>
      </w:r>
      <w:r w:rsidR="000F40D0">
        <w:t xml:space="preserve"> 64.1200(f)(5).</w:t>
      </w:r>
    </w:p>
  </w:footnote>
  <w:footnote w:id="5">
    <w:p w:rsidR="00F85D08" w:rsidRPr="00BC5807" w:rsidP="00BC5807" w14:paraId="499D30A9" w14:textId="5AC65BC6">
      <w:pPr>
        <w:widowControl/>
        <w:autoSpaceDE w:val="0"/>
        <w:autoSpaceDN w:val="0"/>
        <w:adjustRightInd w:val="0"/>
        <w:spacing w:after="120"/>
        <w:rPr>
          <w:snapToGrid/>
          <w:kern w:val="0"/>
          <w:sz w:val="20"/>
        </w:rPr>
      </w:pPr>
      <w:r>
        <w:rPr>
          <w:rStyle w:val="FootnoteReference"/>
        </w:rPr>
        <w:footnoteRef/>
      </w:r>
      <w:r>
        <w:t xml:space="preserve"> </w:t>
      </w:r>
      <w:r w:rsidRPr="00B55831" w:rsidR="00B55831">
        <w:rPr>
          <w:i/>
          <w:sz w:val="20"/>
        </w:rPr>
        <w:t>Request for Clarification</w:t>
      </w:r>
      <w:r w:rsidRPr="00B55831">
        <w:rPr>
          <w:sz w:val="20"/>
        </w:rPr>
        <w:t xml:space="preserve"> at </w:t>
      </w:r>
      <w:r w:rsidR="00CE0E6E">
        <w:rPr>
          <w:sz w:val="20"/>
        </w:rPr>
        <w:t>4</w:t>
      </w:r>
      <w:r w:rsidRPr="00B55831">
        <w:rPr>
          <w:sz w:val="20"/>
        </w:rPr>
        <w:t>.</w:t>
      </w:r>
      <w:r w:rsidRPr="00B55831" w:rsidR="00B55831">
        <w:rPr>
          <w:sz w:val="20"/>
        </w:rPr>
        <w:t xml:space="preserve">  </w:t>
      </w:r>
    </w:p>
  </w:footnote>
  <w:footnote w:id="6">
    <w:p w:rsidR="00F85D08" w:rsidRPr="00801F23" w:rsidP="00BC5807" w14:paraId="2E609E96" w14:textId="77777777">
      <w:pPr>
        <w:pStyle w:val="FootnoteText"/>
      </w:pPr>
      <w:r w:rsidRPr="00801F23">
        <w:rPr>
          <w:rStyle w:val="FootnoteReference"/>
        </w:rPr>
        <w:footnoteRef/>
      </w:r>
      <w:r w:rsidRPr="00801F23">
        <w:t xml:space="preserve"> 47 CFR §</w:t>
      </w:r>
      <w:r>
        <w:t> 1.2</w:t>
      </w:r>
      <w:r w:rsidRPr="00801F23">
        <w:t>.</w:t>
      </w:r>
    </w:p>
  </w:footnote>
  <w:footnote w:id="7">
    <w:p w:rsidR="00F85D08" w:rsidRPr="00801F23" w:rsidP="00F85D08" w14:paraId="4BB0A19B" w14:textId="77777777">
      <w:pPr>
        <w:pStyle w:val="FootnoteText"/>
      </w:pPr>
      <w:r w:rsidRPr="00801F23">
        <w:rPr>
          <w:rStyle w:val="FootnoteReference"/>
        </w:rPr>
        <w:footnoteRef/>
      </w:r>
      <w:r w:rsidRPr="00801F23">
        <w:t xml:space="preserve"> </w:t>
      </w:r>
      <w:r w:rsidRPr="00801F23">
        <w:rPr>
          <w:i/>
        </w:rPr>
        <w:t>See Electronic Filing of Documents in Rulemaking Proceedings</w:t>
      </w:r>
      <w:r w:rsidRPr="00801F23">
        <w:t>, 63 FR 24121 (1998).</w:t>
      </w:r>
    </w:p>
  </w:footnote>
  <w:footnote w:id="8">
    <w:p w:rsidR="00F85D08" w:rsidRPr="00801F23" w:rsidP="00F85D08" w14:paraId="52348B3A"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7C55485" w14:textId="6BF136DA">
    <w:pPr>
      <w:tabs>
        <w:tab w:val="center" w:pos="4680"/>
        <w:tab w:val="right" w:pos="9360"/>
      </w:tabs>
    </w:pPr>
    <w:r w:rsidRPr="009838BC">
      <w:rPr>
        <w:b/>
      </w:rPr>
      <w:tab/>
      <w:t>Federal Communications Commission</w:t>
    </w:r>
    <w:r w:rsidRPr="009838BC">
      <w:rPr>
        <w:b/>
      </w:rPr>
      <w:tab/>
    </w:r>
    <w:r w:rsidR="00A717A9">
      <w:rPr>
        <w:b/>
      </w:rPr>
      <w:t>DA 1</w:t>
    </w:r>
    <w:r w:rsidR="00FC2795">
      <w:rPr>
        <w:b/>
      </w:rPr>
      <w:t>9</w:t>
    </w:r>
    <w:r w:rsidR="00A717A9">
      <w:rPr>
        <w:b/>
      </w:rPr>
      <w:t>-</w:t>
    </w:r>
    <w:r w:rsidR="00ED53D3">
      <w:rPr>
        <w:b/>
      </w:rPr>
      <w:t>601</w:t>
    </w:r>
  </w:p>
  <w:p w:rsidR="009838BC" w:rsidRPr="009838BC" w:rsidP="009838BC" w14:paraId="5848357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p>
  <w:p w:rsidR="009838BC" w:rsidRPr="009838BC" w:rsidP="009838BC" w14:paraId="6537736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FB86CD6"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31E2E459" w14:textId="77777777">
                    <w:pPr>
                      <w:rPr>
                        <w:rFonts w:ascii="Arial" w:hAnsi="Arial"/>
                        <w:b/>
                      </w:rPr>
                    </w:pPr>
                    <w:r>
                      <w:rPr>
                        <w:rFonts w:ascii="Arial" w:hAnsi="Arial"/>
                        <w:b/>
                      </w:rPr>
                      <w:t>Federal Communications Commission</w:t>
                    </w:r>
                  </w:p>
                  <w:p w:rsidR="009838BC" w:rsidP="009838BC" w14:paraId="685F015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FC2A293"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 xmlns:a="http://schemas.openxmlformats.org/drawingml/2006/main">
            <a:graphicData uri="http://schemas.openxmlformats.org/drawingml/2006/picture">
              <pic:pic xmlns:pic="http://schemas.openxmlformats.org/drawingml/2006/picture">
                <pic:nvPicPr>
                  <pic:cNvPr id="625017928" name="Picture 11" descr="fcc_logo"/>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2C1095">
      <w:rPr>
        <w:rFonts w:ascii="Arial" w:hAnsi="Arial" w:cs="Arial"/>
        <w:b/>
        <w:sz w:val="96"/>
      </w:rPr>
      <w:t>PUBLIC NOTICE</w:t>
    </w:r>
  </w:p>
  <w:p w:rsidR="009838BC" w:rsidRPr="00357D50" w:rsidP="009838BC" w14:paraId="11344029"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1E3AC8C2" w14:textId="77777777">
                    <w:pPr>
                      <w:spacing w:before="40"/>
                      <w:jc w:val="right"/>
                      <w:rPr>
                        <w:rFonts w:ascii="Arial" w:hAnsi="Arial"/>
                        <w:b/>
                        <w:sz w:val="16"/>
                      </w:rPr>
                    </w:pPr>
                    <w:r>
                      <w:rPr>
                        <w:rFonts w:ascii="Arial" w:hAnsi="Arial"/>
                        <w:b/>
                        <w:sz w:val="16"/>
                      </w:rPr>
                      <w:t>News Media Information 202 / 418-0500</w:t>
                    </w:r>
                  </w:p>
                  <w:p w:rsidR="009838BC" w:rsidP="009838BC" w14:paraId="5034729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071D334C" w14:textId="77777777">
                    <w:pPr>
                      <w:jc w:val="right"/>
                    </w:pPr>
                    <w:r>
                      <w:rPr>
                        <w:rFonts w:ascii="Arial" w:hAnsi="Arial"/>
                        <w:b/>
                        <w:sz w:val="16"/>
                      </w:rPr>
                      <w:t>TTY: 1-888-835-5322</w:t>
                    </w:r>
                  </w:p>
                </w:txbxContent>
              </v:textbox>
            </v:shape>
          </w:pict>
        </mc:Fallback>
      </mc:AlternateContent>
    </w:r>
  </w:p>
  <w:p w:rsidR="006F7393" w:rsidRPr="009838BC" w:rsidP="009838BC" w14:paraId="1C8E267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DA3A4C"/>
    <w:rsid w:val="00013A8B"/>
    <w:rsid w:val="00017649"/>
    <w:rsid w:val="00026574"/>
    <w:rsid w:val="00035D3C"/>
    <w:rsid w:val="00047546"/>
    <w:rsid w:val="00047EB6"/>
    <w:rsid w:val="00066218"/>
    <w:rsid w:val="000946FB"/>
    <w:rsid w:val="000A5065"/>
    <w:rsid w:val="000D7702"/>
    <w:rsid w:val="000D7A80"/>
    <w:rsid w:val="000F0734"/>
    <w:rsid w:val="000F40D0"/>
    <w:rsid w:val="00121269"/>
    <w:rsid w:val="0012325A"/>
    <w:rsid w:val="001411E5"/>
    <w:rsid w:val="00154369"/>
    <w:rsid w:val="0019379B"/>
    <w:rsid w:val="001A140D"/>
    <w:rsid w:val="001B4FBD"/>
    <w:rsid w:val="001B5766"/>
    <w:rsid w:val="001C1E54"/>
    <w:rsid w:val="001D19C0"/>
    <w:rsid w:val="001D7413"/>
    <w:rsid w:val="001E7198"/>
    <w:rsid w:val="001F02B9"/>
    <w:rsid w:val="00210221"/>
    <w:rsid w:val="00214D03"/>
    <w:rsid w:val="00295418"/>
    <w:rsid w:val="002A317B"/>
    <w:rsid w:val="002A348C"/>
    <w:rsid w:val="002C1095"/>
    <w:rsid w:val="002F2D40"/>
    <w:rsid w:val="003248B2"/>
    <w:rsid w:val="00346CFC"/>
    <w:rsid w:val="00357D50"/>
    <w:rsid w:val="003606A7"/>
    <w:rsid w:val="003C4DC9"/>
    <w:rsid w:val="004232BD"/>
    <w:rsid w:val="0042485D"/>
    <w:rsid w:val="00483A5B"/>
    <w:rsid w:val="004C00AC"/>
    <w:rsid w:val="004E5D45"/>
    <w:rsid w:val="004F00D2"/>
    <w:rsid w:val="004F15F8"/>
    <w:rsid w:val="0055614C"/>
    <w:rsid w:val="005671F1"/>
    <w:rsid w:val="005904F6"/>
    <w:rsid w:val="00591FE8"/>
    <w:rsid w:val="005B29F3"/>
    <w:rsid w:val="005C412F"/>
    <w:rsid w:val="005F6441"/>
    <w:rsid w:val="00603ACB"/>
    <w:rsid w:val="00620EDC"/>
    <w:rsid w:val="00672BB7"/>
    <w:rsid w:val="00674185"/>
    <w:rsid w:val="00690DED"/>
    <w:rsid w:val="00695C5A"/>
    <w:rsid w:val="006A10FD"/>
    <w:rsid w:val="006C05A3"/>
    <w:rsid w:val="006F0B50"/>
    <w:rsid w:val="006F3C75"/>
    <w:rsid w:val="006F7393"/>
    <w:rsid w:val="00740642"/>
    <w:rsid w:val="007431FC"/>
    <w:rsid w:val="007657D8"/>
    <w:rsid w:val="007834EF"/>
    <w:rsid w:val="00787D6D"/>
    <w:rsid w:val="007D6038"/>
    <w:rsid w:val="00801F23"/>
    <w:rsid w:val="00826021"/>
    <w:rsid w:val="008322B2"/>
    <w:rsid w:val="008332DC"/>
    <w:rsid w:val="00882B83"/>
    <w:rsid w:val="00890EA9"/>
    <w:rsid w:val="008A6518"/>
    <w:rsid w:val="008B7D28"/>
    <w:rsid w:val="00910F12"/>
    <w:rsid w:val="0091222B"/>
    <w:rsid w:val="00930ECF"/>
    <w:rsid w:val="00966719"/>
    <w:rsid w:val="009838BC"/>
    <w:rsid w:val="009D6646"/>
    <w:rsid w:val="009F1555"/>
    <w:rsid w:val="009F6BC3"/>
    <w:rsid w:val="00A26735"/>
    <w:rsid w:val="00A717A9"/>
    <w:rsid w:val="00A866AC"/>
    <w:rsid w:val="00A97E74"/>
    <w:rsid w:val="00AB1832"/>
    <w:rsid w:val="00B316C8"/>
    <w:rsid w:val="00B44DC6"/>
    <w:rsid w:val="00B459B4"/>
    <w:rsid w:val="00B52515"/>
    <w:rsid w:val="00B55831"/>
    <w:rsid w:val="00B658EC"/>
    <w:rsid w:val="00B9560C"/>
    <w:rsid w:val="00BA05A4"/>
    <w:rsid w:val="00BB7C88"/>
    <w:rsid w:val="00BC5807"/>
    <w:rsid w:val="00C0022F"/>
    <w:rsid w:val="00C142CB"/>
    <w:rsid w:val="00C17DC1"/>
    <w:rsid w:val="00C23559"/>
    <w:rsid w:val="00C30CC7"/>
    <w:rsid w:val="00C46A5A"/>
    <w:rsid w:val="00C61D14"/>
    <w:rsid w:val="00C66FCD"/>
    <w:rsid w:val="00C734AD"/>
    <w:rsid w:val="00C920DF"/>
    <w:rsid w:val="00CC42CC"/>
    <w:rsid w:val="00CC4CF5"/>
    <w:rsid w:val="00CD42FD"/>
    <w:rsid w:val="00CD6E78"/>
    <w:rsid w:val="00CE0E6E"/>
    <w:rsid w:val="00D0273A"/>
    <w:rsid w:val="00D05EF7"/>
    <w:rsid w:val="00D216CD"/>
    <w:rsid w:val="00D7484D"/>
    <w:rsid w:val="00DA3A4C"/>
    <w:rsid w:val="00DC224B"/>
    <w:rsid w:val="00DD527E"/>
    <w:rsid w:val="00DD566C"/>
    <w:rsid w:val="00DF2A99"/>
    <w:rsid w:val="00E17388"/>
    <w:rsid w:val="00E2587D"/>
    <w:rsid w:val="00E31814"/>
    <w:rsid w:val="00E74EEE"/>
    <w:rsid w:val="00EC76B9"/>
    <w:rsid w:val="00ED462A"/>
    <w:rsid w:val="00ED4C47"/>
    <w:rsid w:val="00ED53D3"/>
    <w:rsid w:val="00EE4493"/>
    <w:rsid w:val="00F06DBF"/>
    <w:rsid w:val="00F10EF2"/>
    <w:rsid w:val="00F12F8B"/>
    <w:rsid w:val="00F83438"/>
    <w:rsid w:val="00F85D08"/>
    <w:rsid w:val="00F909F0"/>
    <w:rsid w:val="00F96F63"/>
    <w:rsid w:val="00F97F71"/>
    <w:rsid w:val="00FC2795"/>
    <w:rsid w:val="00FE06A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F56CA998-8A1F-4124-80DF-0A9825D2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8B7D28"/>
  </w:style>
  <w:style w:type="character" w:customStyle="1" w:styleId="UnresolvedMention1">
    <w:name w:val="Unresolved Mention1"/>
    <w:uiPriority w:val="99"/>
    <w:rsid w:val="00C66FCD"/>
    <w:rPr>
      <w:color w:val="808080"/>
      <w:shd w:val="clear" w:color="auto" w:fill="E6E6E6"/>
    </w:rPr>
  </w:style>
  <w:style w:type="character" w:styleId="FollowedHyperlink">
    <w:name w:val="FollowedHyperlink"/>
    <w:uiPriority w:val="99"/>
    <w:semiHidden/>
    <w:unhideWhenUsed/>
    <w:rsid w:val="001E7198"/>
    <w:rPr>
      <w:color w:val="954F72"/>
      <w:u w:val="single"/>
    </w:rPr>
  </w:style>
  <w:style w:type="paragraph" w:styleId="BalloonText">
    <w:name w:val="Balloon Text"/>
    <w:basedOn w:val="Normal"/>
    <w:link w:val="BalloonTextChar"/>
    <w:uiPriority w:val="99"/>
    <w:semiHidden/>
    <w:unhideWhenUsed/>
    <w:rsid w:val="00674185"/>
    <w:rPr>
      <w:sz w:val="18"/>
      <w:szCs w:val="18"/>
    </w:rPr>
  </w:style>
  <w:style w:type="character" w:customStyle="1" w:styleId="BalloonTextChar">
    <w:name w:val="Balloon Text Char"/>
    <w:basedOn w:val="DefaultParagraphFont"/>
    <w:link w:val="BalloonText"/>
    <w:uiPriority w:val="99"/>
    <w:semiHidden/>
    <w:rsid w:val="00674185"/>
    <w:rPr>
      <w:snapToGrid w:val="0"/>
      <w:kern w:val="28"/>
      <w:sz w:val="18"/>
      <w:szCs w:val="18"/>
    </w:rPr>
  </w:style>
  <w:style w:type="character" w:styleId="CommentReference">
    <w:name w:val="annotation reference"/>
    <w:basedOn w:val="DefaultParagraphFont"/>
    <w:uiPriority w:val="99"/>
    <w:semiHidden/>
    <w:unhideWhenUsed/>
    <w:rsid w:val="009F1555"/>
    <w:rPr>
      <w:sz w:val="16"/>
      <w:szCs w:val="16"/>
    </w:rPr>
  </w:style>
  <w:style w:type="paragraph" w:styleId="CommentText">
    <w:name w:val="annotation text"/>
    <w:basedOn w:val="Normal"/>
    <w:link w:val="CommentTextChar"/>
    <w:uiPriority w:val="99"/>
    <w:semiHidden/>
    <w:unhideWhenUsed/>
    <w:rsid w:val="009F1555"/>
    <w:rPr>
      <w:sz w:val="20"/>
    </w:rPr>
  </w:style>
  <w:style w:type="character" w:customStyle="1" w:styleId="CommentTextChar">
    <w:name w:val="Comment Text Char"/>
    <w:basedOn w:val="DefaultParagraphFont"/>
    <w:link w:val="CommentText"/>
    <w:uiPriority w:val="99"/>
    <w:semiHidden/>
    <w:rsid w:val="009F1555"/>
    <w:rPr>
      <w:snapToGrid w:val="0"/>
      <w:kern w:val="28"/>
    </w:rPr>
  </w:style>
  <w:style w:type="paragraph" w:styleId="CommentSubject">
    <w:name w:val="annotation subject"/>
    <w:basedOn w:val="CommentText"/>
    <w:next w:val="CommentText"/>
    <w:link w:val="CommentSubjectChar"/>
    <w:uiPriority w:val="99"/>
    <w:semiHidden/>
    <w:unhideWhenUsed/>
    <w:rsid w:val="009F1555"/>
    <w:rPr>
      <w:b/>
      <w:bCs/>
    </w:rPr>
  </w:style>
  <w:style w:type="character" w:customStyle="1" w:styleId="CommentSubjectChar">
    <w:name w:val="Comment Subject Char"/>
    <w:basedOn w:val="CommentTextChar"/>
    <w:link w:val="CommentSubject"/>
    <w:uiPriority w:val="99"/>
    <w:semiHidden/>
    <w:rsid w:val="009F1555"/>
    <w:rPr>
      <w:b/>
      <w:bCs/>
      <w:snapToGrid w:val="0"/>
      <w:kern w:val="28"/>
    </w:rPr>
  </w:style>
  <w:style w:type="character" w:customStyle="1" w:styleId="ALTSFOOTNOTEChar1">
    <w:name w:val="ALTS FOOTNOTE Char1"/>
    <w:aliases w:val="ALTS FOOTNOTE Char Char,Footnote Text Char Char Char Char,Footnote Text Char Char Char Char Char Char Char,Footnote Text Char1 Char Char,Footnote Text Char1 Char1 Char Char Char Char,f Char,fn Char Char,fn Char1"/>
    <w:uiPriority w:val="99"/>
    <w:rsid w:val="00F85D0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Erica.McMahon@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