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762BA" w:rsidRPr="00010B17" w:rsidP="00C67A24" w14:paraId="1CDC2DA3" w14:textId="77777777">
      <w:pPr>
        <w:pStyle w:val="Title"/>
        <w:rPr>
          <w:color w:val="000000"/>
          <w:szCs w:val="22"/>
        </w:rPr>
      </w:pPr>
      <w:bookmarkStart w:id="0" w:name="_Hlk4662570"/>
      <w:r w:rsidRPr="00010B17">
        <w:rPr>
          <w:color w:val="000000"/>
          <w:szCs w:val="22"/>
        </w:rPr>
        <w:t>Federal Communications Commission</w:t>
      </w:r>
    </w:p>
    <w:p w:rsidR="00B762BA" w:rsidRPr="00010B17" w:rsidP="00C67A24" w14:paraId="45CF7F76" w14:textId="77777777">
      <w:pPr>
        <w:pStyle w:val="Title"/>
        <w:rPr>
          <w:color w:val="000000"/>
          <w:szCs w:val="22"/>
        </w:rPr>
      </w:pPr>
      <w:r w:rsidRPr="00010B17">
        <w:rPr>
          <w:color w:val="000000"/>
          <w:szCs w:val="22"/>
        </w:rPr>
        <w:t>Washington, D.C. 20554</w:t>
      </w:r>
    </w:p>
    <w:p w:rsidR="00B762BA" w:rsidRPr="00010B17" w:rsidP="00C67A24" w14:paraId="4459A304" w14:textId="77777777">
      <w:pPr>
        <w:tabs>
          <w:tab w:val="left" w:pos="-720"/>
        </w:tabs>
        <w:suppressAutoHyphens/>
        <w:spacing w:line="227" w:lineRule="auto"/>
        <w:jc w:val="center"/>
        <w:rPr>
          <w:color w:val="000000"/>
          <w:spacing w:val="-2"/>
          <w:szCs w:val="22"/>
        </w:rPr>
      </w:pPr>
    </w:p>
    <w:tbl>
      <w:tblPr>
        <w:tblW w:w="9843" w:type="dxa"/>
        <w:tblLayout w:type="fixed"/>
        <w:tblLook w:val="0000"/>
      </w:tblPr>
      <w:tblGrid>
        <w:gridCol w:w="4829"/>
        <w:gridCol w:w="647"/>
        <w:gridCol w:w="4367"/>
      </w:tblGrid>
      <w:tr w14:paraId="0300627B" w14:textId="77777777" w:rsidTr="008572FF">
        <w:tblPrEx>
          <w:tblW w:w="9843" w:type="dxa"/>
          <w:tblLayout w:type="fixed"/>
          <w:tblLook w:val="0000"/>
        </w:tblPrEx>
        <w:trPr>
          <w:trHeight w:val="2110"/>
        </w:trPr>
        <w:tc>
          <w:tcPr>
            <w:tcW w:w="4829" w:type="dxa"/>
          </w:tcPr>
          <w:p w:rsidR="00B762BA" w:rsidRPr="00010B17" w:rsidP="00B55E4A" w14:paraId="3DCF9F6E" w14:textId="77777777">
            <w:pPr>
              <w:tabs>
                <w:tab w:val="center" w:pos="4680"/>
              </w:tabs>
              <w:suppressAutoHyphens/>
              <w:rPr>
                <w:color w:val="000000"/>
                <w:spacing w:val="-2"/>
                <w:szCs w:val="22"/>
              </w:rPr>
            </w:pPr>
            <w:r w:rsidRPr="00010B17">
              <w:rPr>
                <w:color w:val="000000"/>
                <w:spacing w:val="-2"/>
                <w:szCs w:val="22"/>
              </w:rPr>
              <w:t>In the Matter of</w:t>
            </w:r>
          </w:p>
          <w:p w:rsidR="00B762BA" w:rsidRPr="00010B17" w:rsidP="00B55E4A" w14:paraId="612403AB" w14:textId="77777777">
            <w:pPr>
              <w:tabs>
                <w:tab w:val="center" w:pos="4680"/>
              </w:tabs>
              <w:suppressAutoHyphens/>
              <w:rPr>
                <w:color w:val="000000"/>
                <w:spacing w:val="-2"/>
                <w:szCs w:val="22"/>
              </w:rPr>
            </w:pPr>
          </w:p>
          <w:p w:rsidR="00B762BA" w:rsidRPr="00010B17" w:rsidP="00B55E4A" w14:paraId="3DADA69D" w14:textId="77777777">
            <w:pPr>
              <w:pStyle w:val="BodyText"/>
              <w:numPr>
                <w:ilvl w:val="0"/>
                <w:numId w:val="0"/>
              </w:numPr>
              <w:rPr>
                <w:color w:val="000000"/>
                <w:szCs w:val="22"/>
              </w:rPr>
            </w:pPr>
            <w:r>
              <w:rPr>
                <w:color w:val="000000"/>
                <w:szCs w:val="22"/>
              </w:rPr>
              <w:t>Comcast Cable Communications, LLC</w:t>
            </w:r>
          </w:p>
          <w:p w:rsidR="00AE39AF" w:rsidRPr="00010B17" w:rsidP="00B55E4A" w14:paraId="49DDB9AA" w14:textId="77777777">
            <w:pPr>
              <w:pStyle w:val="BodyText"/>
              <w:numPr>
                <w:ilvl w:val="0"/>
                <w:numId w:val="0"/>
              </w:numPr>
              <w:rPr>
                <w:color w:val="000000"/>
                <w:szCs w:val="22"/>
              </w:rPr>
            </w:pPr>
          </w:p>
          <w:p w:rsidR="00F93A89" w:rsidP="00B55E4A" w14:paraId="5A28866C" w14:textId="77777777">
            <w:pPr>
              <w:pStyle w:val="BodyText"/>
              <w:numPr>
                <w:ilvl w:val="0"/>
                <w:numId w:val="0"/>
              </w:numPr>
              <w:rPr>
                <w:color w:val="000000"/>
                <w:szCs w:val="22"/>
              </w:rPr>
            </w:pPr>
            <w:r w:rsidRPr="00C46CCD">
              <w:rPr>
                <w:color w:val="000000"/>
                <w:szCs w:val="22"/>
              </w:rPr>
              <w:t xml:space="preserve">Petition for Determination of Effective Competition in </w:t>
            </w:r>
            <w:r w:rsidR="002E5369">
              <w:rPr>
                <w:color w:val="000000"/>
                <w:szCs w:val="22"/>
              </w:rPr>
              <w:t>Templeton, Massachusetts (MA0127)</w:t>
            </w:r>
            <w:r w:rsidRPr="00010B17" w:rsidR="0097514B">
              <w:rPr>
                <w:color w:val="000000"/>
                <w:szCs w:val="22"/>
              </w:rPr>
              <w:t xml:space="preserve">      </w:t>
            </w:r>
          </w:p>
          <w:p w:rsidR="00B762BA" w:rsidRPr="00010B17" w:rsidP="00B55E4A" w14:paraId="5FB9CB01" w14:textId="77777777">
            <w:pPr>
              <w:pStyle w:val="BodyText"/>
              <w:numPr>
                <w:ilvl w:val="0"/>
                <w:numId w:val="0"/>
              </w:numPr>
              <w:rPr>
                <w:color w:val="000000"/>
                <w:szCs w:val="22"/>
              </w:rPr>
            </w:pPr>
            <w:r w:rsidRPr="00010B17">
              <w:rPr>
                <w:color w:val="000000"/>
                <w:szCs w:val="22"/>
              </w:rPr>
              <w:t xml:space="preserve"> </w:t>
            </w:r>
          </w:p>
        </w:tc>
        <w:tc>
          <w:tcPr>
            <w:tcW w:w="647" w:type="dxa"/>
          </w:tcPr>
          <w:p w:rsidR="00B762BA" w:rsidRPr="00010B17" w:rsidP="00B55E4A" w14:paraId="75ADC32C" w14:textId="77777777">
            <w:pPr>
              <w:tabs>
                <w:tab w:val="center" w:pos="4680"/>
              </w:tabs>
              <w:suppressAutoHyphens/>
              <w:rPr>
                <w:b/>
                <w:color w:val="000000"/>
                <w:spacing w:val="-2"/>
                <w:szCs w:val="22"/>
              </w:rPr>
            </w:pPr>
            <w:r w:rsidRPr="00010B17">
              <w:rPr>
                <w:b/>
                <w:color w:val="000000"/>
                <w:spacing w:val="-2"/>
                <w:szCs w:val="22"/>
              </w:rPr>
              <w:t>)</w:t>
            </w:r>
          </w:p>
          <w:p w:rsidR="00B762BA" w:rsidRPr="00010B17" w:rsidP="00B55E4A" w14:paraId="262558B6" w14:textId="77777777">
            <w:pPr>
              <w:tabs>
                <w:tab w:val="center" w:pos="4680"/>
              </w:tabs>
              <w:suppressAutoHyphens/>
              <w:rPr>
                <w:b/>
                <w:color w:val="000000"/>
                <w:spacing w:val="-2"/>
                <w:szCs w:val="22"/>
              </w:rPr>
            </w:pPr>
            <w:r w:rsidRPr="00010B17">
              <w:rPr>
                <w:b/>
                <w:color w:val="000000"/>
                <w:spacing w:val="-2"/>
                <w:szCs w:val="22"/>
              </w:rPr>
              <w:t>)</w:t>
            </w:r>
          </w:p>
          <w:p w:rsidR="00B762BA" w:rsidRPr="00010B17" w:rsidP="00B55E4A" w14:paraId="01C8FCFC" w14:textId="77777777">
            <w:pPr>
              <w:tabs>
                <w:tab w:val="center" w:pos="4680"/>
              </w:tabs>
              <w:suppressAutoHyphens/>
              <w:rPr>
                <w:b/>
                <w:color w:val="000000"/>
                <w:spacing w:val="-2"/>
                <w:szCs w:val="22"/>
              </w:rPr>
            </w:pPr>
            <w:r w:rsidRPr="00010B17">
              <w:rPr>
                <w:b/>
                <w:color w:val="000000"/>
                <w:spacing w:val="-2"/>
                <w:szCs w:val="22"/>
              </w:rPr>
              <w:t>)</w:t>
            </w:r>
          </w:p>
          <w:p w:rsidR="00B762BA" w:rsidRPr="00010B17" w:rsidP="00B55E4A" w14:paraId="169E123C" w14:textId="77777777">
            <w:pPr>
              <w:tabs>
                <w:tab w:val="center" w:pos="4680"/>
              </w:tabs>
              <w:suppressAutoHyphens/>
              <w:rPr>
                <w:b/>
                <w:color w:val="000000"/>
                <w:spacing w:val="-2"/>
                <w:szCs w:val="22"/>
              </w:rPr>
            </w:pPr>
            <w:r w:rsidRPr="00010B17">
              <w:rPr>
                <w:b/>
                <w:color w:val="000000"/>
                <w:spacing w:val="-2"/>
                <w:szCs w:val="22"/>
              </w:rPr>
              <w:t>)</w:t>
            </w:r>
          </w:p>
          <w:p w:rsidR="00B762BA" w:rsidRPr="00010B17" w:rsidP="00B55E4A" w14:paraId="492E549A" w14:textId="77777777">
            <w:pPr>
              <w:tabs>
                <w:tab w:val="center" w:pos="4680"/>
              </w:tabs>
              <w:suppressAutoHyphens/>
              <w:rPr>
                <w:b/>
                <w:color w:val="000000"/>
                <w:spacing w:val="-2"/>
                <w:szCs w:val="22"/>
              </w:rPr>
            </w:pPr>
            <w:r w:rsidRPr="00010B17">
              <w:rPr>
                <w:b/>
                <w:color w:val="000000"/>
                <w:spacing w:val="-2"/>
                <w:szCs w:val="22"/>
              </w:rPr>
              <w:t>)</w:t>
            </w:r>
          </w:p>
          <w:p w:rsidR="0097514B" w:rsidRPr="00010B17" w:rsidP="00B55E4A" w14:paraId="11706965" w14:textId="77777777">
            <w:pPr>
              <w:tabs>
                <w:tab w:val="center" w:pos="4680"/>
              </w:tabs>
              <w:suppressAutoHyphens/>
              <w:rPr>
                <w:b/>
                <w:color w:val="000000"/>
                <w:spacing w:val="-2"/>
                <w:szCs w:val="22"/>
              </w:rPr>
            </w:pPr>
            <w:r w:rsidRPr="00010B17">
              <w:rPr>
                <w:b/>
                <w:color w:val="000000"/>
                <w:spacing w:val="-2"/>
                <w:szCs w:val="22"/>
              </w:rPr>
              <w:t>)</w:t>
            </w:r>
          </w:p>
          <w:p w:rsidR="00AE39AF" w:rsidP="00B55E4A" w14:paraId="20880C2E" w14:textId="77777777">
            <w:pPr>
              <w:tabs>
                <w:tab w:val="center" w:pos="4680"/>
              </w:tabs>
              <w:suppressAutoHyphens/>
              <w:rPr>
                <w:b/>
                <w:color w:val="000000"/>
                <w:spacing w:val="-2"/>
                <w:szCs w:val="22"/>
              </w:rPr>
            </w:pPr>
            <w:r w:rsidRPr="00010B17">
              <w:rPr>
                <w:b/>
                <w:color w:val="000000"/>
                <w:spacing w:val="-2"/>
                <w:szCs w:val="22"/>
              </w:rPr>
              <w:t>)</w:t>
            </w:r>
          </w:p>
          <w:p w:rsidR="00F93A89" w:rsidRPr="00010B17" w:rsidP="00B55E4A" w14:paraId="1E47F4F0" w14:textId="77777777">
            <w:pPr>
              <w:tabs>
                <w:tab w:val="center" w:pos="4680"/>
              </w:tabs>
              <w:suppressAutoHyphens/>
              <w:rPr>
                <w:b/>
                <w:color w:val="000000"/>
                <w:spacing w:val="-2"/>
                <w:szCs w:val="22"/>
              </w:rPr>
            </w:pPr>
          </w:p>
        </w:tc>
        <w:tc>
          <w:tcPr>
            <w:tcW w:w="4367" w:type="dxa"/>
          </w:tcPr>
          <w:p w:rsidR="00B762BA" w:rsidRPr="00010B17" w:rsidP="00B55E4A" w14:paraId="498C65D1" w14:textId="77777777">
            <w:pPr>
              <w:tabs>
                <w:tab w:val="center" w:pos="4680"/>
              </w:tabs>
              <w:suppressAutoHyphens/>
              <w:rPr>
                <w:color w:val="000000"/>
                <w:spacing w:val="-2"/>
                <w:szCs w:val="22"/>
              </w:rPr>
            </w:pPr>
          </w:p>
          <w:p w:rsidR="00B762BA" w:rsidRPr="00010B17" w:rsidP="00B55E4A" w14:paraId="2A2AD978" w14:textId="77777777">
            <w:pPr>
              <w:tabs>
                <w:tab w:val="center" w:pos="4680"/>
              </w:tabs>
              <w:suppressAutoHyphens/>
              <w:rPr>
                <w:color w:val="000000"/>
                <w:spacing w:val="-2"/>
                <w:szCs w:val="22"/>
              </w:rPr>
            </w:pPr>
          </w:p>
          <w:p w:rsidR="00B762BA" w:rsidRPr="00010B17" w:rsidP="00B55E4A" w14:paraId="48E5A291" w14:textId="77777777">
            <w:pPr>
              <w:tabs>
                <w:tab w:val="center" w:pos="4680"/>
              </w:tabs>
              <w:suppressAutoHyphens/>
              <w:rPr>
                <w:color w:val="000000"/>
                <w:spacing w:val="-2"/>
                <w:szCs w:val="22"/>
              </w:rPr>
            </w:pPr>
            <w:r w:rsidRPr="00010B17">
              <w:rPr>
                <w:color w:val="000000"/>
                <w:spacing w:val="-2"/>
                <w:szCs w:val="22"/>
              </w:rPr>
              <w:t>MB Docket No. 13</w:t>
            </w:r>
            <w:r w:rsidRPr="00010B17" w:rsidR="009C08CA">
              <w:rPr>
                <w:color w:val="000000"/>
                <w:spacing w:val="-2"/>
                <w:szCs w:val="22"/>
              </w:rPr>
              <w:t>-</w:t>
            </w:r>
            <w:r w:rsidR="002E5369">
              <w:rPr>
                <w:color w:val="000000"/>
                <w:spacing w:val="-2"/>
                <w:szCs w:val="22"/>
              </w:rPr>
              <w:t>17</w:t>
            </w:r>
            <w:r w:rsidR="00881309">
              <w:rPr>
                <w:color w:val="000000"/>
                <w:spacing w:val="-2"/>
                <w:szCs w:val="22"/>
              </w:rPr>
              <w:t>2</w:t>
            </w:r>
            <w:r w:rsidRPr="00010B17" w:rsidR="009C08CA">
              <w:rPr>
                <w:color w:val="000000"/>
                <w:spacing w:val="-2"/>
                <w:szCs w:val="22"/>
              </w:rPr>
              <w:t xml:space="preserve">, </w:t>
            </w:r>
            <w:r w:rsidRPr="00010B17" w:rsidR="006B37EA">
              <w:rPr>
                <w:color w:val="000000"/>
                <w:spacing w:val="-2"/>
                <w:szCs w:val="22"/>
              </w:rPr>
              <w:t xml:space="preserve">CSR </w:t>
            </w:r>
            <w:r w:rsidR="0094368E">
              <w:rPr>
                <w:color w:val="000000"/>
                <w:spacing w:val="-2"/>
                <w:szCs w:val="22"/>
              </w:rPr>
              <w:t>8</w:t>
            </w:r>
            <w:r w:rsidR="00881309">
              <w:rPr>
                <w:color w:val="000000"/>
                <w:spacing w:val="-2"/>
                <w:szCs w:val="22"/>
              </w:rPr>
              <w:t>8</w:t>
            </w:r>
            <w:r w:rsidR="0094368E">
              <w:rPr>
                <w:color w:val="000000"/>
                <w:spacing w:val="-2"/>
                <w:szCs w:val="22"/>
              </w:rPr>
              <w:t>14</w:t>
            </w:r>
            <w:r w:rsidRPr="00010B17" w:rsidR="009C08CA">
              <w:rPr>
                <w:color w:val="000000"/>
                <w:spacing w:val="-2"/>
                <w:szCs w:val="22"/>
              </w:rPr>
              <w:t>-E</w:t>
            </w:r>
          </w:p>
          <w:p w:rsidR="00B762BA" w:rsidRPr="00010B17" w:rsidP="00B55E4A" w14:paraId="2C9A6394" w14:textId="77777777">
            <w:pPr>
              <w:tabs>
                <w:tab w:val="center" w:pos="4680"/>
              </w:tabs>
              <w:suppressAutoHyphens/>
              <w:rPr>
                <w:color w:val="000000"/>
                <w:spacing w:val="-2"/>
                <w:szCs w:val="22"/>
              </w:rPr>
            </w:pPr>
          </w:p>
          <w:p w:rsidR="00B762BA" w:rsidRPr="00010B17" w:rsidP="00B55E4A" w14:paraId="39EAE282" w14:textId="77777777">
            <w:pPr>
              <w:pStyle w:val="EndnoteText"/>
              <w:tabs>
                <w:tab w:val="center" w:pos="4680"/>
              </w:tabs>
              <w:suppressAutoHyphens/>
              <w:spacing w:after="0"/>
              <w:jc w:val="left"/>
              <w:rPr>
                <w:color w:val="000000"/>
                <w:spacing w:val="-2"/>
                <w:szCs w:val="22"/>
              </w:rPr>
            </w:pPr>
          </w:p>
        </w:tc>
      </w:tr>
    </w:tbl>
    <w:p w:rsidR="00B762BA" w:rsidRPr="00010B17" w:rsidP="00F001D3" w14:paraId="40CEC693" w14:textId="77777777">
      <w:pPr>
        <w:pStyle w:val="Title"/>
        <w:rPr>
          <w:color w:val="000000"/>
          <w:szCs w:val="22"/>
        </w:rPr>
      </w:pPr>
      <w:r w:rsidRPr="00475B9A">
        <w:rPr>
          <w:color w:val="000000"/>
          <w:szCs w:val="22"/>
        </w:rPr>
        <w:t xml:space="preserve">MEMORANDUM OPINION AND </w:t>
      </w:r>
      <w:r w:rsidRPr="00AB1550">
        <w:rPr>
          <w:color w:val="000000"/>
          <w:szCs w:val="22"/>
        </w:rPr>
        <w:fldChar w:fldCharType="begin"/>
      </w:r>
      <w:r w:rsidRPr="00475B9A">
        <w:rPr>
          <w:color w:val="000000"/>
          <w:szCs w:val="22"/>
        </w:rPr>
        <w:instrText xml:space="preserve"> AUTOTEXTLIST  \* MERGEFORMAT </w:instrText>
      </w:r>
      <w:r w:rsidRPr="00AB1550">
        <w:rPr>
          <w:color w:val="000000"/>
          <w:szCs w:val="22"/>
        </w:rPr>
        <w:fldChar w:fldCharType="separate"/>
      </w:r>
      <w:r w:rsidRPr="00475B9A">
        <w:rPr>
          <w:color w:val="000000"/>
          <w:szCs w:val="22"/>
        </w:rPr>
        <w:t>ORDER</w:t>
      </w:r>
      <w:r w:rsidRPr="00AB1550">
        <w:rPr>
          <w:color w:val="000000"/>
          <w:szCs w:val="22"/>
        </w:rPr>
        <w:fldChar w:fldCharType="end"/>
      </w:r>
    </w:p>
    <w:p w:rsidR="00B762BA" w:rsidRPr="00010B17" w:rsidP="00B55E4A" w14:paraId="57A4D097" w14:textId="77777777">
      <w:pPr>
        <w:pStyle w:val="FootnoteText"/>
        <w:jc w:val="left"/>
        <w:rPr>
          <w:color w:val="000000"/>
          <w:sz w:val="22"/>
          <w:szCs w:val="22"/>
        </w:rPr>
      </w:pPr>
    </w:p>
    <w:p w:rsidR="00B762BA" w:rsidRPr="008A240C" w:rsidP="00B55E4A" w14:paraId="68E323DE" w14:textId="3B8EB744">
      <w:pPr>
        <w:tabs>
          <w:tab w:val="left" w:pos="720"/>
          <w:tab w:val="left" w:pos="5760"/>
        </w:tabs>
        <w:suppressAutoHyphens/>
        <w:spacing w:line="227" w:lineRule="auto"/>
        <w:rPr>
          <w:b/>
          <w:color w:val="000000"/>
          <w:spacing w:val="-2"/>
          <w:szCs w:val="22"/>
        </w:rPr>
      </w:pPr>
      <w:r w:rsidRPr="008A240C">
        <w:rPr>
          <w:b/>
          <w:color w:val="000000"/>
          <w:spacing w:val="-2"/>
          <w:szCs w:val="22"/>
        </w:rPr>
        <w:t xml:space="preserve">Adopted:  </w:t>
      </w:r>
      <w:r w:rsidR="00F94680">
        <w:rPr>
          <w:b/>
          <w:color w:val="000000"/>
          <w:spacing w:val="-2"/>
          <w:szCs w:val="22"/>
        </w:rPr>
        <w:t>June 27, 2019</w:t>
      </w:r>
      <w:r w:rsidRPr="008A240C" w:rsidR="002A4B5F">
        <w:rPr>
          <w:b/>
          <w:color w:val="000000"/>
          <w:spacing w:val="-2"/>
          <w:szCs w:val="22"/>
        </w:rPr>
        <w:tab/>
      </w:r>
      <w:r w:rsidRPr="008A240C" w:rsidR="00763499">
        <w:rPr>
          <w:b/>
          <w:color w:val="000000"/>
          <w:spacing w:val="-2"/>
          <w:szCs w:val="22"/>
        </w:rPr>
        <w:t xml:space="preserve">               </w:t>
      </w:r>
      <w:r w:rsidRPr="008A240C" w:rsidR="009775F8">
        <w:rPr>
          <w:b/>
          <w:color w:val="000000"/>
          <w:spacing w:val="-2"/>
          <w:szCs w:val="22"/>
        </w:rPr>
        <w:t xml:space="preserve">    </w:t>
      </w:r>
      <w:r w:rsidRPr="008A240C" w:rsidR="00156D94">
        <w:rPr>
          <w:b/>
          <w:color w:val="000000"/>
          <w:spacing w:val="-2"/>
          <w:szCs w:val="22"/>
        </w:rPr>
        <w:t xml:space="preserve">   </w:t>
      </w:r>
      <w:r w:rsidR="00CF2726">
        <w:rPr>
          <w:b/>
          <w:color w:val="000000"/>
          <w:spacing w:val="-2"/>
          <w:szCs w:val="22"/>
        </w:rPr>
        <w:t xml:space="preserve"> </w:t>
      </w:r>
      <w:r w:rsidRPr="008A240C" w:rsidR="002A4B5F">
        <w:rPr>
          <w:b/>
          <w:color w:val="000000"/>
          <w:spacing w:val="-2"/>
          <w:szCs w:val="22"/>
        </w:rPr>
        <w:t>Released:</w:t>
      </w:r>
      <w:r w:rsidRPr="008A240C" w:rsidR="009775F8">
        <w:rPr>
          <w:b/>
          <w:color w:val="000000"/>
          <w:spacing w:val="-2"/>
          <w:szCs w:val="22"/>
        </w:rPr>
        <w:t xml:space="preserve">  </w:t>
      </w:r>
      <w:r w:rsidR="00F94680">
        <w:rPr>
          <w:b/>
          <w:color w:val="000000"/>
          <w:spacing w:val="-2"/>
          <w:szCs w:val="22"/>
        </w:rPr>
        <w:t>June 27, 2019</w:t>
      </w:r>
    </w:p>
    <w:p w:rsidR="00B762BA" w:rsidRPr="008A240C" w:rsidP="00B55E4A" w14:paraId="6CE3F4E1" w14:textId="77777777">
      <w:pPr>
        <w:tabs>
          <w:tab w:val="left" w:pos="6780"/>
        </w:tabs>
        <w:rPr>
          <w:color w:val="000000"/>
          <w:szCs w:val="22"/>
        </w:rPr>
      </w:pPr>
      <w:r w:rsidRPr="008A240C">
        <w:rPr>
          <w:color w:val="000000"/>
          <w:szCs w:val="22"/>
        </w:rPr>
        <w:tab/>
      </w:r>
    </w:p>
    <w:p w:rsidR="00B762BA" w:rsidRPr="008A240C" w:rsidP="00B55E4A" w14:paraId="003657E6" w14:textId="77777777">
      <w:pPr>
        <w:rPr>
          <w:color w:val="000000"/>
          <w:spacing w:val="-2"/>
          <w:szCs w:val="22"/>
        </w:rPr>
      </w:pPr>
      <w:r w:rsidRPr="008A240C">
        <w:rPr>
          <w:color w:val="000000"/>
          <w:szCs w:val="22"/>
        </w:rPr>
        <w:t xml:space="preserve">By the </w:t>
      </w:r>
      <w:r w:rsidRPr="008A240C" w:rsidR="002A4B5F">
        <w:rPr>
          <w:color w:val="000000"/>
          <w:szCs w:val="22"/>
        </w:rPr>
        <w:t xml:space="preserve">Senior </w:t>
      </w:r>
      <w:r w:rsidRPr="008A240C">
        <w:rPr>
          <w:color w:val="000000"/>
          <w:spacing w:val="-2"/>
          <w:szCs w:val="22"/>
        </w:rPr>
        <w:t>Deputy Chief, Policy Division, Media Bureau:</w:t>
      </w:r>
    </w:p>
    <w:p w:rsidR="00B762BA" w:rsidRPr="008A240C" w:rsidP="00B55E4A" w14:paraId="3FD6C548" w14:textId="77777777">
      <w:pPr>
        <w:rPr>
          <w:color w:val="000000"/>
          <w:spacing w:val="-2"/>
          <w:szCs w:val="22"/>
        </w:rPr>
      </w:pPr>
    </w:p>
    <w:p w:rsidR="00B762BA" w:rsidRPr="008A240C" w:rsidP="00B55E4A" w14:paraId="2D5B33E0" w14:textId="77777777">
      <w:pPr>
        <w:pStyle w:val="Heading1"/>
        <w:jc w:val="left"/>
        <w:rPr>
          <w:szCs w:val="22"/>
        </w:rPr>
      </w:pPr>
      <w:r w:rsidRPr="008A240C">
        <w:rPr>
          <w:szCs w:val="22"/>
        </w:rPr>
        <w:t>introduction</w:t>
      </w:r>
    </w:p>
    <w:p w:rsidR="008A240C" w:rsidRPr="00E76B70" w:rsidP="00185F3C" w14:paraId="1EE1DCA3" w14:textId="5370F801">
      <w:pPr>
        <w:pStyle w:val="ParaNum"/>
        <w:tabs>
          <w:tab w:val="clear" w:pos="1170"/>
        </w:tabs>
        <w:ind w:left="0"/>
        <w:jc w:val="left"/>
      </w:pPr>
      <w:r w:rsidRPr="00E76B70">
        <w:rPr>
          <w:color w:val="000000"/>
        </w:rPr>
        <w:t>T</w:t>
      </w:r>
      <w:r w:rsidRPr="00E76B70" w:rsidR="0094368E">
        <w:rPr>
          <w:color w:val="000000"/>
        </w:rPr>
        <w:t>he Massachusetts Department of Telecommunications and Cable</w:t>
      </w:r>
      <w:r w:rsidRPr="00E76B70" w:rsidR="00041B8A">
        <w:rPr>
          <w:color w:val="000000"/>
        </w:rPr>
        <w:t xml:space="preserve"> (</w:t>
      </w:r>
      <w:r w:rsidRPr="00E76B70" w:rsidR="0094368E">
        <w:rPr>
          <w:color w:val="000000"/>
        </w:rPr>
        <w:t>MDTC</w:t>
      </w:r>
      <w:r w:rsidRPr="00E76B70" w:rsidR="00041B8A">
        <w:rPr>
          <w:color w:val="000000"/>
        </w:rPr>
        <w:t>)</w:t>
      </w:r>
      <w:r>
        <w:rPr>
          <w:rStyle w:val="FootnoteReference"/>
          <w:color w:val="000000"/>
          <w:szCs w:val="22"/>
        </w:rPr>
        <w:footnoteReference w:id="3"/>
      </w:r>
      <w:r w:rsidRPr="00E76B70" w:rsidR="003811C0">
        <w:rPr>
          <w:color w:val="000000"/>
        </w:rPr>
        <w:t xml:space="preserve"> </w:t>
      </w:r>
      <w:r w:rsidRPr="00E76B70" w:rsidR="00B21C58">
        <w:t xml:space="preserve">filed a </w:t>
      </w:r>
      <w:r w:rsidRPr="00E76B70" w:rsidR="00773AC7">
        <w:t>p</w:t>
      </w:r>
      <w:r w:rsidRPr="00E76B70" w:rsidR="00041B8A">
        <w:t xml:space="preserve">etition pursuant to </w:t>
      </w:r>
      <w:r w:rsidR="00185F3C">
        <w:t>s</w:t>
      </w:r>
      <w:r w:rsidRPr="00E76B70" w:rsidR="00041B8A">
        <w:t>ection 1.106 of the Commission’s rules,</w:t>
      </w:r>
      <w:r>
        <w:rPr>
          <w:rStyle w:val="FootnoteReference"/>
          <w:szCs w:val="22"/>
        </w:rPr>
        <w:footnoteReference w:id="4"/>
      </w:r>
      <w:r w:rsidRPr="00E76B70" w:rsidR="00041B8A">
        <w:t xml:space="preserve"> </w:t>
      </w:r>
      <w:r w:rsidRPr="00E76B70">
        <w:t>seeking reconsideration of the</w:t>
      </w:r>
      <w:r w:rsidRPr="00E76B70" w:rsidR="006648DD">
        <w:t xml:space="preserve"> </w:t>
      </w:r>
      <w:r w:rsidRPr="00E76B70" w:rsidR="00041B8A">
        <w:t>Media Bureau</w:t>
      </w:r>
      <w:r w:rsidR="001300D0">
        <w:t xml:space="preserve"> (Bureau)</w:t>
      </w:r>
      <w:r w:rsidRPr="00E76B70" w:rsidR="00041B8A">
        <w:t xml:space="preserve"> </w:t>
      </w:r>
      <w:r w:rsidRPr="001117F7" w:rsidR="00041B8A">
        <w:rPr>
          <w:i/>
          <w:iCs/>
        </w:rPr>
        <w:t>Order</w:t>
      </w:r>
      <w:r w:rsidRPr="00E76B70">
        <w:t xml:space="preserve"> </w:t>
      </w:r>
      <w:r w:rsidRPr="00E76B70" w:rsidR="001750C6">
        <w:t xml:space="preserve">denying </w:t>
      </w:r>
      <w:r w:rsidR="00EB4B39">
        <w:t xml:space="preserve">the </w:t>
      </w:r>
      <w:r w:rsidRPr="00E76B70" w:rsidR="001750C6">
        <w:t>MDTC’s Form 328</w:t>
      </w:r>
      <w:r>
        <w:rPr>
          <w:rStyle w:val="FootnoteReference"/>
          <w:szCs w:val="22"/>
        </w:rPr>
        <w:footnoteReference w:id="5"/>
      </w:r>
      <w:r w:rsidRPr="00E76B70" w:rsidR="001750C6">
        <w:t xml:space="preserve"> certification request </w:t>
      </w:r>
      <w:r w:rsidR="001300D0">
        <w:t>regarding the Town of Templeton, Massachusetts.</w:t>
      </w:r>
      <w:r>
        <w:rPr>
          <w:rStyle w:val="FootnoteReference"/>
        </w:rPr>
        <w:footnoteReference w:id="6"/>
      </w:r>
      <w:r w:rsidR="001300D0">
        <w:t xml:space="preserve">  The</w:t>
      </w:r>
      <w:r w:rsidR="004118AB">
        <w:t xml:space="preserve"> denial</w:t>
      </w:r>
      <w:r w:rsidR="001300D0">
        <w:t xml:space="preserve"> was based on a</w:t>
      </w:r>
      <w:r w:rsidRPr="00E76B70" w:rsidR="001750C6">
        <w:t xml:space="preserve"> </w:t>
      </w:r>
      <w:r w:rsidRPr="00E76B70" w:rsidR="0056580C">
        <w:t xml:space="preserve">finding </w:t>
      </w:r>
      <w:r w:rsidRPr="00E76B70" w:rsidR="00C83539">
        <w:t>that Comcast Cable Communications</w:t>
      </w:r>
      <w:r w:rsidR="001300D0">
        <w:t>, LLC</w:t>
      </w:r>
      <w:r w:rsidRPr="00E76B70" w:rsidR="00C83539">
        <w:t xml:space="preserve"> </w:t>
      </w:r>
      <w:r w:rsidR="008F10BA">
        <w:t xml:space="preserve">(Comcast) </w:t>
      </w:r>
      <w:r w:rsidRPr="00E76B70" w:rsidR="00C83539">
        <w:t xml:space="preserve">is subject to </w:t>
      </w:r>
      <w:r w:rsidR="001300D0">
        <w:t xml:space="preserve">competing provider </w:t>
      </w:r>
      <w:r w:rsidRPr="00E76B70" w:rsidR="003811C0">
        <w:t xml:space="preserve">effective competition in </w:t>
      </w:r>
      <w:r w:rsidRPr="00E76B70" w:rsidR="0057737A">
        <w:t>Templeton.</w:t>
      </w:r>
      <w:r>
        <w:rPr>
          <w:rStyle w:val="FootnoteReference"/>
          <w:szCs w:val="22"/>
        </w:rPr>
        <w:footnoteReference w:id="7"/>
      </w:r>
      <w:r w:rsidRPr="00E76B70" w:rsidR="00041B8A">
        <w:t xml:space="preserve"> </w:t>
      </w:r>
      <w:r w:rsidRPr="00E76B70" w:rsidR="00F23859">
        <w:t xml:space="preserve"> </w:t>
      </w:r>
      <w:r w:rsidR="00EB4B39">
        <w:t xml:space="preserve">The </w:t>
      </w:r>
      <w:r w:rsidRPr="00E76B70" w:rsidR="004A07AA">
        <w:rPr>
          <w:color w:val="000000"/>
        </w:rPr>
        <w:t>MDTC</w:t>
      </w:r>
      <w:r w:rsidRPr="00E76B70" w:rsidR="00A31FDC">
        <w:t xml:space="preserve"> </w:t>
      </w:r>
      <w:r w:rsidRPr="00E76B70" w:rsidR="00041B8A">
        <w:t xml:space="preserve">contends </w:t>
      </w:r>
      <w:r w:rsidRPr="00E76B70" w:rsidR="000F3EAC">
        <w:t xml:space="preserve">that </w:t>
      </w:r>
      <w:r w:rsidRPr="00E76B70" w:rsidR="005102F7">
        <w:t xml:space="preserve">the </w:t>
      </w:r>
      <w:r w:rsidR="00931712">
        <w:t>Bureau</w:t>
      </w:r>
      <w:r w:rsidRPr="00E76B70" w:rsidR="000F3EAC">
        <w:t xml:space="preserve"> </w:t>
      </w:r>
      <w:r w:rsidR="004118AB">
        <w:t>should “determine that [Comcast] is not subject to effective competition in Templeton and recertify the MDTC to regulate basic cable service and equipment rates therein</w:t>
      </w:r>
      <w:r w:rsidRPr="00E76B70" w:rsidR="005102F7">
        <w:t>.</w:t>
      </w:r>
      <w:r w:rsidR="004118AB">
        <w:t>”</w:t>
      </w:r>
      <w:r>
        <w:rPr>
          <w:rStyle w:val="FootnoteReference"/>
        </w:rPr>
        <w:footnoteReference w:id="8"/>
      </w:r>
      <w:r w:rsidRPr="00E76B70" w:rsidR="00041B8A">
        <w:t xml:space="preserve"> </w:t>
      </w:r>
      <w:r w:rsidRPr="00E76B70" w:rsidR="00B21C58">
        <w:t xml:space="preserve"> </w:t>
      </w:r>
      <w:r w:rsidR="001812F2">
        <w:t xml:space="preserve">Comcast did not file an </w:t>
      </w:r>
      <w:r w:rsidR="00B22EDC">
        <w:t>opposition</w:t>
      </w:r>
      <w:r w:rsidR="001812F2">
        <w:t xml:space="preserve"> to the Petition</w:t>
      </w:r>
      <w:r w:rsidR="004C203C">
        <w:t>, nor did it file a petition for reconsideration of the MDTC’s Form 328</w:t>
      </w:r>
      <w:r w:rsidR="001812F2">
        <w:t xml:space="preserve">.  </w:t>
      </w:r>
      <w:r w:rsidRPr="00E76B70">
        <w:t xml:space="preserve">For the reasons set forth below, </w:t>
      </w:r>
      <w:r w:rsidRPr="00E76B70">
        <w:rPr>
          <w:color w:val="000000"/>
        </w:rPr>
        <w:t xml:space="preserve">we </w:t>
      </w:r>
      <w:r w:rsidR="007D7619">
        <w:rPr>
          <w:color w:val="000000"/>
        </w:rPr>
        <w:t>gra</w:t>
      </w:r>
      <w:r w:rsidR="004118AB">
        <w:rPr>
          <w:color w:val="000000"/>
        </w:rPr>
        <w:t>n</w:t>
      </w:r>
      <w:r w:rsidR="007D7619">
        <w:rPr>
          <w:color w:val="000000"/>
        </w:rPr>
        <w:t>t</w:t>
      </w:r>
      <w:r w:rsidRPr="00E76B70" w:rsidR="00773AC7">
        <w:rPr>
          <w:color w:val="000000"/>
        </w:rPr>
        <w:t xml:space="preserve"> </w:t>
      </w:r>
      <w:r w:rsidR="00EB4B39">
        <w:rPr>
          <w:color w:val="000000"/>
        </w:rPr>
        <w:t xml:space="preserve">the </w:t>
      </w:r>
      <w:r w:rsidRPr="00E76B70" w:rsidR="00773AC7">
        <w:rPr>
          <w:color w:val="000000"/>
        </w:rPr>
        <w:t>MDTC’s</w:t>
      </w:r>
      <w:r w:rsidRPr="00E76B70" w:rsidR="00F038AE">
        <w:rPr>
          <w:color w:val="000000"/>
        </w:rPr>
        <w:t xml:space="preserve"> </w:t>
      </w:r>
      <w:r w:rsidR="004118AB">
        <w:rPr>
          <w:color w:val="000000"/>
        </w:rPr>
        <w:t>P</w:t>
      </w:r>
      <w:r w:rsidRPr="00E76B70" w:rsidR="00F038AE">
        <w:rPr>
          <w:color w:val="000000"/>
        </w:rPr>
        <w:t>etition</w:t>
      </w:r>
      <w:r w:rsidRPr="00E76B70" w:rsidR="00E76B70">
        <w:rPr>
          <w:color w:val="000000"/>
        </w:rPr>
        <w:t>.</w:t>
      </w:r>
      <w:r w:rsidRPr="00E76B70" w:rsidR="00F038AE">
        <w:rPr>
          <w:color w:val="000000"/>
        </w:rPr>
        <w:t xml:space="preserve">      </w:t>
      </w:r>
    </w:p>
    <w:p w:rsidR="00E76B70" w:rsidP="00B55E4A" w14:paraId="59DA1EE6" w14:textId="77777777">
      <w:pPr>
        <w:pStyle w:val="Heading1"/>
        <w:jc w:val="left"/>
      </w:pPr>
      <w:r>
        <w:t>BACKGROUND</w:t>
      </w:r>
    </w:p>
    <w:p w:rsidR="004B7B6B" w:rsidP="00731AD0" w14:paraId="1FE0348C" w14:textId="365F9B4B">
      <w:pPr>
        <w:pStyle w:val="ParaNum"/>
        <w:tabs>
          <w:tab w:val="clear" w:pos="1170"/>
        </w:tabs>
        <w:ind w:left="0"/>
        <w:jc w:val="left"/>
      </w:pPr>
      <w:r>
        <w:t>A franchising authority may regulate basic cable service tier rates and equipment only if the Commission finds that the</w:t>
      </w:r>
      <w:r w:rsidR="00CD0097">
        <w:t xml:space="preserve"> </w:t>
      </w:r>
      <w:r>
        <w:t xml:space="preserve">cable system is not subject to </w:t>
      </w:r>
      <w:r w:rsidR="00247FA7">
        <w:t>“</w:t>
      </w:r>
      <w:r>
        <w:t>effective competition</w:t>
      </w:r>
      <w:r w:rsidR="00CB70DE">
        <w:t>,</w:t>
      </w:r>
      <w:r w:rsidR="00247FA7">
        <w:t>”</w:t>
      </w:r>
      <w:r w:rsidR="00CB70DE">
        <w:t xml:space="preserve"> as defined in section 623(l) of the Communications Act of 1934, as amended (Act).</w:t>
      </w:r>
      <w:r>
        <w:rPr>
          <w:rStyle w:val="FootnoteReference"/>
        </w:rPr>
        <w:footnoteReference w:id="9"/>
      </w:r>
      <w:r>
        <w:t xml:space="preserve">  </w:t>
      </w:r>
      <w:r w:rsidRPr="008A240C" w:rsidR="001065DB">
        <w:t xml:space="preserve">In June 2015, a Commission order adopted a rebuttable presumption that cable operators are subject to </w:t>
      </w:r>
      <w:r w:rsidR="00180C8C">
        <w:t>one type of effective competition</w:t>
      </w:r>
      <w:r w:rsidR="004C203C">
        <w:t>,</w:t>
      </w:r>
      <w:r w:rsidR="00180C8C">
        <w:t xml:space="preserve"> </w:t>
      </w:r>
      <w:r w:rsidR="00180C8C">
        <w:t xml:space="preserve">commonly referred to as </w:t>
      </w:r>
      <w:r w:rsidR="00CB70DE">
        <w:t>“</w:t>
      </w:r>
      <w:r w:rsidRPr="008A240C" w:rsidR="001065DB">
        <w:t>competing provider</w:t>
      </w:r>
      <w:r w:rsidR="00CB70DE">
        <w:t>”</w:t>
      </w:r>
      <w:r w:rsidRPr="008A240C" w:rsidR="001065DB">
        <w:t xml:space="preserve"> effective competition.</w:t>
      </w:r>
      <w:r>
        <w:rPr>
          <w:rStyle w:val="FootnoteReference"/>
          <w:szCs w:val="22"/>
        </w:rPr>
        <w:footnoteReference w:id="10"/>
      </w:r>
      <w:r w:rsidRPr="008A240C" w:rsidR="001065DB">
        <w:t xml:space="preserve">  Accordingly, in the absence of a </w:t>
      </w:r>
      <w:bookmarkStart w:id="1" w:name="_GoBack"/>
      <w:bookmarkEnd w:id="1"/>
      <w:r w:rsidRPr="008A240C" w:rsidR="001065DB">
        <w:t xml:space="preserve">demonstration to the contrary, the Commission </w:t>
      </w:r>
      <w:r w:rsidR="00180C8C">
        <w:t xml:space="preserve">now </w:t>
      </w:r>
      <w:r w:rsidRPr="008A240C" w:rsidR="001065DB">
        <w:t xml:space="preserve">presumes that cable systems are subject to competing provider effective competition, and it continues to presume that cable systems are not subject to any of the other three types of effective competition, as defined by </w:t>
      </w:r>
      <w:r w:rsidR="00180C8C">
        <w:t>s</w:t>
      </w:r>
      <w:r w:rsidRPr="008A240C" w:rsidR="001065DB">
        <w:t xml:space="preserve">ection 623(l) of the Act and </w:t>
      </w:r>
      <w:r w:rsidR="00180C8C">
        <w:t>s</w:t>
      </w:r>
      <w:r w:rsidRPr="008A240C" w:rsidR="001065DB">
        <w:t>ection 76.905 of the Commission’s rules.</w:t>
      </w:r>
      <w:r>
        <w:rPr>
          <w:vertAlign w:val="superscript"/>
        </w:rPr>
        <w:footnoteReference w:id="11"/>
      </w:r>
      <w:r w:rsidR="00CD0097">
        <w:t xml:space="preserve"> </w:t>
      </w:r>
      <w:r w:rsidR="00185C29">
        <w:t xml:space="preserve"> </w:t>
      </w:r>
      <w:r w:rsidR="00990253">
        <w:t xml:space="preserve"> </w:t>
      </w:r>
    </w:p>
    <w:p w:rsidR="004B7B6B" w:rsidP="00731AD0" w14:paraId="774CB446" w14:textId="66C6382C">
      <w:pPr>
        <w:pStyle w:val="ParaNum"/>
        <w:tabs>
          <w:tab w:val="clear" w:pos="1170"/>
        </w:tabs>
        <w:ind w:left="0"/>
        <w:jc w:val="left"/>
      </w:pPr>
      <w:r>
        <w:t xml:space="preserve"> </w:t>
      </w:r>
      <w:r w:rsidRPr="008A240C" w:rsidR="00DE2032">
        <w:t xml:space="preserve">Section 623(l)(1)(B) provides that a cable operator is subject to </w:t>
      </w:r>
      <w:r w:rsidR="00475B9A">
        <w:t xml:space="preserve">competing provider </w:t>
      </w:r>
      <w:r w:rsidRPr="008A240C" w:rsidR="00DE2032">
        <w:t>effective competition if the franchise area is (a) served by at least two unaffiliated multichannel video programming distributors (MVPDs), each of which offers comparable video programming to at least 50 percent of the households in the franchise area; and (b) the number of households subscribing to programming services offered by MVPDs other than the largest MVPD exceeds 15 percent of the households in the franchise area.</w:t>
      </w:r>
      <w:r>
        <w:rPr>
          <w:rStyle w:val="FootnoteReference"/>
          <w:szCs w:val="22"/>
        </w:rPr>
        <w:footnoteReference w:id="12"/>
      </w:r>
      <w:r w:rsidRPr="008A240C" w:rsidR="00DE2032">
        <w:t xml:space="preserve">  Pursuant to the </w:t>
      </w:r>
      <w:r w:rsidRPr="004B7B6B" w:rsidR="00DE2032">
        <w:rPr>
          <w:i/>
        </w:rPr>
        <w:t>Effective Competition Order</w:t>
      </w:r>
      <w:r w:rsidRPr="008A240C" w:rsidR="00DE2032">
        <w:t>, absent evidence to the contrary, the Commission presumes that the competing provider test is met.</w:t>
      </w:r>
      <w:r>
        <w:rPr>
          <w:rStyle w:val="FootnoteReference"/>
        </w:rPr>
        <w:footnoteReference w:id="13"/>
      </w:r>
      <w:r w:rsidRPr="008A240C" w:rsidR="00DE2032">
        <w:t xml:space="preserve"> </w:t>
      </w:r>
      <w:r w:rsidR="000746EA">
        <w:t xml:space="preserve"> </w:t>
      </w:r>
      <w:r w:rsidR="00CB70DE">
        <w:t>In that Order, t</w:t>
      </w:r>
      <w:r w:rsidR="00E45E39">
        <w:t xml:space="preserve">he </w:t>
      </w:r>
      <w:r w:rsidR="00180C8C">
        <w:t>Commission</w:t>
      </w:r>
      <w:r w:rsidR="00C67F95">
        <w:t xml:space="preserve"> required all </w:t>
      </w:r>
      <w:r w:rsidRPr="008C3612" w:rsidR="000746EA">
        <w:t xml:space="preserve">franchising authorities </w:t>
      </w:r>
      <w:r w:rsidR="00C67F95">
        <w:t xml:space="preserve">with existing </w:t>
      </w:r>
      <w:r w:rsidR="00931712">
        <w:t xml:space="preserve">certifications that </w:t>
      </w:r>
      <w:r w:rsidR="00E45E39">
        <w:t>wish</w:t>
      </w:r>
      <w:r w:rsidR="00931712">
        <w:t xml:space="preserve">ed </w:t>
      </w:r>
      <w:r w:rsidR="00E45E39">
        <w:t xml:space="preserve">to remain certified </w:t>
      </w:r>
      <w:r w:rsidR="00931712">
        <w:t>to</w:t>
      </w:r>
      <w:r w:rsidR="00A73BC2">
        <w:t xml:space="preserve"> file a</w:t>
      </w:r>
      <w:r w:rsidR="00931712">
        <w:t xml:space="preserve"> revised </w:t>
      </w:r>
      <w:r w:rsidR="00A73BC2">
        <w:t>Form</w:t>
      </w:r>
      <w:r w:rsidR="000746EA">
        <w:t xml:space="preserve"> </w:t>
      </w:r>
      <w:r w:rsidR="00931712">
        <w:t xml:space="preserve">328, </w:t>
      </w:r>
      <w:r w:rsidR="00E45E39">
        <w:t xml:space="preserve">including a showing rebutting the </w:t>
      </w:r>
      <w:r w:rsidR="000746EA">
        <w:t>presumption of competing provider effective c</w:t>
      </w:r>
      <w:r w:rsidRPr="008C3612" w:rsidR="000746EA">
        <w:t>ompetition</w:t>
      </w:r>
      <w:r w:rsidR="00180C8C">
        <w:t>, by December 8, 2015</w:t>
      </w:r>
      <w:r w:rsidRPr="008C3612" w:rsidR="000746EA">
        <w:t>.</w:t>
      </w:r>
      <w:bookmarkStart w:id="2" w:name="_Ref448837557"/>
      <w:r>
        <w:rPr>
          <w:rStyle w:val="FootnoteReference"/>
        </w:rPr>
        <w:footnoteReference w:id="14"/>
      </w:r>
      <w:bookmarkEnd w:id="2"/>
      <w:r w:rsidR="0098275D">
        <w:t xml:space="preserve">  </w:t>
      </w:r>
    </w:p>
    <w:p w:rsidR="007F682B" w:rsidP="00731AD0" w14:paraId="54ACE454" w14:textId="6EB5E398">
      <w:pPr>
        <w:pStyle w:val="ParaNum"/>
        <w:tabs>
          <w:tab w:val="clear" w:pos="1170"/>
        </w:tabs>
        <w:ind w:left="0"/>
        <w:jc w:val="left"/>
      </w:pPr>
      <w:r>
        <w:t>In 2013, Comcast filed a Petition for Determination of Effective Competition in which it claimed that there was competing provider effective competition in Templeton, based on competition from direct broadcast satellite (DBS) providers.</w:t>
      </w:r>
      <w:r>
        <w:rPr>
          <w:rStyle w:val="FootnoteReference"/>
        </w:rPr>
        <w:footnoteReference w:id="15"/>
      </w:r>
      <w:r>
        <w:t xml:space="preserve">  </w:t>
      </w:r>
      <w:r w:rsidR="001F3810">
        <w:t xml:space="preserve">The MDTC filed an opposition to the </w:t>
      </w:r>
      <w:r w:rsidR="00B50E5B">
        <w:t>Comcast P</w:t>
      </w:r>
      <w:r w:rsidR="001F3810">
        <w:t xml:space="preserve">etition, and Comcast filed a reply.  </w:t>
      </w:r>
      <w:r>
        <w:t xml:space="preserve">In 2015, while </w:t>
      </w:r>
      <w:r w:rsidR="00B50E5B">
        <w:t>the Comcast P</w:t>
      </w:r>
      <w:r>
        <w:t>etition remained pending</w:t>
      </w:r>
      <w:r w:rsidR="001F3810">
        <w:t xml:space="preserve"> and following the release of the </w:t>
      </w:r>
      <w:r w:rsidR="001F3810">
        <w:rPr>
          <w:i/>
        </w:rPr>
        <w:t>Effective Competition Order</w:t>
      </w:r>
      <w:r>
        <w:t>, t</w:t>
      </w:r>
      <w:r w:rsidR="00EB4B39">
        <w:t xml:space="preserve">he </w:t>
      </w:r>
      <w:r w:rsidR="00152AFD">
        <w:t>MDTC</w:t>
      </w:r>
      <w:r w:rsidR="00A73BC2">
        <w:rPr>
          <w:color w:val="000000"/>
        </w:rPr>
        <w:t xml:space="preserve"> </w:t>
      </w:r>
      <w:r w:rsidRPr="007F682B" w:rsidR="00152AFD">
        <w:rPr>
          <w:color w:val="000000"/>
        </w:rPr>
        <w:t xml:space="preserve">filed </w:t>
      </w:r>
      <w:r w:rsidR="001D639E">
        <w:rPr>
          <w:color w:val="000000"/>
        </w:rPr>
        <w:t xml:space="preserve">timely certifications (FCC </w:t>
      </w:r>
      <w:r w:rsidR="00931712">
        <w:rPr>
          <w:color w:val="000000"/>
        </w:rPr>
        <w:t>Form 328</w:t>
      </w:r>
      <w:r w:rsidR="001D639E">
        <w:rPr>
          <w:color w:val="000000"/>
        </w:rPr>
        <w:t>)</w:t>
      </w:r>
      <w:r w:rsidRPr="007F682B" w:rsidR="00152AFD">
        <w:rPr>
          <w:color w:val="000000"/>
        </w:rPr>
        <w:t xml:space="preserve"> for numerous Massachusetts communit</w:t>
      </w:r>
      <w:r w:rsidRPr="007F682B" w:rsidR="00525142">
        <w:rPr>
          <w:color w:val="000000"/>
        </w:rPr>
        <w:t>ies, including the Town of Templeton</w:t>
      </w:r>
      <w:r w:rsidRPr="007F682B" w:rsidR="00152AFD">
        <w:rPr>
          <w:color w:val="000000"/>
        </w:rPr>
        <w:t>.</w:t>
      </w:r>
      <w:r>
        <w:rPr>
          <w:rStyle w:val="FootnoteReference"/>
          <w:color w:val="000000"/>
        </w:rPr>
        <w:footnoteReference w:id="16"/>
      </w:r>
      <w:r w:rsidR="00931712">
        <w:rPr>
          <w:color w:val="000000"/>
        </w:rPr>
        <w:t xml:space="preserve">  In its Form 328, </w:t>
      </w:r>
      <w:r w:rsidR="00EB4B39">
        <w:rPr>
          <w:color w:val="000000"/>
        </w:rPr>
        <w:t xml:space="preserve">the </w:t>
      </w:r>
      <w:r w:rsidR="00931712">
        <w:rPr>
          <w:color w:val="000000"/>
        </w:rPr>
        <w:t xml:space="preserve">MDTC asserted that </w:t>
      </w:r>
      <w:r w:rsidR="00AE4BAD">
        <w:rPr>
          <w:color w:val="000000"/>
        </w:rPr>
        <w:t xml:space="preserve">the </w:t>
      </w:r>
      <w:r w:rsidR="00931712">
        <w:rPr>
          <w:color w:val="000000"/>
        </w:rPr>
        <w:t xml:space="preserve">number of </w:t>
      </w:r>
      <w:r w:rsidR="001117F7">
        <w:rPr>
          <w:color w:val="000000"/>
        </w:rPr>
        <w:t xml:space="preserve">Templeton </w:t>
      </w:r>
      <w:r w:rsidR="00931712">
        <w:rPr>
          <w:color w:val="000000"/>
        </w:rPr>
        <w:t xml:space="preserve">households subscribing to DBS did not exceed </w:t>
      </w:r>
      <w:r w:rsidR="00541F07">
        <w:rPr>
          <w:color w:val="000000"/>
        </w:rPr>
        <w:t xml:space="preserve">the </w:t>
      </w:r>
      <w:r w:rsidR="00931712">
        <w:rPr>
          <w:color w:val="000000"/>
        </w:rPr>
        <w:t xml:space="preserve">15 percent </w:t>
      </w:r>
      <w:r w:rsidR="00C27D50">
        <w:rPr>
          <w:color w:val="000000"/>
        </w:rPr>
        <w:t>threshold require</w:t>
      </w:r>
      <w:r w:rsidR="001117F7">
        <w:rPr>
          <w:color w:val="000000"/>
        </w:rPr>
        <w:t>d for competing provider effective competition</w:t>
      </w:r>
      <w:r w:rsidR="000147CF">
        <w:rPr>
          <w:color w:val="000000"/>
        </w:rPr>
        <w:t>.</w:t>
      </w:r>
      <w:r>
        <w:rPr>
          <w:rStyle w:val="FootnoteReference"/>
          <w:color w:val="000000"/>
        </w:rPr>
        <w:footnoteReference w:id="17"/>
      </w:r>
      <w:r w:rsidR="000147CF">
        <w:rPr>
          <w:color w:val="000000"/>
        </w:rPr>
        <w:t xml:space="preserve">  Specifically, </w:t>
      </w:r>
      <w:r w:rsidR="00EB4B39">
        <w:rPr>
          <w:color w:val="000000"/>
        </w:rPr>
        <w:t xml:space="preserve">the </w:t>
      </w:r>
      <w:r w:rsidR="000147CF">
        <w:rPr>
          <w:color w:val="000000"/>
        </w:rPr>
        <w:t xml:space="preserve">MDTC argued that the DBS subscribership </w:t>
      </w:r>
      <w:r w:rsidR="001117F7">
        <w:rPr>
          <w:color w:val="000000"/>
        </w:rPr>
        <w:t xml:space="preserve">figure for Templeton </w:t>
      </w:r>
      <w:r w:rsidR="000147CF">
        <w:rPr>
          <w:color w:val="000000"/>
        </w:rPr>
        <w:t>should be reduced</w:t>
      </w:r>
      <w:r w:rsidR="005B4561">
        <w:rPr>
          <w:color w:val="000000"/>
        </w:rPr>
        <w:t xml:space="preserve"> because</w:t>
      </w:r>
      <w:r w:rsidR="000147CF">
        <w:rPr>
          <w:color w:val="000000"/>
        </w:rPr>
        <w:t xml:space="preserve"> </w:t>
      </w:r>
      <w:r w:rsidR="005B4561">
        <w:rPr>
          <w:color w:val="000000"/>
        </w:rPr>
        <w:t xml:space="preserve">of </w:t>
      </w:r>
      <w:r w:rsidR="000147CF">
        <w:rPr>
          <w:color w:val="000000"/>
        </w:rPr>
        <w:t xml:space="preserve">the high percentage of seasonal homes in </w:t>
      </w:r>
      <w:r w:rsidR="001117F7">
        <w:rPr>
          <w:color w:val="000000"/>
        </w:rPr>
        <w:t>that community</w:t>
      </w:r>
      <w:r w:rsidR="000147CF">
        <w:rPr>
          <w:color w:val="000000"/>
        </w:rPr>
        <w:t>.</w:t>
      </w:r>
      <w:r>
        <w:rPr>
          <w:rStyle w:val="FootnoteReference"/>
          <w:color w:val="000000"/>
        </w:rPr>
        <w:footnoteReference w:id="18"/>
      </w:r>
      <w:r w:rsidR="006A650E">
        <w:rPr>
          <w:color w:val="000000"/>
        </w:rPr>
        <w:t xml:space="preserve">  </w:t>
      </w:r>
      <w:r w:rsidR="00580666">
        <w:rPr>
          <w:color w:val="000000"/>
        </w:rPr>
        <w:t xml:space="preserve">Therefore, </w:t>
      </w:r>
      <w:r w:rsidR="00EB4B39">
        <w:rPr>
          <w:color w:val="000000"/>
        </w:rPr>
        <w:t xml:space="preserve">the </w:t>
      </w:r>
      <w:r w:rsidR="00580666">
        <w:rPr>
          <w:color w:val="000000"/>
        </w:rPr>
        <w:t>MDTC argued that its certification to regulate rates in Templeton remained valid.</w:t>
      </w:r>
      <w:r>
        <w:rPr>
          <w:rStyle w:val="FootnoteReference"/>
          <w:color w:val="000000"/>
        </w:rPr>
        <w:footnoteReference w:id="19"/>
      </w:r>
      <w:r w:rsidR="00580666">
        <w:rPr>
          <w:color w:val="000000"/>
        </w:rPr>
        <w:t xml:space="preserve"> </w:t>
      </w:r>
      <w:r w:rsidR="00C27D50">
        <w:rPr>
          <w:color w:val="000000"/>
        </w:rPr>
        <w:t xml:space="preserve"> </w:t>
      </w:r>
      <w:r w:rsidR="001117F7">
        <w:rPr>
          <w:color w:val="000000"/>
        </w:rPr>
        <w:t xml:space="preserve">Upon consideration of the Form 328, as well as the underlying pleadings related to the </w:t>
      </w:r>
      <w:r w:rsidR="00B50E5B">
        <w:rPr>
          <w:color w:val="000000"/>
        </w:rPr>
        <w:t>Comcast Petition</w:t>
      </w:r>
      <w:r w:rsidR="001117F7">
        <w:rPr>
          <w:color w:val="000000"/>
        </w:rPr>
        <w:t>, t</w:t>
      </w:r>
      <w:r w:rsidR="000147CF">
        <w:rPr>
          <w:color w:val="000000"/>
        </w:rPr>
        <w:t>he</w:t>
      </w:r>
      <w:r w:rsidR="00931712">
        <w:t xml:space="preserve"> Bureau concluded </w:t>
      </w:r>
      <w:r w:rsidR="001117F7">
        <w:t>“</w:t>
      </w:r>
      <w:r w:rsidR="00931712">
        <w:t>that the</w:t>
      </w:r>
      <w:r w:rsidR="000147CF">
        <w:t xml:space="preserve"> </w:t>
      </w:r>
      <w:r w:rsidR="00C521BB">
        <w:t xml:space="preserve">evidence </w:t>
      </w:r>
      <w:r w:rsidR="001117F7">
        <w:t xml:space="preserve">the </w:t>
      </w:r>
      <w:r w:rsidR="00C521BB">
        <w:t>MDTC submitted regarding the seasonal homes was not specific or significant enough to demonstrate a lack</w:t>
      </w:r>
      <w:r w:rsidR="00B830B0">
        <w:t xml:space="preserve"> of</w:t>
      </w:r>
      <w:r w:rsidR="001117F7">
        <w:t xml:space="preserve"> competing provider</w:t>
      </w:r>
      <w:r w:rsidR="00C521BB">
        <w:t xml:space="preserve"> effective competition, particularly given </w:t>
      </w:r>
      <w:r w:rsidR="007E7DAE">
        <w:t xml:space="preserve">the </w:t>
      </w:r>
      <w:r w:rsidR="00B830B0">
        <w:t xml:space="preserve">new </w:t>
      </w:r>
      <w:r w:rsidR="007E7DAE">
        <w:t>presumption regarding th</w:t>
      </w:r>
      <w:r w:rsidR="00B830B0">
        <w:t xml:space="preserve">e </w:t>
      </w:r>
      <w:r w:rsidR="0094785F">
        <w:t xml:space="preserve">presence of </w:t>
      </w:r>
      <w:r w:rsidR="001117F7">
        <w:t>this type of</w:t>
      </w:r>
      <w:r w:rsidR="00B830B0">
        <w:t xml:space="preserve"> </w:t>
      </w:r>
      <w:r w:rsidR="0094785F">
        <w:t>effective competition.</w:t>
      </w:r>
      <w:r w:rsidR="001117F7">
        <w:t>”</w:t>
      </w:r>
      <w:r>
        <w:rPr>
          <w:rStyle w:val="FootnoteReference"/>
        </w:rPr>
        <w:footnoteReference w:id="20"/>
      </w:r>
      <w:r w:rsidR="00C521BB">
        <w:t xml:space="preserve"> </w:t>
      </w:r>
      <w:r w:rsidR="00B861F2">
        <w:t xml:space="preserve"> The MDTC subsequently filed its Petition, which Comcast did not </w:t>
      </w:r>
      <w:r w:rsidR="00B22EDC">
        <w:t>oppose</w:t>
      </w:r>
      <w:r w:rsidR="00B861F2">
        <w:t>.</w:t>
      </w:r>
    </w:p>
    <w:p w:rsidR="00DE2032" w:rsidP="00B55E4A" w14:paraId="07C050F2" w14:textId="77777777">
      <w:pPr>
        <w:pStyle w:val="Heading1"/>
        <w:jc w:val="left"/>
        <w:rPr>
          <w:szCs w:val="22"/>
        </w:rPr>
      </w:pPr>
      <w:r w:rsidRPr="008A240C">
        <w:rPr>
          <w:szCs w:val="22"/>
        </w:rPr>
        <w:t>DISCUSSION</w:t>
      </w:r>
    </w:p>
    <w:p w:rsidR="001F3810" w14:paraId="5ADC829A" w14:textId="4263777B">
      <w:pPr>
        <w:pStyle w:val="ParaNum"/>
        <w:tabs>
          <w:tab w:val="clear" w:pos="1170"/>
        </w:tabs>
        <w:ind w:left="0"/>
        <w:jc w:val="left"/>
      </w:pPr>
      <w:r>
        <w:t xml:space="preserve">We conclude that the MDTC has submitted </w:t>
      </w:r>
      <w:r>
        <w:t>sufficient</w:t>
      </w:r>
      <w:r>
        <w:t xml:space="preserve"> evidence demonstrating that the second prong of the competing provider test is not satisfied and, therefore, effective competition is not present in the community of Templeton.  </w:t>
      </w:r>
      <w:r w:rsidR="00C27D50">
        <w:t>In</w:t>
      </w:r>
      <w:r w:rsidR="007C4E08">
        <w:t xml:space="preserve"> its</w:t>
      </w:r>
      <w:r w:rsidR="00C27D50">
        <w:t xml:space="preserve"> Petition, </w:t>
      </w:r>
      <w:r w:rsidR="00EB4B39">
        <w:t xml:space="preserve">the </w:t>
      </w:r>
      <w:r w:rsidR="00C62BB2">
        <w:t>MDTC argue</w:t>
      </w:r>
      <w:r w:rsidR="007C4E08">
        <w:t>s</w:t>
      </w:r>
      <w:r w:rsidR="00C27D50">
        <w:t xml:space="preserve"> </w:t>
      </w:r>
      <w:r w:rsidR="00C62BB2">
        <w:t>that a penetration rate of 14.5</w:t>
      </w:r>
      <w:r w:rsidR="00FF51E9">
        <w:t xml:space="preserve">6 percent </w:t>
      </w:r>
      <w:r w:rsidR="00C62BB2">
        <w:t>in Templeton show</w:t>
      </w:r>
      <w:r w:rsidR="006E0D9B">
        <w:t>s</w:t>
      </w:r>
      <w:r w:rsidR="00C62BB2">
        <w:t xml:space="preserve"> th</w:t>
      </w:r>
      <w:r w:rsidR="00A439F7">
        <w:t>e</w:t>
      </w:r>
      <w:r w:rsidR="00C62BB2">
        <w:t xml:space="preserve"> </w:t>
      </w:r>
      <w:r w:rsidR="00A439F7">
        <w:t>absence</w:t>
      </w:r>
      <w:r w:rsidR="00C62BB2">
        <w:t xml:space="preserve"> of competing provider effective competition</w:t>
      </w:r>
      <w:r w:rsidR="00FF51E9">
        <w:t>.</w:t>
      </w:r>
      <w:r>
        <w:rPr>
          <w:rStyle w:val="FootnoteReference"/>
        </w:rPr>
        <w:footnoteReference w:id="21"/>
      </w:r>
      <w:r w:rsidR="007C4E08">
        <w:t xml:space="preserve">  </w:t>
      </w:r>
      <w:r w:rsidR="006E0D9B">
        <w:t>Specifically, t</w:t>
      </w:r>
      <w:r w:rsidR="00EB4B39">
        <w:t xml:space="preserve">he </w:t>
      </w:r>
      <w:r w:rsidR="007C4E08">
        <w:t xml:space="preserve">MDTC </w:t>
      </w:r>
      <w:r w:rsidR="00C25356">
        <w:t>reiterates the information presented in its Form 328, asserting</w:t>
      </w:r>
      <w:r w:rsidR="007C4E08">
        <w:t xml:space="preserve"> that </w:t>
      </w:r>
      <w:r w:rsidR="006E0D9B">
        <w:t>3.98 percent of total housing units in Templeton are seasonal homes.</w:t>
      </w:r>
      <w:r>
        <w:rPr>
          <w:rStyle w:val="FootnoteReference"/>
        </w:rPr>
        <w:footnoteReference w:id="22"/>
      </w:r>
      <w:r w:rsidR="006E0D9B">
        <w:t xml:space="preserve">  </w:t>
      </w:r>
      <w:r w:rsidR="00FF4B08">
        <w:t xml:space="preserve">In addition, </w:t>
      </w:r>
      <w:r w:rsidR="0059555D">
        <w:t xml:space="preserve">the </w:t>
      </w:r>
      <w:r w:rsidR="00FF4B08">
        <w:t xml:space="preserve">MDTC asserts that the Bureau erroneously used the DBS subscribership numbers for Templeton filed as part of </w:t>
      </w:r>
      <w:r w:rsidR="00B50E5B">
        <w:t xml:space="preserve">the 2013 </w:t>
      </w:r>
      <w:r w:rsidR="00FF4B08">
        <w:t>Comcast Petition, rather than the more recent DBS subscribership numbers filed as part of MDTC’s Form 328</w:t>
      </w:r>
      <w:r w:rsidR="00B50E5B">
        <w:t xml:space="preserve"> in 2015</w:t>
      </w:r>
      <w:r w:rsidR="00FF4B08">
        <w:t>.</w:t>
      </w:r>
      <w:r>
        <w:rPr>
          <w:rStyle w:val="FootnoteReference"/>
        </w:rPr>
        <w:footnoteReference w:id="23"/>
      </w:r>
      <w:r w:rsidR="00FF4B08">
        <w:t xml:space="preserve"> </w:t>
      </w:r>
      <w:r w:rsidR="00081968">
        <w:t xml:space="preserve"> According to this more recent subscriber data and assuming that 3.98 percent are seasonal subscribers, there are a total of 420 non-seasonal DBS subscribers in Templeton, and dividing 420 by the total number of households in Templeton (2,882) yields a DBS penetration rate below the 15 percent threshold</w:t>
      </w:r>
      <w:r w:rsidR="00541F07">
        <w:t>.</w:t>
      </w:r>
      <w:r>
        <w:rPr>
          <w:rStyle w:val="FootnoteReference"/>
        </w:rPr>
        <w:footnoteReference w:id="24"/>
      </w:r>
      <w:r w:rsidR="00541F07">
        <w:t xml:space="preserve">  </w:t>
      </w:r>
      <w:r w:rsidR="00CB6142">
        <w:t>Precedent dictates that s</w:t>
      </w:r>
      <w:r w:rsidR="00E07ACA">
        <w:t xml:space="preserve">easonal homes, vacation homes, dormitories, and assisted living facilities do not qualify as “households” </w:t>
      </w:r>
      <w:r w:rsidR="00CB6142">
        <w:t>for purposes of the competing provider test</w:t>
      </w:r>
      <w:r w:rsidR="00E07ACA">
        <w:t>.</w:t>
      </w:r>
      <w:r>
        <w:rPr>
          <w:rStyle w:val="FootnoteReference"/>
        </w:rPr>
        <w:footnoteReference w:id="25"/>
      </w:r>
      <w:r w:rsidR="00224513">
        <w:t xml:space="preserve"> </w:t>
      </w:r>
      <w:r w:rsidR="000779CB">
        <w:t xml:space="preserve"> </w:t>
      </w:r>
    </w:p>
    <w:p w:rsidR="008415C9" w:rsidP="00731AD0" w14:paraId="77EE1300" w14:textId="57D6F4D1">
      <w:pPr>
        <w:pStyle w:val="ParaNum"/>
        <w:tabs>
          <w:tab w:val="clear" w:pos="1170"/>
        </w:tabs>
        <w:ind w:left="0"/>
        <w:jc w:val="left"/>
      </w:pPr>
      <w:r>
        <w:t>We find the arguments in the Petition persuasive, and</w:t>
      </w:r>
      <w:r w:rsidR="00684DF9">
        <w:t xml:space="preserve"> w</w:t>
      </w:r>
      <w:r w:rsidR="004F3011">
        <w:t xml:space="preserve">e note that Comcast failed to </w:t>
      </w:r>
      <w:r w:rsidR="000779CB">
        <w:t>file</w:t>
      </w:r>
      <w:r w:rsidR="004F3011">
        <w:t xml:space="preserve"> a response to </w:t>
      </w:r>
      <w:r w:rsidR="00EB4B39">
        <w:t xml:space="preserve">the </w:t>
      </w:r>
      <w:r>
        <w:t>P</w:t>
      </w:r>
      <w:r w:rsidR="004F3011">
        <w:t>etition</w:t>
      </w:r>
      <w:r w:rsidR="00684DF9">
        <w:t xml:space="preserve"> to re</w:t>
      </w:r>
      <w:r>
        <w:t>but</w:t>
      </w:r>
      <w:r w:rsidR="00684DF9">
        <w:t xml:space="preserve"> </w:t>
      </w:r>
      <w:r w:rsidR="00EB4B39">
        <w:t xml:space="preserve">the </w:t>
      </w:r>
      <w:r w:rsidR="00684DF9">
        <w:t xml:space="preserve">MDTC’s </w:t>
      </w:r>
      <w:r>
        <w:t xml:space="preserve">position that there is a lack of </w:t>
      </w:r>
      <w:r w:rsidR="00684DF9">
        <w:t>competing provider effective competition in Templeton</w:t>
      </w:r>
      <w:r w:rsidR="004F3011">
        <w:t xml:space="preserve">.  </w:t>
      </w:r>
      <w:r w:rsidR="00362508">
        <w:t xml:space="preserve">Upon reflection, </w:t>
      </w:r>
      <w:r w:rsidR="00224513">
        <w:t xml:space="preserve">we find that </w:t>
      </w:r>
      <w:r w:rsidR="00EB4B39">
        <w:t xml:space="preserve">the </w:t>
      </w:r>
      <w:r w:rsidR="00362508">
        <w:t xml:space="preserve">MDTC </w:t>
      </w:r>
      <w:r w:rsidR="00224513">
        <w:t xml:space="preserve">has </w:t>
      </w:r>
      <w:r w:rsidR="00362508">
        <w:t xml:space="preserve">presented solid and persuasive evidence to clearly rebut the presumption of </w:t>
      </w:r>
      <w:r>
        <w:t xml:space="preserve">competing provider </w:t>
      </w:r>
      <w:r w:rsidR="00362508">
        <w:t>effective competitio</w:t>
      </w:r>
      <w:r w:rsidR="000779CB">
        <w:t>n.</w:t>
      </w:r>
      <w:r w:rsidR="00684DF9">
        <w:t xml:space="preserve">  </w:t>
      </w:r>
      <w:r w:rsidR="001F3810">
        <w:t>The Bureau failed to accord appropriate consideration to the MDTC’s evidence, which clearly demonstrates that the calculation in Comcast’s underlying petition erroneously included seasonal homes.  Once those homes are excluded from the calculation, it is apparent that t</w:t>
      </w:r>
      <w:r w:rsidR="00684DF9">
        <w:t xml:space="preserve">he </w:t>
      </w:r>
      <w:r w:rsidR="00211394">
        <w:t xml:space="preserve">threshold requirement for competing provider effective competition </w:t>
      </w:r>
      <w:r w:rsidR="00362508">
        <w:t>has not been</w:t>
      </w:r>
      <w:r w:rsidR="00211394">
        <w:t xml:space="preserve"> not me</w:t>
      </w:r>
      <w:r w:rsidR="00362508">
        <w:t xml:space="preserve">t.  </w:t>
      </w:r>
      <w:r w:rsidR="000779CB">
        <w:t xml:space="preserve">Therefore, </w:t>
      </w:r>
      <w:r w:rsidR="00EB4B39">
        <w:t xml:space="preserve">the </w:t>
      </w:r>
      <w:r w:rsidR="00B830B0">
        <w:t xml:space="preserve">MDTC has presented </w:t>
      </w:r>
      <w:r w:rsidR="00362508">
        <w:t>sufficient</w:t>
      </w:r>
      <w:r w:rsidR="00362508">
        <w:t xml:space="preserve"> </w:t>
      </w:r>
      <w:r w:rsidR="00B830B0">
        <w:t xml:space="preserve">information </w:t>
      </w:r>
      <w:r w:rsidR="00504AF5">
        <w:t>to</w:t>
      </w:r>
      <w:r w:rsidR="00D16AFC">
        <w:t xml:space="preserve"> </w:t>
      </w:r>
      <w:r w:rsidR="00C1790B">
        <w:t xml:space="preserve">support </w:t>
      </w:r>
      <w:r w:rsidR="00D16AFC">
        <w:t>its request that</w:t>
      </w:r>
      <w:r w:rsidR="003C26B8">
        <w:t xml:space="preserve"> we</w:t>
      </w:r>
      <w:r w:rsidR="00D16AFC">
        <w:t xml:space="preserve"> reverse</w:t>
      </w:r>
      <w:r w:rsidR="00657BF5">
        <w:t xml:space="preserve"> </w:t>
      </w:r>
      <w:r w:rsidR="003C26B8">
        <w:t>our</w:t>
      </w:r>
      <w:r w:rsidR="00D16AFC">
        <w:t xml:space="preserve"> </w:t>
      </w:r>
      <w:r w:rsidR="00504AF5">
        <w:t xml:space="preserve">conclusion in the </w:t>
      </w:r>
      <w:r w:rsidRPr="00967224" w:rsidR="00504AF5">
        <w:rPr>
          <w:i/>
        </w:rPr>
        <w:t>Order</w:t>
      </w:r>
      <w:r w:rsidR="00D16AFC">
        <w:t>.</w:t>
      </w:r>
      <w:r>
        <w:rPr>
          <w:rStyle w:val="FootnoteReference"/>
        </w:rPr>
        <w:footnoteReference w:id="26"/>
      </w:r>
      <w:r w:rsidR="008E6530">
        <w:t xml:space="preserve"> </w:t>
      </w:r>
      <w:r w:rsidR="004F3011">
        <w:t xml:space="preserve">   </w:t>
      </w:r>
      <w:r w:rsidR="006664D5">
        <w:t xml:space="preserve"> </w:t>
      </w:r>
    </w:p>
    <w:p w:rsidR="00F83658" w:rsidP="008F31EF" w14:paraId="035BE4F5" w14:textId="26DBE298">
      <w:pPr>
        <w:pStyle w:val="ParaNum"/>
        <w:numPr>
          <w:ilvl w:val="0"/>
          <w:numId w:val="0"/>
        </w:numPr>
        <w:ind w:left="810"/>
        <w:jc w:val="left"/>
      </w:pPr>
    </w:p>
    <w:p w:rsidR="00C1707D" w:rsidRPr="00151B55" w:rsidP="00B55E4A" w14:paraId="776B4B84" w14:textId="77777777">
      <w:pPr>
        <w:pStyle w:val="Heading1"/>
        <w:jc w:val="left"/>
        <w:rPr>
          <w:color w:val="000000"/>
          <w:szCs w:val="22"/>
        </w:rPr>
      </w:pPr>
      <w:r w:rsidRPr="002166B9">
        <w:rPr>
          <w:color w:val="000000"/>
          <w:szCs w:val="22"/>
        </w:rPr>
        <w:t>Ordering claus</w:t>
      </w:r>
      <w:r w:rsidR="00151B55">
        <w:rPr>
          <w:color w:val="000000"/>
          <w:szCs w:val="22"/>
        </w:rPr>
        <w:t>es</w:t>
      </w:r>
      <w:r w:rsidRPr="00151B55">
        <w:rPr>
          <w:color w:val="000000"/>
          <w:szCs w:val="22"/>
        </w:rPr>
        <w:t xml:space="preserve"> </w:t>
      </w:r>
    </w:p>
    <w:p w:rsidR="00D822BB" w:rsidRPr="00D822BB" w:rsidP="00731AD0" w14:paraId="6A3CEFDA" w14:textId="77777777">
      <w:pPr>
        <w:pStyle w:val="ParaNum"/>
        <w:tabs>
          <w:tab w:val="clear" w:pos="1170"/>
        </w:tabs>
        <w:ind w:left="0"/>
        <w:jc w:val="left"/>
      </w:pPr>
      <w:r>
        <w:t xml:space="preserve"> </w:t>
      </w:r>
      <w:r w:rsidRPr="007F682B" w:rsidR="00C1707D">
        <w:t xml:space="preserve">Accordingly, </w:t>
      </w:r>
      <w:r w:rsidRPr="005108F6" w:rsidR="00C1707D">
        <w:rPr>
          <w:b/>
        </w:rPr>
        <w:t>IT IS ORDERED</w:t>
      </w:r>
      <w:r w:rsidRPr="007F682B" w:rsidR="00C1707D">
        <w:t xml:space="preserve"> </w:t>
      </w:r>
      <w:r w:rsidRPr="007F682B" w:rsidR="002166B9">
        <w:t xml:space="preserve">that </w:t>
      </w:r>
      <w:r w:rsidR="005108F6">
        <w:t xml:space="preserve">the Massachusetts Department of Telecommunications and Cable Petition for Reconsideration </w:t>
      </w:r>
      <w:r w:rsidRPr="005108F6" w:rsidR="005108F6">
        <w:rPr>
          <w:b/>
        </w:rPr>
        <w:t xml:space="preserve">IS </w:t>
      </w:r>
      <w:r w:rsidR="004F3011">
        <w:rPr>
          <w:b/>
        </w:rPr>
        <w:t>GRANT</w:t>
      </w:r>
      <w:r w:rsidRPr="005108F6" w:rsidR="005108F6">
        <w:rPr>
          <w:b/>
        </w:rPr>
        <w:t>ED</w:t>
      </w:r>
      <w:r w:rsidR="005108F6">
        <w:t>.</w:t>
      </w:r>
      <w:r w:rsidRPr="007F682B" w:rsidR="00C1707D">
        <w:rPr>
          <w:color w:val="000000"/>
        </w:rPr>
        <w:t xml:space="preserve"> </w:t>
      </w:r>
      <w:r w:rsidR="00796E0A">
        <w:rPr>
          <w:color w:val="000000"/>
        </w:rPr>
        <w:t xml:space="preserve">  </w:t>
      </w:r>
    </w:p>
    <w:p w:rsidR="00C1707D" w:rsidRPr="007F682B" w:rsidP="00731AD0" w14:paraId="3ECA636D" w14:textId="19E13FB8">
      <w:pPr>
        <w:pStyle w:val="ParaNum"/>
        <w:tabs>
          <w:tab w:val="clear" w:pos="1170"/>
        </w:tabs>
        <w:ind w:left="0"/>
        <w:jc w:val="left"/>
      </w:pPr>
      <w:r>
        <w:rPr>
          <w:b/>
          <w:color w:val="000000"/>
        </w:rPr>
        <w:t xml:space="preserve">IT IS FURTHER ORDERED </w:t>
      </w:r>
      <w:r>
        <w:rPr>
          <w:color w:val="000000"/>
        </w:rPr>
        <w:t>that t</w:t>
      </w:r>
      <w:r w:rsidR="00796E0A">
        <w:rPr>
          <w:color w:val="000000"/>
        </w:rPr>
        <w:t>he Massachusetts Department of Telecommunications and Cable is recertified to regulate basic cable service and equipment rates in Templeton</w:t>
      </w:r>
      <w:r w:rsidR="00E32F71">
        <w:rPr>
          <w:color w:val="000000"/>
        </w:rPr>
        <w:t>, MA</w:t>
      </w:r>
      <w:r w:rsidR="00796E0A">
        <w:rPr>
          <w:color w:val="000000"/>
        </w:rPr>
        <w:t xml:space="preserve">. </w:t>
      </w:r>
    </w:p>
    <w:p w:rsidR="00C1707D" w:rsidRPr="00AC4B51" w:rsidP="00731AD0" w14:paraId="75550F48" w14:textId="77777777">
      <w:pPr>
        <w:pStyle w:val="ParaNum"/>
        <w:tabs>
          <w:tab w:val="clear" w:pos="1170"/>
        </w:tabs>
        <w:ind w:left="0"/>
        <w:jc w:val="left"/>
        <w:rPr>
          <w:szCs w:val="22"/>
        </w:rPr>
      </w:pPr>
      <w:r>
        <w:t xml:space="preserve">  </w:t>
      </w:r>
      <w:r w:rsidR="002C630B">
        <w:t>T</w:t>
      </w:r>
      <w:r w:rsidRPr="002166B9">
        <w:t xml:space="preserve">his action is taken pursuant to delegated authority pursuant to Section 0.283 of the </w:t>
      </w:r>
      <w:r w:rsidRPr="00AC4B51">
        <w:rPr>
          <w:szCs w:val="22"/>
        </w:rPr>
        <w:t>Commission’s rules.</w:t>
      </w:r>
      <w:r>
        <w:rPr>
          <w:szCs w:val="22"/>
          <w:vertAlign w:val="superscript"/>
        </w:rPr>
        <w:footnoteReference w:id="27"/>
      </w:r>
      <w:r w:rsidRPr="00AC4B51" w:rsidR="00186DA0">
        <w:rPr>
          <w:szCs w:val="22"/>
        </w:rPr>
        <w:t xml:space="preserve"> </w:t>
      </w:r>
    </w:p>
    <w:p w:rsidR="00C1707D" w:rsidRPr="00AC4B51" w:rsidP="00B55E4A" w14:paraId="5B383052" w14:textId="77777777">
      <w:pPr>
        <w:pStyle w:val="ParaNum"/>
        <w:numPr>
          <w:ilvl w:val="0"/>
          <w:numId w:val="0"/>
        </w:numPr>
        <w:jc w:val="left"/>
        <w:rPr>
          <w:color w:val="000000"/>
          <w:szCs w:val="22"/>
        </w:rPr>
      </w:pPr>
      <w:r w:rsidRPr="00AC4B51">
        <w:rPr>
          <w:color w:val="000000"/>
          <w:szCs w:val="22"/>
        </w:rPr>
        <w:tab/>
      </w:r>
      <w:r w:rsidRPr="00AC4B51">
        <w:rPr>
          <w:color w:val="000000"/>
          <w:szCs w:val="22"/>
        </w:rPr>
        <w:tab/>
      </w:r>
      <w:r w:rsidRPr="00AC4B51">
        <w:rPr>
          <w:color w:val="000000"/>
          <w:szCs w:val="22"/>
        </w:rPr>
        <w:tab/>
      </w:r>
    </w:p>
    <w:p w:rsidR="00C1707D" w:rsidRPr="00AC4B51" w:rsidP="00B55E4A" w14:paraId="15A29AAD" w14:textId="77777777">
      <w:pPr>
        <w:pStyle w:val="ParaNum"/>
        <w:numPr>
          <w:ilvl w:val="0"/>
          <w:numId w:val="0"/>
        </w:numPr>
        <w:jc w:val="left"/>
        <w:rPr>
          <w:color w:val="000000"/>
          <w:szCs w:val="22"/>
        </w:rPr>
      </w:pPr>
      <w:r w:rsidRPr="00AC4B51">
        <w:rPr>
          <w:color w:val="000000"/>
          <w:szCs w:val="22"/>
        </w:rPr>
        <w:tab/>
      </w:r>
      <w:r w:rsidRPr="00AC4B51">
        <w:rPr>
          <w:color w:val="000000"/>
          <w:szCs w:val="22"/>
        </w:rPr>
        <w:tab/>
      </w:r>
      <w:r w:rsidRPr="00AC4B51">
        <w:rPr>
          <w:color w:val="000000"/>
          <w:szCs w:val="22"/>
        </w:rPr>
        <w:tab/>
      </w:r>
      <w:r w:rsidRPr="00AC4B51">
        <w:rPr>
          <w:color w:val="000000"/>
          <w:szCs w:val="22"/>
        </w:rPr>
        <w:tab/>
        <w:t>FEDERAL COMMUNICATIONS COMMISSION</w:t>
      </w:r>
    </w:p>
    <w:p w:rsidR="00C1707D" w:rsidRPr="00175243" w:rsidP="00B55E4A" w14:paraId="1A148D02" w14:textId="77777777">
      <w:pPr>
        <w:pStyle w:val="DocText"/>
        <w:rPr>
          <w:sz w:val="22"/>
          <w:szCs w:val="22"/>
        </w:rPr>
      </w:pPr>
    </w:p>
    <w:p w:rsidR="00C1707D" w:rsidRPr="00175243" w:rsidP="00B55E4A" w14:paraId="21723502" w14:textId="77777777">
      <w:pPr>
        <w:pStyle w:val="DocText"/>
        <w:rPr>
          <w:sz w:val="22"/>
          <w:szCs w:val="22"/>
        </w:rPr>
      </w:pPr>
    </w:p>
    <w:p w:rsidR="00C1707D" w:rsidRPr="00175243" w:rsidP="00930F88" w14:paraId="356858CE" w14:textId="77777777">
      <w:pPr>
        <w:pStyle w:val="DocText"/>
        <w:rPr>
          <w:sz w:val="22"/>
          <w:szCs w:val="22"/>
        </w:rPr>
      </w:pPr>
      <w:r w:rsidRPr="00175243">
        <w:rPr>
          <w:sz w:val="22"/>
          <w:szCs w:val="22"/>
        </w:rPr>
        <w:tab/>
      </w:r>
      <w:r w:rsidRPr="00175243">
        <w:rPr>
          <w:sz w:val="22"/>
          <w:szCs w:val="22"/>
        </w:rPr>
        <w:tab/>
      </w:r>
      <w:r w:rsidRPr="00175243">
        <w:rPr>
          <w:sz w:val="22"/>
          <w:szCs w:val="22"/>
        </w:rPr>
        <w:tab/>
      </w:r>
      <w:r w:rsidRPr="00175243">
        <w:rPr>
          <w:sz w:val="22"/>
          <w:szCs w:val="22"/>
        </w:rPr>
        <w:tab/>
        <w:t>Steven A. Broeckaert</w:t>
      </w:r>
    </w:p>
    <w:p w:rsidR="00185C29" w:rsidRPr="00175243" w:rsidP="00930F88" w14:paraId="7F23B0D2" w14:textId="77777777">
      <w:pPr>
        <w:pStyle w:val="DocText"/>
        <w:rPr>
          <w:sz w:val="22"/>
          <w:szCs w:val="22"/>
        </w:rPr>
      </w:pPr>
      <w:r w:rsidRPr="00175243">
        <w:rPr>
          <w:sz w:val="22"/>
          <w:szCs w:val="22"/>
        </w:rPr>
        <w:tab/>
      </w:r>
      <w:r w:rsidRPr="00175243">
        <w:rPr>
          <w:sz w:val="22"/>
          <w:szCs w:val="22"/>
        </w:rPr>
        <w:tab/>
      </w:r>
      <w:r w:rsidRPr="00175243">
        <w:rPr>
          <w:sz w:val="22"/>
          <w:szCs w:val="22"/>
        </w:rPr>
        <w:tab/>
      </w:r>
      <w:r w:rsidRPr="00175243">
        <w:rPr>
          <w:sz w:val="22"/>
          <w:szCs w:val="22"/>
        </w:rPr>
        <w:tab/>
        <w:t>Senior Deputy Chief, Policy Division, Media Bureau</w:t>
      </w:r>
    </w:p>
    <w:p w:rsidR="00185C29" w:rsidRPr="00175243" w:rsidP="00930F88" w14:paraId="17436E43" w14:textId="77777777">
      <w:pPr>
        <w:pStyle w:val="DocText"/>
        <w:rPr>
          <w:sz w:val="22"/>
          <w:szCs w:val="22"/>
        </w:rPr>
      </w:pPr>
    </w:p>
    <w:p w:rsidR="00185C29" w:rsidRPr="00175243" w:rsidP="00930F88" w14:paraId="10E9D17E" w14:textId="77777777">
      <w:pPr>
        <w:pStyle w:val="DocText"/>
        <w:rPr>
          <w:sz w:val="22"/>
          <w:szCs w:val="22"/>
        </w:rPr>
      </w:pPr>
    </w:p>
    <w:p w:rsidR="00185C29" w:rsidP="00930F88" w14:paraId="75167762" w14:textId="77777777">
      <w:pPr>
        <w:pStyle w:val="DocText"/>
      </w:pPr>
    </w:p>
    <w:p w:rsidR="00185C29" w:rsidP="00930F88" w14:paraId="79EED5AC" w14:textId="77777777">
      <w:pPr>
        <w:pStyle w:val="DocText"/>
      </w:pPr>
    </w:p>
    <w:p w:rsidR="00185C29" w:rsidRPr="00A73BC2" w:rsidP="00930F88" w14:paraId="5A88170D" w14:textId="77777777">
      <w:pPr>
        <w:pStyle w:val="DocText"/>
      </w:pPr>
    </w:p>
    <w:p w:rsidR="00D44A7A" w:rsidRPr="00A73BC2" w:rsidP="00D44A7A" w14:paraId="31E93965" w14:textId="77777777">
      <w:pPr>
        <w:pStyle w:val="DocText"/>
      </w:pPr>
    </w:p>
    <w:p w:rsidR="00185C29" w:rsidRPr="00A73BC2" w:rsidP="00D44A7A" w14:paraId="5B4BB234" w14:textId="77777777">
      <w:pPr>
        <w:pStyle w:val="DocText"/>
      </w:pPr>
    </w:p>
    <w:p w:rsidR="00185C29" w:rsidRPr="00A73BC2" w:rsidP="00D44A7A" w14:paraId="02005EEB" w14:textId="77777777">
      <w:pPr>
        <w:pStyle w:val="DocText"/>
      </w:pPr>
    </w:p>
    <w:p w:rsidR="00185C29" w:rsidRPr="00A73BC2" w:rsidP="00D44A7A" w14:paraId="634611AB" w14:textId="77777777">
      <w:pPr>
        <w:pStyle w:val="DocText"/>
      </w:pPr>
    </w:p>
    <w:p w:rsidR="00185C29" w:rsidP="00D44A7A" w14:paraId="1220C516" w14:textId="77777777">
      <w:pPr>
        <w:pStyle w:val="DocText"/>
      </w:pPr>
    </w:p>
    <w:bookmarkEnd w:id="0"/>
    <w:p w:rsidR="00185C29" w:rsidRPr="00010B17" w:rsidP="00D44A7A" w14:paraId="0E35A00E" w14:textId="77777777">
      <w:pPr>
        <w:pStyle w:val="DocText"/>
      </w:pPr>
    </w:p>
    <w:sectPr>
      <w:headerReference w:type="default" r:id="rId5"/>
      <w:footerReference w:type="default" r:id="rId6"/>
      <w:headerReference w:type="first" r:id="rId7"/>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995" w14:paraId="6F1097CA"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9D1480">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96D45" w14:paraId="430E085F" w14:textId="77777777">
      <w:pPr>
        <w:rPr>
          <w:sz w:val="20"/>
        </w:rPr>
      </w:pPr>
      <w:r>
        <w:rPr>
          <w:sz w:val="20"/>
        </w:rPr>
        <w:separator/>
      </w:r>
    </w:p>
  </w:footnote>
  <w:footnote w:type="continuationSeparator" w:id="1">
    <w:p w:rsidR="00E96D45" w14:paraId="7571B9B9" w14:textId="77777777">
      <w:pPr>
        <w:rPr>
          <w:sz w:val="20"/>
        </w:rPr>
      </w:pPr>
      <w:r>
        <w:rPr>
          <w:sz w:val="20"/>
        </w:rPr>
        <w:separator/>
      </w:r>
    </w:p>
    <w:p w:rsidR="00E96D45" w14:paraId="26EEE904" w14:textId="77777777">
      <w:pPr>
        <w:rPr>
          <w:sz w:val="20"/>
        </w:rPr>
      </w:pPr>
      <w:r>
        <w:rPr>
          <w:sz w:val="20"/>
        </w:rPr>
        <w:t>(...continued from previous page)</w:t>
      </w:r>
    </w:p>
  </w:footnote>
  <w:footnote w:type="continuationNotice" w:id="2">
    <w:p w:rsidR="00E96D45" w14:paraId="36FD5A0F" w14:textId="77777777">
      <w:pPr>
        <w:jc w:val="right"/>
        <w:rPr>
          <w:sz w:val="20"/>
        </w:rPr>
      </w:pPr>
      <w:r>
        <w:rPr>
          <w:sz w:val="20"/>
        </w:rPr>
        <w:t>(continued....)</w:t>
      </w:r>
    </w:p>
  </w:footnote>
  <w:footnote w:id="3">
    <w:p w:rsidR="001B24E8" w:rsidRPr="001F176B" w:rsidP="001B24E8" w14:paraId="5729F953" w14:textId="7C63F744">
      <w:pPr>
        <w:pStyle w:val="FootnoteText"/>
        <w:jc w:val="left"/>
      </w:pPr>
      <w:r w:rsidRPr="001F176B">
        <w:rPr>
          <w:rStyle w:val="FootnoteReference"/>
        </w:rPr>
        <w:footnoteRef/>
      </w:r>
      <w:r>
        <w:t xml:space="preserve"> </w:t>
      </w:r>
      <w:r w:rsidR="00EB4B39">
        <w:t xml:space="preserve">The </w:t>
      </w:r>
      <w:r w:rsidRPr="001F176B">
        <w:rPr>
          <w:color w:val="000000"/>
        </w:rPr>
        <w:t>MDTC is the franchis</w:t>
      </w:r>
      <w:r w:rsidR="00185F3C">
        <w:rPr>
          <w:color w:val="000000"/>
        </w:rPr>
        <w:t>ing</w:t>
      </w:r>
      <w:r w:rsidRPr="001F176B">
        <w:rPr>
          <w:color w:val="000000"/>
        </w:rPr>
        <w:t xml:space="preserve"> authority for rate regulation of cable services throughout the Commonwealth of Massachusetts.   </w:t>
      </w:r>
    </w:p>
  </w:footnote>
  <w:footnote w:id="4">
    <w:p w:rsidR="00041B8A" w:rsidRPr="001F176B" w:rsidP="007E1B90" w14:paraId="004ED03B" w14:textId="51A97995">
      <w:pPr>
        <w:widowControl w:val="0"/>
        <w:autoSpaceDE w:val="0"/>
        <w:autoSpaceDN w:val="0"/>
        <w:adjustRightInd w:val="0"/>
        <w:spacing w:after="120"/>
        <w:rPr>
          <w:color w:val="000000"/>
          <w:sz w:val="20"/>
        </w:rPr>
      </w:pPr>
      <w:r w:rsidRPr="001F176B">
        <w:rPr>
          <w:rStyle w:val="FootnoteReference"/>
          <w:color w:val="000000"/>
          <w:sz w:val="20"/>
        </w:rPr>
        <w:footnoteRef/>
      </w:r>
      <w:r w:rsidRPr="001F176B">
        <w:rPr>
          <w:color w:val="000000"/>
          <w:sz w:val="20"/>
        </w:rPr>
        <w:t xml:space="preserve"> </w:t>
      </w:r>
      <w:r w:rsidRPr="001F176B" w:rsidR="00A31FDC">
        <w:rPr>
          <w:color w:val="000000"/>
          <w:sz w:val="20"/>
        </w:rPr>
        <w:t>47 CFR § 1.106.</w:t>
      </w:r>
    </w:p>
  </w:footnote>
  <w:footnote w:id="5">
    <w:p w:rsidR="009C6CC3" w14:paraId="6A970A33" w14:textId="77777777">
      <w:pPr>
        <w:pStyle w:val="FootnoteText"/>
      </w:pPr>
      <w:r>
        <w:rPr>
          <w:rStyle w:val="FootnoteReference"/>
        </w:rPr>
        <w:footnoteRef/>
      </w:r>
      <w:r>
        <w:t xml:space="preserve"> </w:t>
      </w:r>
      <w:r w:rsidRPr="006B3889">
        <w:rPr>
          <w:i/>
        </w:rPr>
        <w:t xml:space="preserve">See </w:t>
      </w:r>
      <w:r>
        <w:t>Massachusetts Department of Telecommunications and Cable, FCC Form 328, Certification of Franchising Authority to Regulate Basic Cable Service Rates and Initial Finding of Lack of Effective Competition (Dec. 8, 2015)</w:t>
      </w:r>
      <w:r w:rsidR="001300D0">
        <w:t xml:space="preserve">, </w:t>
      </w:r>
      <w:r w:rsidRPr="00197B4A" w:rsidR="001300D0">
        <w:rPr>
          <w:i/>
        </w:rPr>
        <w:t>available at</w:t>
      </w:r>
      <w:r w:rsidR="001300D0">
        <w:rPr>
          <w:i/>
        </w:rPr>
        <w:t xml:space="preserve"> </w:t>
      </w:r>
      <w:r w:rsidR="001300D0">
        <w:t>http://apps.fcc.gov/ecfs/proceeding/view?name=INBOX-76.910</w:t>
      </w:r>
      <w:r>
        <w:t>.</w:t>
      </w:r>
    </w:p>
  </w:footnote>
  <w:footnote w:id="6">
    <w:p w:rsidR="001300D0" w:rsidRPr="00731AD0" w:rsidP="00731AD0" w14:paraId="3F6F2B28" w14:textId="77777777">
      <w:pPr>
        <w:pStyle w:val="FootnoteText"/>
        <w:jc w:val="left"/>
        <w:rPr>
          <w:i/>
        </w:rPr>
      </w:pPr>
      <w:r>
        <w:rPr>
          <w:rStyle w:val="FootnoteReference"/>
        </w:rPr>
        <w:footnoteRef/>
      </w:r>
      <w:r>
        <w:t xml:space="preserve"> </w:t>
      </w:r>
      <w:r>
        <w:rPr>
          <w:i/>
        </w:rPr>
        <w:t xml:space="preserve">See </w:t>
      </w:r>
      <w:r>
        <w:rPr>
          <w:i/>
          <w:color w:val="000000"/>
        </w:rPr>
        <w:t>Comcast Cable Communications, LLC,</w:t>
      </w:r>
      <w:r w:rsidRPr="001F176B">
        <w:rPr>
          <w:i/>
          <w:color w:val="000000"/>
        </w:rPr>
        <w:t xml:space="preserve"> Petition</w:t>
      </w:r>
      <w:r>
        <w:rPr>
          <w:i/>
          <w:color w:val="000000"/>
        </w:rPr>
        <w:t>s</w:t>
      </w:r>
      <w:r w:rsidRPr="001F176B">
        <w:rPr>
          <w:i/>
          <w:color w:val="000000"/>
        </w:rPr>
        <w:t xml:space="preserve"> for Determination o</w:t>
      </w:r>
      <w:r>
        <w:rPr>
          <w:i/>
          <w:color w:val="000000"/>
        </w:rPr>
        <w:t>f Effective Competition in Various Massachusetts Communities</w:t>
      </w:r>
      <w:r>
        <w:rPr>
          <w:color w:val="000000"/>
        </w:rPr>
        <w:t xml:space="preserve">, </w:t>
      </w:r>
      <w:r w:rsidRPr="001F176B">
        <w:rPr>
          <w:color w:val="000000"/>
        </w:rPr>
        <w:t xml:space="preserve">Memorandum Opinion and Order, </w:t>
      </w:r>
      <w:r>
        <w:rPr>
          <w:iCs/>
          <w:color w:val="000000"/>
          <w:shd w:val="clear" w:color="auto" w:fill="FFFFFF"/>
        </w:rPr>
        <w:t xml:space="preserve">31 FCC </w:t>
      </w:r>
      <w:r>
        <w:rPr>
          <w:iCs/>
          <w:color w:val="000000"/>
          <w:shd w:val="clear" w:color="auto" w:fill="FFFFFF"/>
        </w:rPr>
        <w:t>Rcd</w:t>
      </w:r>
      <w:r>
        <w:rPr>
          <w:iCs/>
          <w:color w:val="000000"/>
          <w:shd w:val="clear" w:color="auto" w:fill="FFFFFF"/>
        </w:rPr>
        <w:t xml:space="preserve"> 3790</w:t>
      </w:r>
      <w:r w:rsidRPr="001F176B">
        <w:rPr>
          <w:iCs/>
          <w:color w:val="000000"/>
          <w:shd w:val="clear" w:color="auto" w:fill="FFFFFF"/>
        </w:rPr>
        <w:t xml:space="preserve"> (MB 201</w:t>
      </w:r>
      <w:r>
        <w:rPr>
          <w:iCs/>
          <w:color w:val="000000"/>
          <w:shd w:val="clear" w:color="auto" w:fill="FFFFFF"/>
        </w:rPr>
        <w:t>6</w:t>
      </w:r>
      <w:r w:rsidRPr="001F176B">
        <w:rPr>
          <w:iCs/>
          <w:color w:val="000000"/>
          <w:shd w:val="clear" w:color="auto" w:fill="FFFFFF"/>
        </w:rPr>
        <w:t>) (</w:t>
      </w:r>
      <w:r w:rsidRPr="001117F7">
        <w:rPr>
          <w:i/>
          <w:iCs/>
          <w:color w:val="000000"/>
          <w:shd w:val="clear" w:color="auto" w:fill="FFFFFF"/>
        </w:rPr>
        <w:t>Order</w:t>
      </w:r>
      <w:r w:rsidRPr="001F176B">
        <w:rPr>
          <w:iCs/>
          <w:color w:val="000000"/>
          <w:shd w:val="clear" w:color="auto" w:fill="FFFFFF"/>
        </w:rPr>
        <w:t>)</w:t>
      </w:r>
      <w:r w:rsidRPr="001F176B">
        <w:t xml:space="preserve">.  </w:t>
      </w:r>
    </w:p>
  </w:footnote>
  <w:footnote w:id="7">
    <w:p w:rsidR="00041B8A" w:rsidRPr="00197B4A" w:rsidP="007E1B90" w14:paraId="26D78396" w14:textId="6A0ED013">
      <w:pPr>
        <w:pStyle w:val="FootnoteText"/>
        <w:jc w:val="left"/>
      </w:pPr>
      <w:r w:rsidRPr="001F176B">
        <w:rPr>
          <w:rStyle w:val="FootnoteReference"/>
        </w:rPr>
        <w:footnoteRef/>
      </w:r>
      <w:r w:rsidRPr="001F176B">
        <w:t xml:space="preserve"> </w:t>
      </w:r>
      <w:r w:rsidR="001300D0">
        <w:rPr>
          <w:i/>
        </w:rPr>
        <w:t>Id.</w:t>
      </w:r>
      <w:r w:rsidRPr="001F176B" w:rsidR="00A31FDC">
        <w:t xml:space="preserve">  The </w:t>
      </w:r>
      <w:r w:rsidRPr="00731AD0" w:rsidR="004118AB">
        <w:rPr>
          <w:i/>
        </w:rPr>
        <w:t>Order</w:t>
      </w:r>
      <w:r w:rsidR="004118AB">
        <w:t xml:space="preserve"> granted </w:t>
      </w:r>
      <w:r w:rsidR="00827F9E">
        <w:t xml:space="preserve">petitions for </w:t>
      </w:r>
      <w:r w:rsidR="004118AB">
        <w:t xml:space="preserve">a determination of </w:t>
      </w:r>
      <w:r w:rsidR="00827F9E">
        <w:t>effective competition for various Massachusetts communities</w:t>
      </w:r>
      <w:r w:rsidR="004118AB">
        <w:t>, but Templeton is the sole community at issue herein</w:t>
      </w:r>
      <w:r w:rsidR="006660E8">
        <w:t>.</w:t>
      </w:r>
      <w:r w:rsidR="00F017D6">
        <w:t xml:space="preserve">  </w:t>
      </w:r>
    </w:p>
  </w:footnote>
  <w:footnote w:id="8">
    <w:p w:rsidR="004118AB" w14:paraId="34DFD41B" w14:textId="77777777">
      <w:pPr>
        <w:pStyle w:val="FootnoteText"/>
      </w:pPr>
      <w:r>
        <w:rPr>
          <w:rStyle w:val="FootnoteReference"/>
        </w:rPr>
        <w:footnoteRef/>
      </w:r>
      <w:r>
        <w:t xml:space="preserve"> MDTC Petition for Reconsideration at 1 (filed May 23, 2016) (Petition).</w:t>
      </w:r>
    </w:p>
  </w:footnote>
  <w:footnote w:id="9">
    <w:p w:rsidR="007138A2" w:rsidRPr="007138A2" w14:paraId="09D8D5A5" w14:textId="77777777">
      <w:pPr>
        <w:pStyle w:val="FootnoteText"/>
        <w:rPr>
          <w:i/>
        </w:rPr>
      </w:pPr>
      <w:r>
        <w:rPr>
          <w:rStyle w:val="FootnoteReference"/>
        </w:rPr>
        <w:footnoteRef/>
      </w:r>
      <w:r>
        <w:rPr>
          <w:i/>
        </w:rPr>
        <w:t xml:space="preserve"> See </w:t>
      </w:r>
      <w:r>
        <w:t>47 U.S.C. § 543(a)(2)(A).</w:t>
      </w:r>
    </w:p>
  </w:footnote>
  <w:footnote w:id="10">
    <w:p w:rsidR="001065DB" w:rsidRPr="001F176B" w:rsidP="007E1B90" w14:paraId="5E88D981" w14:textId="77777777">
      <w:pPr>
        <w:pStyle w:val="FootnoteText"/>
        <w:jc w:val="left"/>
      </w:pPr>
      <w:r w:rsidRPr="001F176B">
        <w:rPr>
          <w:rStyle w:val="FootnoteReference"/>
        </w:rPr>
        <w:footnoteRef/>
      </w:r>
      <w:r w:rsidRPr="001F176B">
        <w:t xml:space="preserve"> </w:t>
      </w:r>
      <w:r w:rsidRPr="001F176B">
        <w:rPr>
          <w:i/>
          <w:spacing w:val="-2"/>
        </w:rPr>
        <w:t>See Amendment to the Commission’s Rules Concerning Effective Competition; Implementation of Section 111 of the STELA Reauthorization Act</w:t>
      </w:r>
      <w:r w:rsidRPr="001F176B">
        <w:rPr>
          <w:spacing w:val="-2"/>
        </w:rPr>
        <w:t xml:space="preserve">, Report and Order, 30 FCC </w:t>
      </w:r>
      <w:r w:rsidRPr="001F176B">
        <w:rPr>
          <w:spacing w:val="-2"/>
        </w:rPr>
        <w:t>Rcd</w:t>
      </w:r>
      <w:r w:rsidRPr="001F176B">
        <w:rPr>
          <w:spacing w:val="-2"/>
        </w:rPr>
        <w:t xml:space="preserve"> 6574 (2015) (</w:t>
      </w:r>
      <w:r w:rsidRPr="001F176B">
        <w:rPr>
          <w:i/>
          <w:spacing w:val="-2"/>
        </w:rPr>
        <w:t>Effective Competition Order</w:t>
      </w:r>
      <w:r w:rsidRPr="001F176B">
        <w:rPr>
          <w:spacing w:val="-2"/>
        </w:rPr>
        <w:t>).</w:t>
      </w:r>
    </w:p>
  </w:footnote>
  <w:footnote w:id="11">
    <w:p w:rsidR="001065DB" w:rsidRPr="001F176B" w:rsidP="007E1B90" w14:paraId="430D1D67" w14:textId="7DAAFC20">
      <w:pPr>
        <w:pStyle w:val="FootnoteText"/>
        <w:tabs>
          <w:tab w:val="left" w:pos="-720"/>
        </w:tabs>
        <w:jc w:val="left"/>
        <w:rPr>
          <w:spacing w:val="-2"/>
        </w:rPr>
      </w:pPr>
      <w:r w:rsidRPr="001F176B">
        <w:rPr>
          <w:rStyle w:val="FootnoteReference"/>
          <w:spacing w:val="-2"/>
        </w:rPr>
        <w:footnoteRef/>
      </w:r>
      <w:r w:rsidRPr="001F176B">
        <w:rPr>
          <w:i/>
          <w:spacing w:val="-2"/>
        </w:rPr>
        <w:t xml:space="preserve"> See</w:t>
      </w:r>
      <w:r w:rsidRPr="001F176B">
        <w:rPr>
          <w:spacing w:val="-2"/>
        </w:rPr>
        <w:t xml:space="preserve"> 47 U.S.C. § 543(l)(1); 47 CFR §</w:t>
      </w:r>
      <w:r w:rsidRPr="001F176B" w:rsidR="00EC4535">
        <w:rPr>
          <w:spacing w:val="-2"/>
        </w:rPr>
        <w:t>§</w:t>
      </w:r>
      <w:r w:rsidRPr="001F176B">
        <w:rPr>
          <w:spacing w:val="-2"/>
        </w:rPr>
        <w:t xml:space="preserve"> 76.905(b)</w:t>
      </w:r>
      <w:r w:rsidR="00EC4535">
        <w:rPr>
          <w:spacing w:val="-2"/>
        </w:rPr>
        <w:t>, 76.906</w:t>
      </w:r>
      <w:r w:rsidRPr="001F176B">
        <w:rPr>
          <w:spacing w:val="-2"/>
        </w:rPr>
        <w:t>.</w:t>
      </w:r>
    </w:p>
  </w:footnote>
  <w:footnote w:id="12">
    <w:p w:rsidR="00DE2032" w:rsidRPr="001F176B" w:rsidP="007E1B90" w14:paraId="692DD5B4" w14:textId="52604CA1">
      <w:pPr>
        <w:pStyle w:val="FootnoteText"/>
        <w:jc w:val="left"/>
      </w:pPr>
      <w:r w:rsidRPr="001F176B">
        <w:rPr>
          <w:rStyle w:val="FootnoteReference"/>
        </w:rPr>
        <w:footnoteRef/>
      </w:r>
      <w:r w:rsidRPr="001F176B">
        <w:t xml:space="preserve"> 47 U.S.C. § 543(l)(1)(B); </w:t>
      </w:r>
      <w:r w:rsidR="00180C8C">
        <w:rPr>
          <w:i/>
        </w:rPr>
        <w:t xml:space="preserve">see also </w:t>
      </w:r>
      <w:r w:rsidRPr="001F176B">
        <w:t>47 CFR § 76.905(b)(2).</w:t>
      </w:r>
    </w:p>
  </w:footnote>
  <w:footnote w:id="13">
    <w:p w:rsidR="0024773C" w:rsidRPr="00185C29" w14:paraId="1E6C39B4" w14:textId="77777777">
      <w:pPr>
        <w:pStyle w:val="FootnoteText"/>
      </w:pPr>
      <w:r>
        <w:rPr>
          <w:rStyle w:val="FootnoteReference"/>
        </w:rPr>
        <w:footnoteRef/>
      </w:r>
      <w:r>
        <w:t xml:space="preserve"> </w:t>
      </w:r>
      <w:r w:rsidR="00185C29">
        <w:rPr>
          <w:i/>
        </w:rPr>
        <w:t xml:space="preserve">Effective Competition Order, </w:t>
      </w:r>
      <w:r w:rsidR="00185C29">
        <w:t xml:space="preserve">30 FCC </w:t>
      </w:r>
      <w:r w:rsidR="00185C29">
        <w:t>Rcd</w:t>
      </w:r>
      <w:r w:rsidR="00185C29">
        <w:t xml:space="preserve"> at 6587, para. </w:t>
      </w:r>
      <w:r w:rsidR="004B7B6B">
        <w:t>17</w:t>
      </w:r>
      <w:r w:rsidR="00185C29">
        <w:t>.</w:t>
      </w:r>
    </w:p>
  </w:footnote>
  <w:footnote w:id="14">
    <w:p w:rsidR="000746EA" w:rsidRPr="00957E68" w:rsidP="007E1B90" w14:paraId="38EE63AA" w14:textId="5368A204">
      <w:pPr>
        <w:pStyle w:val="FootnoteText"/>
        <w:jc w:val="left"/>
      </w:pPr>
      <w:r w:rsidRPr="00957E68">
        <w:rPr>
          <w:rStyle w:val="FootnoteReference"/>
        </w:rPr>
        <w:footnoteRef/>
      </w:r>
      <w:r w:rsidRPr="00957E68">
        <w:t xml:space="preserve"> </w:t>
      </w:r>
      <w:r w:rsidRPr="00957E68">
        <w:rPr>
          <w:i/>
        </w:rPr>
        <w:t>Effective Competition Order</w:t>
      </w:r>
      <w:r w:rsidR="004200E9">
        <w:t xml:space="preserve">, 30 FCC </w:t>
      </w:r>
      <w:r w:rsidR="004200E9">
        <w:t>Rcd</w:t>
      </w:r>
      <w:r w:rsidR="004200E9">
        <w:t xml:space="preserve"> at 6587-</w:t>
      </w:r>
      <w:r w:rsidR="001E0824">
        <w:t>9</w:t>
      </w:r>
      <w:r w:rsidR="001117F7">
        <w:t>3</w:t>
      </w:r>
      <w:r w:rsidR="001E0824">
        <w:t>, paras.</w:t>
      </w:r>
      <w:r w:rsidRPr="00957E68">
        <w:t xml:space="preserve"> 17-2</w:t>
      </w:r>
      <w:r w:rsidR="00B830B0">
        <w:t>8</w:t>
      </w:r>
      <w:r w:rsidR="00180C8C">
        <w:t xml:space="preserve">; </w:t>
      </w:r>
      <w:r w:rsidR="00180C8C">
        <w:rPr>
          <w:i/>
        </w:rPr>
        <w:t xml:space="preserve">Notice of Effective Date of Revised Effective Competition Rules, </w:t>
      </w:r>
      <w:r w:rsidRPr="00D26792" w:rsidR="00180C8C">
        <w:t>Public Notice</w:t>
      </w:r>
      <w:r w:rsidR="00180C8C">
        <w:t xml:space="preserve">, 30 FCC </w:t>
      </w:r>
      <w:r w:rsidR="00180C8C">
        <w:t>Rcd</w:t>
      </w:r>
      <w:r w:rsidR="00180C8C">
        <w:t xml:space="preserve"> 10124, 10125 (2015)</w:t>
      </w:r>
      <w:r w:rsidR="00887883">
        <w:t>.</w:t>
      </w:r>
    </w:p>
  </w:footnote>
  <w:footnote w:id="15">
    <w:p w:rsidR="007010D4" w:rsidRPr="007010D4" w:rsidP="00731AD0" w14:paraId="0BCE70BB" w14:textId="55FAB855">
      <w:pPr>
        <w:pStyle w:val="FootnoteText"/>
        <w:jc w:val="left"/>
      </w:pPr>
      <w:r>
        <w:rPr>
          <w:rStyle w:val="FootnoteReference"/>
        </w:rPr>
        <w:footnoteRef/>
      </w:r>
      <w:r>
        <w:t xml:space="preserve"> Comcast Cable Commc’ns, LLC Petition for Determination of Effective Competition in Ashby, Mass., </w:t>
      </w:r>
      <w:r>
        <w:rPr>
          <w:i/>
        </w:rPr>
        <w:t>et al.</w:t>
      </w:r>
      <w:r>
        <w:t>, MB Docket No. 13-172, Petition for Special Relief (filed June 27, 2013)</w:t>
      </w:r>
      <w:r w:rsidR="00B50E5B">
        <w:t xml:space="preserve"> (</w:t>
      </w:r>
      <w:r w:rsidRPr="009B03E6" w:rsidR="00B50E5B">
        <w:rPr>
          <w:i/>
        </w:rPr>
        <w:t>Comcast Petition</w:t>
      </w:r>
      <w:r w:rsidR="00B50E5B">
        <w:t>)</w:t>
      </w:r>
      <w:r>
        <w:t>.</w:t>
      </w:r>
    </w:p>
  </w:footnote>
  <w:footnote w:id="16">
    <w:p w:rsidR="00152AFD" w14:paraId="387C378E" w14:textId="77777777">
      <w:pPr>
        <w:pStyle w:val="FootnoteText"/>
      </w:pPr>
      <w:r>
        <w:rPr>
          <w:rStyle w:val="FootnoteReference"/>
        </w:rPr>
        <w:footnoteRef/>
      </w:r>
      <w:r>
        <w:t xml:space="preserve"> </w:t>
      </w:r>
      <w:bookmarkStart w:id="3" w:name="_Hlk4573554"/>
      <w:r w:rsidRPr="006B3889" w:rsidR="006B3889">
        <w:rPr>
          <w:i/>
        </w:rPr>
        <w:t xml:space="preserve">See </w:t>
      </w:r>
      <w:r w:rsidR="009C6CC3">
        <w:rPr>
          <w:i/>
        </w:rPr>
        <w:t xml:space="preserve">supra </w:t>
      </w:r>
      <w:r w:rsidRPr="009C6CC3" w:rsidR="009C6CC3">
        <w:t>n. 3</w:t>
      </w:r>
      <w:r w:rsidR="009C6CC3">
        <w:t>.</w:t>
      </w:r>
    </w:p>
    <w:bookmarkEnd w:id="3"/>
  </w:footnote>
  <w:footnote w:id="17">
    <w:p w:rsidR="006A650E" w14:paraId="106C19CE" w14:textId="77777777">
      <w:pPr>
        <w:pStyle w:val="FootnoteText"/>
      </w:pPr>
      <w:r>
        <w:rPr>
          <w:rStyle w:val="FootnoteReference"/>
        </w:rPr>
        <w:footnoteRef/>
      </w:r>
      <w:r>
        <w:t xml:space="preserve"> MDTC Form 328, Attachment 3, Attachment to Question 6(a) at 3.</w:t>
      </w:r>
    </w:p>
  </w:footnote>
  <w:footnote w:id="18">
    <w:p w:rsidR="006A650E" w14:paraId="1E26B7CC" w14:textId="77777777">
      <w:pPr>
        <w:pStyle w:val="FootnoteText"/>
      </w:pPr>
      <w:r>
        <w:rPr>
          <w:rStyle w:val="FootnoteReference"/>
        </w:rPr>
        <w:footnoteRef/>
      </w:r>
      <w:r>
        <w:t xml:space="preserve"> MDTC Form 328, Attachment 3, Attachment to Question 6(a) at 5.</w:t>
      </w:r>
    </w:p>
  </w:footnote>
  <w:footnote w:id="19">
    <w:p w:rsidR="00580666" w14:paraId="4E65DD48" w14:textId="77777777">
      <w:pPr>
        <w:pStyle w:val="FootnoteText"/>
      </w:pPr>
      <w:r>
        <w:rPr>
          <w:rStyle w:val="FootnoteReference"/>
        </w:rPr>
        <w:footnoteRef/>
      </w:r>
      <w:r>
        <w:t xml:space="preserve"> </w:t>
      </w:r>
      <w:r w:rsidRPr="00580666">
        <w:rPr>
          <w:i/>
        </w:rPr>
        <w:t>Id</w:t>
      </w:r>
      <w:r>
        <w:t xml:space="preserve">. </w:t>
      </w:r>
    </w:p>
  </w:footnote>
  <w:footnote w:id="20">
    <w:p w:rsidR="0094785F" w:rsidRPr="0094785F" w14:paraId="34E6FAA2" w14:textId="701C5203">
      <w:pPr>
        <w:pStyle w:val="FootnoteText"/>
      </w:pPr>
      <w:r>
        <w:rPr>
          <w:rStyle w:val="FootnoteReference"/>
        </w:rPr>
        <w:footnoteRef/>
      </w:r>
      <w:r>
        <w:t xml:space="preserve"> </w:t>
      </w:r>
      <w:r w:rsidRPr="0094785F">
        <w:rPr>
          <w:i/>
        </w:rPr>
        <w:t>Order</w:t>
      </w:r>
      <w:r>
        <w:rPr>
          <w:i/>
        </w:rPr>
        <w:t xml:space="preserve">, </w:t>
      </w:r>
      <w:r>
        <w:t xml:space="preserve">31 FCC </w:t>
      </w:r>
      <w:r>
        <w:t>Rcd</w:t>
      </w:r>
      <w:r>
        <w:t xml:space="preserve"> at 379</w:t>
      </w:r>
      <w:r w:rsidR="00EB4B39">
        <w:t>2-3</w:t>
      </w:r>
      <w:r>
        <w:t>, para. 7.</w:t>
      </w:r>
    </w:p>
  </w:footnote>
  <w:footnote w:id="21">
    <w:p w:rsidR="006E0D9B" w14:paraId="0D13BF1F" w14:textId="3DC1DC22">
      <w:pPr>
        <w:pStyle w:val="FootnoteText"/>
      </w:pPr>
      <w:r>
        <w:rPr>
          <w:rStyle w:val="FootnoteReference"/>
        </w:rPr>
        <w:footnoteRef/>
      </w:r>
      <w:r>
        <w:t xml:space="preserve"> Petition at 5.</w:t>
      </w:r>
    </w:p>
  </w:footnote>
  <w:footnote w:id="22">
    <w:p w:rsidR="006E0D9B" w:rsidRPr="006E0D9B" w14:paraId="205D96F3" w14:textId="4EFC5442">
      <w:pPr>
        <w:pStyle w:val="FootnoteText"/>
      </w:pPr>
      <w:r>
        <w:rPr>
          <w:rStyle w:val="FootnoteReference"/>
        </w:rPr>
        <w:footnoteRef/>
      </w:r>
      <w:r>
        <w:t xml:space="preserve"> </w:t>
      </w:r>
      <w:r>
        <w:rPr>
          <w:i/>
        </w:rPr>
        <w:t xml:space="preserve">Id. </w:t>
      </w:r>
      <w:r>
        <w:t>(stating that in Templeton there are 125 seasonal homes out of a total of 3,139 housing units).</w:t>
      </w:r>
    </w:p>
  </w:footnote>
  <w:footnote w:id="23">
    <w:p w:rsidR="00FF4B08" w:rsidP="003967CC" w14:paraId="33F8E39F" w14:textId="2196CCF1">
      <w:pPr>
        <w:pStyle w:val="FootnoteText"/>
        <w:jc w:val="left"/>
      </w:pPr>
      <w:r>
        <w:rPr>
          <w:rStyle w:val="FootnoteReference"/>
        </w:rPr>
        <w:footnoteRef/>
      </w:r>
      <w:r>
        <w:t xml:space="preserve"> </w:t>
      </w:r>
      <w:r w:rsidRPr="003967CC">
        <w:rPr>
          <w:i/>
        </w:rPr>
        <w:t>Id.</w:t>
      </w:r>
      <w:r>
        <w:t xml:space="preserve"> at</w:t>
      </w:r>
      <w:r w:rsidR="004B5337">
        <w:t xml:space="preserve"> 5.  </w:t>
      </w:r>
      <w:r w:rsidR="0059555D">
        <w:t xml:space="preserve">The </w:t>
      </w:r>
      <w:r w:rsidR="004B5337">
        <w:t>MDTC’s Form 328 indicated a decline in Templeton DBS subscribers of 52 subscribers (489 – 437 = 52).</w:t>
      </w:r>
    </w:p>
  </w:footnote>
  <w:footnote w:id="24">
    <w:p w:rsidR="006E0D9B" w:rsidRPr="006E0D9B" w14:paraId="3A757EBB" w14:textId="33A64F89">
      <w:pPr>
        <w:pStyle w:val="FootnoteText"/>
      </w:pPr>
      <w:r>
        <w:rPr>
          <w:rStyle w:val="FootnoteReference"/>
        </w:rPr>
        <w:footnoteRef/>
      </w:r>
      <w:r>
        <w:t xml:space="preserve"> </w:t>
      </w:r>
      <w:r>
        <w:rPr>
          <w:i/>
        </w:rPr>
        <w:t xml:space="preserve">Id. </w:t>
      </w:r>
      <w:r>
        <w:t>(stating that the competing provider penetration rate in Templeton is 14.56 percent).</w:t>
      </w:r>
    </w:p>
  </w:footnote>
  <w:footnote w:id="25">
    <w:p w:rsidR="00CB6142" w:rsidRPr="00CB6142" w14:paraId="654AD3E6" w14:textId="262CA53D">
      <w:pPr>
        <w:pStyle w:val="FootnoteText"/>
      </w:pPr>
      <w:r>
        <w:rPr>
          <w:rStyle w:val="FootnoteReference"/>
        </w:rPr>
        <w:footnoteRef/>
      </w:r>
      <w:r>
        <w:t xml:space="preserve"> </w:t>
      </w:r>
      <w:r>
        <w:rPr>
          <w:i/>
        </w:rPr>
        <w:t xml:space="preserve">See id. </w:t>
      </w:r>
      <w:r>
        <w:t>at 4.</w:t>
      </w:r>
    </w:p>
  </w:footnote>
  <w:footnote w:id="26">
    <w:p w:rsidR="00674910" w:rsidP="00731AD0" w14:paraId="1C29ECC6" w14:textId="19ABC282">
      <w:pPr>
        <w:pStyle w:val="FootnoteText"/>
        <w:jc w:val="left"/>
      </w:pPr>
      <w:r>
        <w:rPr>
          <w:rStyle w:val="FootnoteReference"/>
        </w:rPr>
        <w:footnoteRef/>
      </w:r>
      <w:r>
        <w:t xml:space="preserve"> </w:t>
      </w:r>
      <w:r w:rsidR="00EB4B39">
        <w:t xml:space="preserve">The </w:t>
      </w:r>
      <w:r w:rsidR="002826A4">
        <w:t xml:space="preserve">MDTC asserts that </w:t>
      </w:r>
      <w:r w:rsidR="00EF4613">
        <w:t>“</w:t>
      </w:r>
      <w:r w:rsidR="002826A4">
        <w:t xml:space="preserve">the Bureau did not </w:t>
      </w:r>
      <w:r w:rsidR="00EF4613">
        <w:t>‘</w:t>
      </w:r>
      <w:r w:rsidR="002826A4">
        <w:t>promptly deny</w:t>
      </w:r>
      <w:r w:rsidR="00EF4613">
        <w:t>’</w:t>
      </w:r>
      <w:r w:rsidR="002826A4">
        <w:t xml:space="preserve"> </w:t>
      </w:r>
      <w:r w:rsidR="00EB4B39">
        <w:t xml:space="preserve">the </w:t>
      </w:r>
      <w:r w:rsidR="002826A4">
        <w:t xml:space="preserve">MDTC’s Form 328 for Templeton so that the Form 328 would </w:t>
      </w:r>
      <w:r w:rsidR="00EF4613">
        <w:t xml:space="preserve">not </w:t>
      </w:r>
      <w:r w:rsidR="002826A4">
        <w:t>become effective 30 days after filing</w:t>
      </w:r>
      <w:r w:rsidR="00EF4613">
        <w:t>,” which it claims demonstrates</w:t>
      </w:r>
      <w:r w:rsidR="002826A4">
        <w:t xml:space="preserve"> </w:t>
      </w:r>
      <w:r w:rsidR="00EF4613">
        <w:t>“</w:t>
      </w:r>
      <w:r w:rsidR="002826A4">
        <w:t xml:space="preserve">that the Bureau found that the MDTC’s </w:t>
      </w:r>
      <w:r w:rsidR="00EF4613">
        <w:t xml:space="preserve">Form </w:t>
      </w:r>
      <w:r w:rsidR="002826A4">
        <w:t>328 me</w:t>
      </w:r>
      <w:r w:rsidR="00C60571">
        <w:t>t</w:t>
      </w:r>
      <w:r w:rsidR="002826A4">
        <w:t xml:space="preserve"> the applicable burden by rebutting the presumption</w:t>
      </w:r>
      <w:r w:rsidR="00EF4613">
        <w:t xml:space="preserve"> as an initial matter</w:t>
      </w:r>
      <w:r w:rsidR="002826A4">
        <w:t>.</w:t>
      </w:r>
      <w:r w:rsidR="00EF4613">
        <w:t>”  Petition at 6 (footnote omitted).</w:t>
      </w:r>
      <w:r w:rsidR="002826A4">
        <w:t xml:space="preserve">  </w:t>
      </w:r>
      <w:r w:rsidR="006F5AF9">
        <w:t xml:space="preserve">We </w:t>
      </w:r>
      <w:r w:rsidR="00EF4613">
        <w:t xml:space="preserve">clarify that, rather, </w:t>
      </w:r>
      <w:r w:rsidR="006F5AF9">
        <w:t xml:space="preserve">the </w:t>
      </w:r>
      <w:r w:rsidRPr="00A7180A" w:rsidR="006F5AF9">
        <w:rPr>
          <w:i/>
        </w:rPr>
        <w:t>Effective</w:t>
      </w:r>
      <w:r w:rsidRPr="00A7180A" w:rsidR="005C431E">
        <w:rPr>
          <w:i/>
        </w:rPr>
        <w:t xml:space="preserve"> Competition Order</w:t>
      </w:r>
      <w:r w:rsidR="005C431E">
        <w:t xml:space="preserve"> </w:t>
      </w:r>
      <w:r w:rsidR="002826A4">
        <w:t xml:space="preserve">stated </w:t>
      </w:r>
      <w:r w:rsidR="005C431E">
        <w:t xml:space="preserve">that </w:t>
      </w:r>
      <w:r w:rsidR="007010D4">
        <w:t>“[</w:t>
      </w:r>
      <w:r w:rsidR="00002280">
        <w:t>w</w:t>
      </w:r>
      <w:r w:rsidR="007010D4">
        <w:t>]</w:t>
      </w:r>
      <w:r w:rsidR="00002280">
        <w:t xml:space="preserve">here currently </w:t>
      </w:r>
      <w:r w:rsidR="002826A4">
        <w:t>certified franchising authorities file revised Form 328, their certifications will remain valid unless and until the Media Bureau issue</w:t>
      </w:r>
      <w:r w:rsidR="007010D4">
        <w:t>s</w:t>
      </w:r>
      <w:r w:rsidR="002826A4">
        <w:t xml:space="preserve"> a decision denying the new certification request</w:t>
      </w:r>
      <w:r w:rsidR="007010D4">
        <w:t>.”</w:t>
      </w:r>
      <w:r w:rsidR="002826A4">
        <w:t xml:space="preserve"> </w:t>
      </w:r>
      <w:r w:rsidR="00C1790B">
        <w:t xml:space="preserve"> </w:t>
      </w:r>
      <w:r w:rsidRPr="005C431E" w:rsidR="005C431E">
        <w:rPr>
          <w:i/>
        </w:rPr>
        <w:t>See Effective Competition Order</w:t>
      </w:r>
      <w:r w:rsidR="005C431E">
        <w:t xml:space="preserve">, 30 FCC </w:t>
      </w:r>
      <w:r w:rsidR="005C431E">
        <w:t>Rcd</w:t>
      </w:r>
      <w:r w:rsidR="005C431E">
        <w:t xml:space="preserve"> at 65</w:t>
      </w:r>
      <w:r w:rsidR="00BE61FC">
        <w:t>9</w:t>
      </w:r>
      <w:r w:rsidR="007010D4">
        <w:t>3</w:t>
      </w:r>
      <w:r w:rsidR="005C431E">
        <w:t>, para</w:t>
      </w:r>
      <w:r w:rsidR="00896920">
        <w:t xml:space="preserve">. </w:t>
      </w:r>
      <w:r w:rsidR="00BE61FC">
        <w:t>28</w:t>
      </w:r>
      <w:r w:rsidR="00896920">
        <w:t>.</w:t>
      </w:r>
      <w:r w:rsidR="007010D4">
        <w:t xml:space="preserve">  The </w:t>
      </w:r>
      <w:r w:rsidR="007010D4">
        <w:rPr>
          <w:i/>
        </w:rPr>
        <w:t xml:space="preserve">Order </w:t>
      </w:r>
      <w:r w:rsidR="007010D4">
        <w:t>was such a decision.</w:t>
      </w:r>
      <w:r w:rsidR="00896920">
        <w:t xml:space="preserve">  </w:t>
      </w:r>
      <w:r w:rsidR="005C431E">
        <w:t xml:space="preserve"> </w:t>
      </w:r>
      <w:r w:rsidR="006F5AF9">
        <w:t xml:space="preserve"> </w:t>
      </w:r>
    </w:p>
  </w:footnote>
  <w:footnote w:id="27">
    <w:p w:rsidR="00C1707D" w:rsidRPr="001F176B" w:rsidP="007E1B90" w14:paraId="0F6D2C31" w14:textId="58B1CA6A">
      <w:pPr>
        <w:pStyle w:val="FootnoteText"/>
        <w:jc w:val="left"/>
        <w:rPr>
          <w:color w:val="000000"/>
        </w:rPr>
      </w:pPr>
      <w:r w:rsidRPr="001F176B">
        <w:rPr>
          <w:rStyle w:val="FootnoteReference"/>
          <w:color w:val="000000"/>
        </w:rPr>
        <w:footnoteRef/>
      </w:r>
      <w:r w:rsidRPr="001F176B">
        <w:rPr>
          <w:color w:val="000000"/>
        </w:rPr>
        <w:t xml:space="preserve"> 47 CFR §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995" w14:paraId="2F15C2C2" w14:textId="65BF1FD7">
    <w:pPr>
      <w:pStyle w:val="Header"/>
      <w:tabs>
        <w:tab w:val="clear" w:pos="4320"/>
        <w:tab w:val="center" w:pos="4680"/>
        <w:tab w:val="clear" w:pos="8640"/>
        <w:tab w:val="right" w:pos="9360"/>
      </w:tabs>
      <w:rPr>
        <w:b/>
      </w:rPr>
    </w:pPr>
    <w:r>
      <w:rPr>
        <w:b/>
      </w:rPr>
      <w:tab/>
      <w:t>Federal C</w:t>
    </w:r>
    <w:r w:rsidR="00F02B7C">
      <w:rPr>
        <w:b/>
      </w:rPr>
      <w:t>ommunications Commission</w:t>
    </w:r>
    <w:r w:rsidR="00F02B7C">
      <w:rPr>
        <w:b/>
      </w:rPr>
      <w:tab/>
      <w:t>DA</w:t>
    </w:r>
    <w:r w:rsidR="00A31462">
      <w:rPr>
        <w:b/>
      </w:rPr>
      <w:t xml:space="preserve"> 1</w:t>
    </w:r>
    <w:r w:rsidR="00B678BF">
      <w:rPr>
        <w:b/>
      </w:rPr>
      <w:t>9</w:t>
    </w:r>
    <w:r w:rsidR="009C47EA">
      <w:rPr>
        <w:b/>
      </w:rPr>
      <w:t>-602</w:t>
    </w:r>
  </w:p>
  <w:p w:rsidR="007C3995" w14:paraId="70DD6809" w14:textId="77777777">
    <w:pPr>
      <w:pStyle w:val="Header"/>
      <w:tabs>
        <w:tab w:val="clear" w:pos="8640"/>
        <w:tab w:val="right" w:pos="9360"/>
      </w:tabs>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22225</wp:posOffset>
              </wp:positionV>
              <wp:extent cx="5943600" cy="0"/>
              <wp:effectExtent l="0" t="0" r="0" b="0"/>
              <wp:wrapNone/>
              <wp:docPr id="2" name="Line 5"/>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49"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5pt"/>
          </w:pict>
        </mc:Fallback>
      </mc:AlternateContent>
    </w:r>
  </w:p>
  <w:p w:rsidR="007C3995" w14:paraId="78ED201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3995" w14:paraId="0047E6F0" w14:textId="4AD8F1F5">
    <w:pPr>
      <w:pStyle w:val="Header"/>
      <w:tabs>
        <w:tab w:val="clear" w:pos="4320"/>
        <w:tab w:val="center" w:pos="4680"/>
        <w:tab w:val="clear" w:pos="8640"/>
        <w:tab w:val="right" w:pos="9360"/>
      </w:tabs>
      <w:rPr>
        <w:b/>
      </w:rPr>
    </w:pPr>
    <w:r>
      <w:rPr>
        <w:b/>
      </w:rPr>
      <w:tab/>
      <w:t>Federal Communications Commission</w:t>
    </w:r>
    <w:r>
      <w:rPr>
        <w:b/>
      </w:rPr>
      <w:tab/>
    </w:r>
    <w:r w:rsidR="00F02B7C">
      <w:rPr>
        <w:b/>
      </w:rPr>
      <w:t xml:space="preserve"> </w:t>
    </w:r>
    <w:r w:rsidRPr="00C55A76" w:rsidR="00C55A76">
      <w:rPr>
        <w:b/>
      </w:rPr>
      <w:t xml:space="preserve"> </w:t>
    </w:r>
    <w:r w:rsidR="00C55A76">
      <w:rPr>
        <w:b/>
      </w:rPr>
      <w:t xml:space="preserve">DA </w:t>
    </w:r>
    <w:r w:rsidR="009C47EA">
      <w:rPr>
        <w:b/>
      </w:rPr>
      <w:t>19-602</w:t>
    </w:r>
  </w:p>
  <w:p w:rsidR="007C3995" w14:paraId="61734147" w14:textId="77777777">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5A783C"/>
    <w:multiLevelType w:val="singleLevel"/>
    <w:tmpl w:val="A52053E0"/>
    <w:lvl w:ilvl="0">
      <w:start w:val="1"/>
      <w:numFmt w:val="decimal"/>
      <w:pStyle w:val="BodyText"/>
      <w:lvlText w:val="%1."/>
      <w:lvlJc w:val="left"/>
      <w:pPr>
        <w:tabs>
          <w:tab w:val="num" w:pos="1080"/>
        </w:tabs>
        <w:ind w:left="0" w:firstLine="720"/>
      </w:pPr>
      <w:rPr>
        <w:b w:val="0"/>
        <w:i w:val="0"/>
      </w:r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pStyle w:val="ParaNum"/>
      <w:lvlText w:val="%1."/>
      <w:lvlJc w:val="left"/>
      <w:pPr>
        <w:tabs>
          <w:tab w:val="num" w:pos="1170"/>
        </w:tabs>
        <w:ind w:left="9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1DA48198"/>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4"/>
  </w:num>
  <w:num w:numId="4">
    <w:abstractNumId w:val="16"/>
  </w:num>
  <w:num w:numId="5">
    <w:abstractNumId w:val="5"/>
  </w:num>
  <w:num w:numId="6">
    <w:abstractNumId w:val="19"/>
  </w:num>
  <w:num w:numId="7">
    <w:abstractNumId w:val="13"/>
  </w:num>
  <w:num w:numId="8">
    <w:abstractNumId w:val="6"/>
  </w:num>
  <w:num w:numId="9">
    <w:abstractNumId w:val="18"/>
  </w:num>
  <w:num w:numId="10">
    <w:abstractNumId w:val="11"/>
  </w:num>
  <w:num w:numId="11">
    <w:abstractNumId w:val="10"/>
  </w:num>
  <w:num w:numId="12">
    <w:abstractNumId w:val="7"/>
  </w:num>
  <w:num w:numId="13">
    <w:abstractNumId w:val="12"/>
  </w:num>
  <w:num w:numId="14">
    <w:abstractNumId w:val="17"/>
  </w:num>
  <w:num w:numId="15">
    <w:abstractNumId w:val="2"/>
  </w:num>
  <w:num w:numId="16">
    <w:abstractNumId w:val="3"/>
  </w:num>
  <w:num w:numId="17">
    <w:abstractNumId w:val="8"/>
  </w:num>
  <w:num w:numId="18">
    <w:abstractNumId w:val="1"/>
  </w:num>
  <w:num w:numId="19">
    <w:abstractNumId w:val="9"/>
  </w:num>
  <w:num w:numId="20">
    <w:abstractNumId w:val="14"/>
  </w:num>
  <w:num w:numId="21">
    <w:abstractNumId w:val="15"/>
  </w:num>
  <w:num w:numId="22">
    <w:abstractNumId w:val="0"/>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num>
  <w:num w:numId="26">
    <w:abstractNumId w:val="12"/>
    <w:lvlOverride w:ilvl="0">
      <w:startOverride w:val="1"/>
    </w:lvlOverride>
  </w:num>
  <w:num w:numId="27">
    <w:abstractNumId w:val="12"/>
    <w:lvlOverride w:ilvl="0">
      <w:startOverride w:val="1"/>
    </w:lvlOverride>
  </w:num>
  <w:num w:numId="28">
    <w:abstractNumId w:val="16"/>
    <w:lvlOverride w:ilvl="0">
      <w:startOverride w:val="1"/>
    </w:lvlOverride>
    <w:lvlOverride w:ilvl="1">
      <w:startOverride w:val="1"/>
    </w:lvlOverride>
    <w:lvlOverride w:ilvl="2">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2BA"/>
    <w:rsid w:val="00000FFE"/>
    <w:rsid w:val="00002280"/>
    <w:rsid w:val="0000314B"/>
    <w:rsid w:val="00003C16"/>
    <w:rsid w:val="0000530A"/>
    <w:rsid w:val="00010B17"/>
    <w:rsid w:val="0001457F"/>
    <w:rsid w:val="000147CF"/>
    <w:rsid w:val="000176C9"/>
    <w:rsid w:val="00020786"/>
    <w:rsid w:val="000250DF"/>
    <w:rsid w:val="000279A2"/>
    <w:rsid w:val="00032DC1"/>
    <w:rsid w:val="00032DFA"/>
    <w:rsid w:val="00033930"/>
    <w:rsid w:val="0003439D"/>
    <w:rsid w:val="00034C17"/>
    <w:rsid w:val="00036133"/>
    <w:rsid w:val="00037B1B"/>
    <w:rsid w:val="00040190"/>
    <w:rsid w:val="00041B8A"/>
    <w:rsid w:val="00042D5B"/>
    <w:rsid w:val="000470C0"/>
    <w:rsid w:val="00047D26"/>
    <w:rsid w:val="00050F69"/>
    <w:rsid w:val="00050F75"/>
    <w:rsid w:val="00052A56"/>
    <w:rsid w:val="000569EB"/>
    <w:rsid w:val="00056BFD"/>
    <w:rsid w:val="00060A65"/>
    <w:rsid w:val="00062354"/>
    <w:rsid w:val="00065B76"/>
    <w:rsid w:val="00066650"/>
    <w:rsid w:val="0006762E"/>
    <w:rsid w:val="00070B75"/>
    <w:rsid w:val="0007356B"/>
    <w:rsid w:val="000746EA"/>
    <w:rsid w:val="000776C5"/>
    <w:rsid w:val="00077748"/>
    <w:rsid w:val="000779CB"/>
    <w:rsid w:val="000801E0"/>
    <w:rsid w:val="00081968"/>
    <w:rsid w:val="00082165"/>
    <w:rsid w:val="00082396"/>
    <w:rsid w:val="00082CC1"/>
    <w:rsid w:val="000836DA"/>
    <w:rsid w:val="00084ABF"/>
    <w:rsid w:val="0009006C"/>
    <w:rsid w:val="00091EE3"/>
    <w:rsid w:val="0009579C"/>
    <w:rsid w:val="00096473"/>
    <w:rsid w:val="00096721"/>
    <w:rsid w:val="000A1B50"/>
    <w:rsid w:val="000A24A4"/>
    <w:rsid w:val="000A368F"/>
    <w:rsid w:val="000A7755"/>
    <w:rsid w:val="000B081B"/>
    <w:rsid w:val="000B152F"/>
    <w:rsid w:val="000B2A44"/>
    <w:rsid w:val="000B657C"/>
    <w:rsid w:val="000C01B4"/>
    <w:rsid w:val="000C0E53"/>
    <w:rsid w:val="000C109C"/>
    <w:rsid w:val="000C27EE"/>
    <w:rsid w:val="000C4781"/>
    <w:rsid w:val="000C4D59"/>
    <w:rsid w:val="000C6178"/>
    <w:rsid w:val="000D189D"/>
    <w:rsid w:val="000D49DA"/>
    <w:rsid w:val="000D4D15"/>
    <w:rsid w:val="000D4EEB"/>
    <w:rsid w:val="000D79B6"/>
    <w:rsid w:val="000E304B"/>
    <w:rsid w:val="000E341B"/>
    <w:rsid w:val="000E36CC"/>
    <w:rsid w:val="000E67CC"/>
    <w:rsid w:val="000F28A6"/>
    <w:rsid w:val="000F3EAC"/>
    <w:rsid w:val="000F49A8"/>
    <w:rsid w:val="000F5C56"/>
    <w:rsid w:val="00101D7E"/>
    <w:rsid w:val="0010419F"/>
    <w:rsid w:val="001065DB"/>
    <w:rsid w:val="00106CCC"/>
    <w:rsid w:val="00107C50"/>
    <w:rsid w:val="001100B7"/>
    <w:rsid w:val="00110632"/>
    <w:rsid w:val="001117F7"/>
    <w:rsid w:val="00117A1D"/>
    <w:rsid w:val="00121C58"/>
    <w:rsid w:val="001300D0"/>
    <w:rsid w:val="0013458C"/>
    <w:rsid w:val="00134F0E"/>
    <w:rsid w:val="00135E35"/>
    <w:rsid w:val="00137916"/>
    <w:rsid w:val="0014336B"/>
    <w:rsid w:val="001466FC"/>
    <w:rsid w:val="00146E40"/>
    <w:rsid w:val="00150427"/>
    <w:rsid w:val="00151B55"/>
    <w:rsid w:val="0015225B"/>
    <w:rsid w:val="00152ADD"/>
    <w:rsid w:val="00152AFD"/>
    <w:rsid w:val="00155B12"/>
    <w:rsid w:val="00156318"/>
    <w:rsid w:val="00156D94"/>
    <w:rsid w:val="00162B7A"/>
    <w:rsid w:val="00162E6A"/>
    <w:rsid w:val="00166715"/>
    <w:rsid w:val="00166B27"/>
    <w:rsid w:val="00171179"/>
    <w:rsid w:val="001730CC"/>
    <w:rsid w:val="00173FD5"/>
    <w:rsid w:val="001750C6"/>
    <w:rsid w:val="00175243"/>
    <w:rsid w:val="001752B7"/>
    <w:rsid w:val="001763A8"/>
    <w:rsid w:val="00180C8C"/>
    <w:rsid w:val="00180F54"/>
    <w:rsid w:val="001812F2"/>
    <w:rsid w:val="00182D6E"/>
    <w:rsid w:val="001834F4"/>
    <w:rsid w:val="00183712"/>
    <w:rsid w:val="00183A47"/>
    <w:rsid w:val="001841DA"/>
    <w:rsid w:val="00185C29"/>
    <w:rsid w:val="00185F3C"/>
    <w:rsid w:val="001868EE"/>
    <w:rsid w:val="00186DA0"/>
    <w:rsid w:val="00187327"/>
    <w:rsid w:val="00190AB2"/>
    <w:rsid w:val="00191492"/>
    <w:rsid w:val="00191842"/>
    <w:rsid w:val="00192A8E"/>
    <w:rsid w:val="00193269"/>
    <w:rsid w:val="0019354C"/>
    <w:rsid w:val="00194EDE"/>
    <w:rsid w:val="00196226"/>
    <w:rsid w:val="00196E97"/>
    <w:rsid w:val="00197B4A"/>
    <w:rsid w:val="001A287F"/>
    <w:rsid w:val="001A6377"/>
    <w:rsid w:val="001B1F01"/>
    <w:rsid w:val="001B24E8"/>
    <w:rsid w:val="001B42A1"/>
    <w:rsid w:val="001B48E9"/>
    <w:rsid w:val="001C025D"/>
    <w:rsid w:val="001C296E"/>
    <w:rsid w:val="001C7C5A"/>
    <w:rsid w:val="001D06FE"/>
    <w:rsid w:val="001D2118"/>
    <w:rsid w:val="001D43E7"/>
    <w:rsid w:val="001D639E"/>
    <w:rsid w:val="001D757B"/>
    <w:rsid w:val="001E0824"/>
    <w:rsid w:val="001E110D"/>
    <w:rsid w:val="001E2232"/>
    <w:rsid w:val="001E6464"/>
    <w:rsid w:val="001F174D"/>
    <w:rsid w:val="001F176B"/>
    <w:rsid w:val="001F3810"/>
    <w:rsid w:val="001F6442"/>
    <w:rsid w:val="00200E74"/>
    <w:rsid w:val="002022C8"/>
    <w:rsid w:val="00203CC5"/>
    <w:rsid w:val="00204322"/>
    <w:rsid w:val="002049E9"/>
    <w:rsid w:val="00206AA3"/>
    <w:rsid w:val="00206EEB"/>
    <w:rsid w:val="00211394"/>
    <w:rsid w:val="0021354E"/>
    <w:rsid w:val="00213A16"/>
    <w:rsid w:val="00214083"/>
    <w:rsid w:val="002166B9"/>
    <w:rsid w:val="00217A77"/>
    <w:rsid w:val="00221153"/>
    <w:rsid w:val="00224513"/>
    <w:rsid w:val="00226189"/>
    <w:rsid w:val="0022622B"/>
    <w:rsid w:val="0023060C"/>
    <w:rsid w:val="00234CD2"/>
    <w:rsid w:val="002371D9"/>
    <w:rsid w:val="0024135A"/>
    <w:rsid w:val="00241984"/>
    <w:rsid w:val="002429C7"/>
    <w:rsid w:val="00242EC5"/>
    <w:rsid w:val="00245FF5"/>
    <w:rsid w:val="00247158"/>
    <w:rsid w:val="0024773C"/>
    <w:rsid w:val="00247FA7"/>
    <w:rsid w:val="00252D6A"/>
    <w:rsid w:val="002568B8"/>
    <w:rsid w:val="00256E52"/>
    <w:rsid w:val="00261198"/>
    <w:rsid w:val="00261F76"/>
    <w:rsid w:val="002643D1"/>
    <w:rsid w:val="00264818"/>
    <w:rsid w:val="00270667"/>
    <w:rsid w:val="002716E9"/>
    <w:rsid w:val="00273381"/>
    <w:rsid w:val="00273F5E"/>
    <w:rsid w:val="00276449"/>
    <w:rsid w:val="002772BA"/>
    <w:rsid w:val="00280EEE"/>
    <w:rsid w:val="0028176B"/>
    <w:rsid w:val="00281F1A"/>
    <w:rsid w:val="00281F72"/>
    <w:rsid w:val="002826A4"/>
    <w:rsid w:val="00284A97"/>
    <w:rsid w:val="00284DBB"/>
    <w:rsid w:val="002875B9"/>
    <w:rsid w:val="002946AC"/>
    <w:rsid w:val="002A4B5F"/>
    <w:rsid w:val="002A5681"/>
    <w:rsid w:val="002A6EAA"/>
    <w:rsid w:val="002A6FB0"/>
    <w:rsid w:val="002A6FDB"/>
    <w:rsid w:val="002B060E"/>
    <w:rsid w:val="002B0B2D"/>
    <w:rsid w:val="002B4671"/>
    <w:rsid w:val="002B4842"/>
    <w:rsid w:val="002B4F7F"/>
    <w:rsid w:val="002B6572"/>
    <w:rsid w:val="002B7E72"/>
    <w:rsid w:val="002C1BA8"/>
    <w:rsid w:val="002C1F17"/>
    <w:rsid w:val="002C51D4"/>
    <w:rsid w:val="002C5649"/>
    <w:rsid w:val="002C584B"/>
    <w:rsid w:val="002C630B"/>
    <w:rsid w:val="002C6A60"/>
    <w:rsid w:val="002C74D5"/>
    <w:rsid w:val="002D1382"/>
    <w:rsid w:val="002D35EC"/>
    <w:rsid w:val="002D412D"/>
    <w:rsid w:val="002D6676"/>
    <w:rsid w:val="002E2F7F"/>
    <w:rsid w:val="002E36B9"/>
    <w:rsid w:val="002E44AF"/>
    <w:rsid w:val="002E5369"/>
    <w:rsid w:val="002E6F89"/>
    <w:rsid w:val="002F0666"/>
    <w:rsid w:val="002F0AD1"/>
    <w:rsid w:val="002F3934"/>
    <w:rsid w:val="002F4C30"/>
    <w:rsid w:val="002F6340"/>
    <w:rsid w:val="0030146C"/>
    <w:rsid w:val="0031054C"/>
    <w:rsid w:val="00311A9F"/>
    <w:rsid w:val="00314C47"/>
    <w:rsid w:val="00320A76"/>
    <w:rsid w:val="0032249F"/>
    <w:rsid w:val="0032253A"/>
    <w:rsid w:val="0032623C"/>
    <w:rsid w:val="00327C8A"/>
    <w:rsid w:val="00331152"/>
    <w:rsid w:val="0033152B"/>
    <w:rsid w:val="00331AE6"/>
    <w:rsid w:val="003338DF"/>
    <w:rsid w:val="00333E38"/>
    <w:rsid w:val="003367A0"/>
    <w:rsid w:val="00336C28"/>
    <w:rsid w:val="00337911"/>
    <w:rsid w:val="00337E6A"/>
    <w:rsid w:val="003410D3"/>
    <w:rsid w:val="00345657"/>
    <w:rsid w:val="00346E48"/>
    <w:rsid w:val="00350262"/>
    <w:rsid w:val="003515BB"/>
    <w:rsid w:val="00351D8A"/>
    <w:rsid w:val="00351DFA"/>
    <w:rsid w:val="00354427"/>
    <w:rsid w:val="003557A3"/>
    <w:rsid w:val="00361889"/>
    <w:rsid w:val="00362508"/>
    <w:rsid w:val="003630F6"/>
    <w:rsid w:val="003668C2"/>
    <w:rsid w:val="00367517"/>
    <w:rsid w:val="00367837"/>
    <w:rsid w:val="0037111E"/>
    <w:rsid w:val="00371ED6"/>
    <w:rsid w:val="003754E4"/>
    <w:rsid w:val="0037706E"/>
    <w:rsid w:val="003771A8"/>
    <w:rsid w:val="00380646"/>
    <w:rsid w:val="003806BA"/>
    <w:rsid w:val="003811C0"/>
    <w:rsid w:val="00381313"/>
    <w:rsid w:val="00384D66"/>
    <w:rsid w:val="00390376"/>
    <w:rsid w:val="00391261"/>
    <w:rsid w:val="00391844"/>
    <w:rsid w:val="00392856"/>
    <w:rsid w:val="00392909"/>
    <w:rsid w:val="00393C92"/>
    <w:rsid w:val="0039613C"/>
    <w:rsid w:val="003967CC"/>
    <w:rsid w:val="003A4161"/>
    <w:rsid w:val="003B1208"/>
    <w:rsid w:val="003B206B"/>
    <w:rsid w:val="003B3890"/>
    <w:rsid w:val="003B772C"/>
    <w:rsid w:val="003C26B8"/>
    <w:rsid w:val="003C30C9"/>
    <w:rsid w:val="003C4269"/>
    <w:rsid w:val="003C43F0"/>
    <w:rsid w:val="003C5E7B"/>
    <w:rsid w:val="003D2721"/>
    <w:rsid w:val="003D29EE"/>
    <w:rsid w:val="003D3B93"/>
    <w:rsid w:val="003D4EF0"/>
    <w:rsid w:val="003D6311"/>
    <w:rsid w:val="003D6F71"/>
    <w:rsid w:val="003D70F9"/>
    <w:rsid w:val="003E1E55"/>
    <w:rsid w:val="003E273E"/>
    <w:rsid w:val="003E333F"/>
    <w:rsid w:val="003E383E"/>
    <w:rsid w:val="003E5906"/>
    <w:rsid w:val="004026A5"/>
    <w:rsid w:val="004028DE"/>
    <w:rsid w:val="004040F6"/>
    <w:rsid w:val="004043D8"/>
    <w:rsid w:val="00406666"/>
    <w:rsid w:val="00407B2E"/>
    <w:rsid w:val="00411149"/>
    <w:rsid w:val="004118AB"/>
    <w:rsid w:val="00412929"/>
    <w:rsid w:val="00413633"/>
    <w:rsid w:val="00413B2F"/>
    <w:rsid w:val="00417211"/>
    <w:rsid w:val="0041758E"/>
    <w:rsid w:val="00417B53"/>
    <w:rsid w:val="004200E9"/>
    <w:rsid w:val="00420F25"/>
    <w:rsid w:val="00422F22"/>
    <w:rsid w:val="0042583C"/>
    <w:rsid w:val="0042788E"/>
    <w:rsid w:val="00427E09"/>
    <w:rsid w:val="004333AD"/>
    <w:rsid w:val="004343F5"/>
    <w:rsid w:val="0043494E"/>
    <w:rsid w:val="004357E9"/>
    <w:rsid w:val="00435D16"/>
    <w:rsid w:val="004374E1"/>
    <w:rsid w:val="004378EB"/>
    <w:rsid w:val="00440000"/>
    <w:rsid w:val="00445774"/>
    <w:rsid w:val="004464AD"/>
    <w:rsid w:val="004505EE"/>
    <w:rsid w:val="00452063"/>
    <w:rsid w:val="004537B3"/>
    <w:rsid w:val="00454508"/>
    <w:rsid w:val="00460A01"/>
    <w:rsid w:val="00462FBC"/>
    <w:rsid w:val="00463626"/>
    <w:rsid w:val="00463B5A"/>
    <w:rsid w:val="004662E6"/>
    <w:rsid w:val="0047148C"/>
    <w:rsid w:val="00471E14"/>
    <w:rsid w:val="00472411"/>
    <w:rsid w:val="00475B9A"/>
    <w:rsid w:val="004811A1"/>
    <w:rsid w:val="00481559"/>
    <w:rsid w:val="00481C3F"/>
    <w:rsid w:val="00482691"/>
    <w:rsid w:val="00483768"/>
    <w:rsid w:val="004859CE"/>
    <w:rsid w:val="00487685"/>
    <w:rsid w:val="00487A64"/>
    <w:rsid w:val="00487E5D"/>
    <w:rsid w:val="00492344"/>
    <w:rsid w:val="00493BE7"/>
    <w:rsid w:val="004A04DF"/>
    <w:rsid w:val="004A07AA"/>
    <w:rsid w:val="004A1413"/>
    <w:rsid w:val="004A15E8"/>
    <w:rsid w:val="004A3FB9"/>
    <w:rsid w:val="004A41D7"/>
    <w:rsid w:val="004A497F"/>
    <w:rsid w:val="004B3607"/>
    <w:rsid w:val="004B4A03"/>
    <w:rsid w:val="004B5337"/>
    <w:rsid w:val="004B58EF"/>
    <w:rsid w:val="004B7186"/>
    <w:rsid w:val="004B7B6B"/>
    <w:rsid w:val="004C0DE5"/>
    <w:rsid w:val="004C1115"/>
    <w:rsid w:val="004C1394"/>
    <w:rsid w:val="004C203C"/>
    <w:rsid w:val="004C52F5"/>
    <w:rsid w:val="004C6532"/>
    <w:rsid w:val="004C7254"/>
    <w:rsid w:val="004C7CD8"/>
    <w:rsid w:val="004D19BC"/>
    <w:rsid w:val="004D3B38"/>
    <w:rsid w:val="004E576D"/>
    <w:rsid w:val="004E5F25"/>
    <w:rsid w:val="004E7B7D"/>
    <w:rsid w:val="004E7CC5"/>
    <w:rsid w:val="004F0245"/>
    <w:rsid w:val="004F09AD"/>
    <w:rsid w:val="004F0AF0"/>
    <w:rsid w:val="004F18DD"/>
    <w:rsid w:val="004F3011"/>
    <w:rsid w:val="004F34E4"/>
    <w:rsid w:val="004F47D2"/>
    <w:rsid w:val="004F5C56"/>
    <w:rsid w:val="004F7391"/>
    <w:rsid w:val="00501140"/>
    <w:rsid w:val="00504AF5"/>
    <w:rsid w:val="005102F7"/>
    <w:rsid w:val="005108F6"/>
    <w:rsid w:val="00515481"/>
    <w:rsid w:val="00517B53"/>
    <w:rsid w:val="00517CE6"/>
    <w:rsid w:val="00525142"/>
    <w:rsid w:val="00526A4F"/>
    <w:rsid w:val="00527397"/>
    <w:rsid w:val="00530D33"/>
    <w:rsid w:val="00535626"/>
    <w:rsid w:val="005358AD"/>
    <w:rsid w:val="00536D71"/>
    <w:rsid w:val="00540D9B"/>
    <w:rsid w:val="00541F07"/>
    <w:rsid w:val="00543D33"/>
    <w:rsid w:val="00544501"/>
    <w:rsid w:val="00546B71"/>
    <w:rsid w:val="00546FF5"/>
    <w:rsid w:val="00547ECA"/>
    <w:rsid w:val="00551220"/>
    <w:rsid w:val="00551B1F"/>
    <w:rsid w:val="005542AF"/>
    <w:rsid w:val="00557846"/>
    <w:rsid w:val="00560655"/>
    <w:rsid w:val="005630A5"/>
    <w:rsid w:val="005635FD"/>
    <w:rsid w:val="005651E8"/>
    <w:rsid w:val="0056580C"/>
    <w:rsid w:val="00566B5D"/>
    <w:rsid w:val="00570A46"/>
    <w:rsid w:val="00570C12"/>
    <w:rsid w:val="00571042"/>
    <w:rsid w:val="0057396E"/>
    <w:rsid w:val="00573F37"/>
    <w:rsid w:val="0057737A"/>
    <w:rsid w:val="00580666"/>
    <w:rsid w:val="00583D8D"/>
    <w:rsid w:val="00583E2F"/>
    <w:rsid w:val="00584223"/>
    <w:rsid w:val="00585A3E"/>
    <w:rsid w:val="00586150"/>
    <w:rsid w:val="00587529"/>
    <w:rsid w:val="005900E7"/>
    <w:rsid w:val="005901DD"/>
    <w:rsid w:val="00591825"/>
    <w:rsid w:val="00593803"/>
    <w:rsid w:val="00593952"/>
    <w:rsid w:val="0059555D"/>
    <w:rsid w:val="00596D1F"/>
    <w:rsid w:val="00596F2E"/>
    <w:rsid w:val="005A0F4D"/>
    <w:rsid w:val="005A1BDC"/>
    <w:rsid w:val="005A6609"/>
    <w:rsid w:val="005A6B9E"/>
    <w:rsid w:val="005A7E5E"/>
    <w:rsid w:val="005B4561"/>
    <w:rsid w:val="005B4AFC"/>
    <w:rsid w:val="005C0E95"/>
    <w:rsid w:val="005C4173"/>
    <w:rsid w:val="005C431E"/>
    <w:rsid w:val="005D5293"/>
    <w:rsid w:val="005D601D"/>
    <w:rsid w:val="005D6FA1"/>
    <w:rsid w:val="005E2207"/>
    <w:rsid w:val="005E25B4"/>
    <w:rsid w:val="005E4245"/>
    <w:rsid w:val="005E5C74"/>
    <w:rsid w:val="005E6848"/>
    <w:rsid w:val="005E6934"/>
    <w:rsid w:val="005F163C"/>
    <w:rsid w:val="005F1F79"/>
    <w:rsid w:val="005F3C42"/>
    <w:rsid w:val="005F5848"/>
    <w:rsid w:val="005F7FCD"/>
    <w:rsid w:val="00600AD6"/>
    <w:rsid w:val="00603F26"/>
    <w:rsid w:val="00605A02"/>
    <w:rsid w:val="00606852"/>
    <w:rsid w:val="006112A6"/>
    <w:rsid w:val="00611B3F"/>
    <w:rsid w:val="00613E5A"/>
    <w:rsid w:val="00620F72"/>
    <w:rsid w:val="006238E1"/>
    <w:rsid w:val="0062668A"/>
    <w:rsid w:val="00631316"/>
    <w:rsid w:val="00631A40"/>
    <w:rsid w:val="00637D86"/>
    <w:rsid w:val="00640A0A"/>
    <w:rsid w:val="00640FDD"/>
    <w:rsid w:val="0064116A"/>
    <w:rsid w:val="00641D54"/>
    <w:rsid w:val="006425BF"/>
    <w:rsid w:val="006432F1"/>
    <w:rsid w:val="00643A35"/>
    <w:rsid w:val="00643BDE"/>
    <w:rsid w:val="006453A4"/>
    <w:rsid w:val="00651A39"/>
    <w:rsid w:val="00654774"/>
    <w:rsid w:val="00654894"/>
    <w:rsid w:val="00655D19"/>
    <w:rsid w:val="00657658"/>
    <w:rsid w:val="00657BF5"/>
    <w:rsid w:val="00660E10"/>
    <w:rsid w:val="00663903"/>
    <w:rsid w:val="006648DD"/>
    <w:rsid w:val="006660E8"/>
    <w:rsid w:val="006664D5"/>
    <w:rsid w:val="006671CA"/>
    <w:rsid w:val="00670C9F"/>
    <w:rsid w:val="0067102E"/>
    <w:rsid w:val="00672F3D"/>
    <w:rsid w:val="00674910"/>
    <w:rsid w:val="006764EF"/>
    <w:rsid w:val="0068247C"/>
    <w:rsid w:val="00682CD3"/>
    <w:rsid w:val="00684DF9"/>
    <w:rsid w:val="00684E1F"/>
    <w:rsid w:val="00685005"/>
    <w:rsid w:val="006861C4"/>
    <w:rsid w:val="00686E3E"/>
    <w:rsid w:val="006911B6"/>
    <w:rsid w:val="00693FC3"/>
    <w:rsid w:val="006975E1"/>
    <w:rsid w:val="00697AA4"/>
    <w:rsid w:val="006A09E8"/>
    <w:rsid w:val="006A127E"/>
    <w:rsid w:val="006A2A73"/>
    <w:rsid w:val="006A30CA"/>
    <w:rsid w:val="006A3F1C"/>
    <w:rsid w:val="006A4E5D"/>
    <w:rsid w:val="006A588A"/>
    <w:rsid w:val="006A650E"/>
    <w:rsid w:val="006B06AD"/>
    <w:rsid w:val="006B2406"/>
    <w:rsid w:val="006B37EA"/>
    <w:rsid w:val="006B3889"/>
    <w:rsid w:val="006B3A10"/>
    <w:rsid w:val="006C0E93"/>
    <w:rsid w:val="006C1070"/>
    <w:rsid w:val="006C2A58"/>
    <w:rsid w:val="006C2AE6"/>
    <w:rsid w:val="006C395D"/>
    <w:rsid w:val="006C3982"/>
    <w:rsid w:val="006C7B56"/>
    <w:rsid w:val="006D151D"/>
    <w:rsid w:val="006D2C00"/>
    <w:rsid w:val="006D4D43"/>
    <w:rsid w:val="006E0D9B"/>
    <w:rsid w:val="006E10D0"/>
    <w:rsid w:val="006E235C"/>
    <w:rsid w:val="006E3388"/>
    <w:rsid w:val="006E3DAB"/>
    <w:rsid w:val="006F11E6"/>
    <w:rsid w:val="006F2D4E"/>
    <w:rsid w:val="006F378F"/>
    <w:rsid w:val="006F41D9"/>
    <w:rsid w:val="006F4F45"/>
    <w:rsid w:val="006F5AF9"/>
    <w:rsid w:val="007010D4"/>
    <w:rsid w:val="00702948"/>
    <w:rsid w:val="00704890"/>
    <w:rsid w:val="00707BAF"/>
    <w:rsid w:val="007112E6"/>
    <w:rsid w:val="007115D5"/>
    <w:rsid w:val="00711FDB"/>
    <w:rsid w:val="007138A2"/>
    <w:rsid w:val="0071653B"/>
    <w:rsid w:val="00716D6D"/>
    <w:rsid w:val="00717804"/>
    <w:rsid w:val="00721D98"/>
    <w:rsid w:val="00722908"/>
    <w:rsid w:val="0072522C"/>
    <w:rsid w:val="00727CB5"/>
    <w:rsid w:val="0073076F"/>
    <w:rsid w:val="00731AD0"/>
    <w:rsid w:val="00731E01"/>
    <w:rsid w:val="00732AAE"/>
    <w:rsid w:val="007357CE"/>
    <w:rsid w:val="00735F4C"/>
    <w:rsid w:val="007366D9"/>
    <w:rsid w:val="00741D60"/>
    <w:rsid w:val="00741E7E"/>
    <w:rsid w:val="00742806"/>
    <w:rsid w:val="00743A4B"/>
    <w:rsid w:val="00746BDF"/>
    <w:rsid w:val="00746CF5"/>
    <w:rsid w:val="0075077F"/>
    <w:rsid w:val="00751BB3"/>
    <w:rsid w:val="00751C12"/>
    <w:rsid w:val="00752C3F"/>
    <w:rsid w:val="007606EC"/>
    <w:rsid w:val="00761203"/>
    <w:rsid w:val="00761824"/>
    <w:rsid w:val="00761C52"/>
    <w:rsid w:val="00763499"/>
    <w:rsid w:val="007651BE"/>
    <w:rsid w:val="00766EB8"/>
    <w:rsid w:val="0077211C"/>
    <w:rsid w:val="00772F3C"/>
    <w:rsid w:val="00773AC7"/>
    <w:rsid w:val="00774ABF"/>
    <w:rsid w:val="0077551C"/>
    <w:rsid w:val="0077579B"/>
    <w:rsid w:val="00775E4A"/>
    <w:rsid w:val="007772C8"/>
    <w:rsid w:val="007779F6"/>
    <w:rsid w:val="00777D7B"/>
    <w:rsid w:val="007819C2"/>
    <w:rsid w:val="0078329A"/>
    <w:rsid w:val="00784347"/>
    <w:rsid w:val="00785134"/>
    <w:rsid w:val="007851B7"/>
    <w:rsid w:val="00785875"/>
    <w:rsid w:val="00786157"/>
    <w:rsid w:val="007906EA"/>
    <w:rsid w:val="007936FA"/>
    <w:rsid w:val="00795FAB"/>
    <w:rsid w:val="00796E0A"/>
    <w:rsid w:val="0079726E"/>
    <w:rsid w:val="00797481"/>
    <w:rsid w:val="007A0388"/>
    <w:rsid w:val="007A2B54"/>
    <w:rsid w:val="007A42D7"/>
    <w:rsid w:val="007A6700"/>
    <w:rsid w:val="007A7602"/>
    <w:rsid w:val="007B44BB"/>
    <w:rsid w:val="007B4735"/>
    <w:rsid w:val="007C13E4"/>
    <w:rsid w:val="007C1F24"/>
    <w:rsid w:val="007C3995"/>
    <w:rsid w:val="007C3DAA"/>
    <w:rsid w:val="007C4E08"/>
    <w:rsid w:val="007C6DEB"/>
    <w:rsid w:val="007C74AC"/>
    <w:rsid w:val="007D7619"/>
    <w:rsid w:val="007D766A"/>
    <w:rsid w:val="007D7D55"/>
    <w:rsid w:val="007E012F"/>
    <w:rsid w:val="007E0627"/>
    <w:rsid w:val="007E1B90"/>
    <w:rsid w:val="007E540C"/>
    <w:rsid w:val="007E690D"/>
    <w:rsid w:val="007E7816"/>
    <w:rsid w:val="007E7DAE"/>
    <w:rsid w:val="007F0058"/>
    <w:rsid w:val="007F06EE"/>
    <w:rsid w:val="007F47A7"/>
    <w:rsid w:val="007F5E28"/>
    <w:rsid w:val="007F607F"/>
    <w:rsid w:val="007F682B"/>
    <w:rsid w:val="008000F3"/>
    <w:rsid w:val="00802026"/>
    <w:rsid w:val="00802810"/>
    <w:rsid w:val="008056CA"/>
    <w:rsid w:val="00805B7D"/>
    <w:rsid w:val="008073CA"/>
    <w:rsid w:val="008119C4"/>
    <w:rsid w:val="008124C8"/>
    <w:rsid w:val="00812A1F"/>
    <w:rsid w:val="00812E47"/>
    <w:rsid w:val="0081329B"/>
    <w:rsid w:val="00815B3E"/>
    <w:rsid w:val="00816315"/>
    <w:rsid w:val="00817240"/>
    <w:rsid w:val="008252E6"/>
    <w:rsid w:val="00827F9E"/>
    <w:rsid w:val="00830B2C"/>
    <w:rsid w:val="0083223D"/>
    <w:rsid w:val="00833DD1"/>
    <w:rsid w:val="00834B1F"/>
    <w:rsid w:val="008357CE"/>
    <w:rsid w:val="008357E1"/>
    <w:rsid w:val="008359E9"/>
    <w:rsid w:val="00840EF0"/>
    <w:rsid w:val="008415C9"/>
    <w:rsid w:val="00842033"/>
    <w:rsid w:val="00842723"/>
    <w:rsid w:val="008431F8"/>
    <w:rsid w:val="008440A9"/>
    <w:rsid w:val="0084476B"/>
    <w:rsid w:val="00845BBC"/>
    <w:rsid w:val="00846A31"/>
    <w:rsid w:val="00846DAF"/>
    <w:rsid w:val="00850CE6"/>
    <w:rsid w:val="00851E99"/>
    <w:rsid w:val="008530CC"/>
    <w:rsid w:val="0085538F"/>
    <w:rsid w:val="00856221"/>
    <w:rsid w:val="00857019"/>
    <w:rsid w:val="008572FF"/>
    <w:rsid w:val="00863938"/>
    <w:rsid w:val="00867ADE"/>
    <w:rsid w:val="008713FB"/>
    <w:rsid w:val="008739D5"/>
    <w:rsid w:val="00874ABB"/>
    <w:rsid w:val="00876BAF"/>
    <w:rsid w:val="00881309"/>
    <w:rsid w:val="0088289F"/>
    <w:rsid w:val="00882A2D"/>
    <w:rsid w:val="00885106"/>
    <w:rsid w:val="00886521"/>
    <w:rsid w:val="008865DA"/>
    <w:rsid w:val="00886951"/>
    <w:rsid w:val="00887883"/>
    <w:rsid w:val="00891AF8"/>
    <w:rsid w:val="00892B88"/>
    <w:rsid w:val="0089413D"/>
    <w:rsid w:val="00894504"/>
    <w:rsid w:val="008949A9"/>
    <w:rsid w:val="00895410"/>
    <w:rsid w:val="00896920"/>
    <w:rsid w:val="008A240C"/>
    <w:rsid w:val="008A24F8"/>
    <w:rsid w:val="008A3B10"/>
    <w:rsid w:val="008A5D5C"/>
    <w:rsid w:val="008B0889"/>
    <w:rsid w:val="008B1412"/>
    <w:rsid w:val="008B2D8B"/>
    <w:rsid w:val="008B37D4"/>
    <w:rsid w:val="008B7276"/>
    <w:rsid w:val="008C0B9E"/>
    <w:rsid w:val="008C1401"/>
    <w:rsid w:val="008C3612"/>
    <w:rsid w:val="008C4AC0"/>
    <w:rsid w:val="008C4DB7"/>
    <w:rsid w:val="008C6B0F"/>
    <w:rsid w:val="008C7261"/>
    <w:rsid w:val="008C72A2"/>
    <w:rsid w:val="008D53C3"/>
    <w:rsid w:val="008D5AA7"/>
    <w:rsid w:val="008E0FE3"/>
    <w:rsid w:val="008E6530"/>
    <w:rsid w:val="008E7EAE"/>
    <w:rsid w:val="008F10BA"/>
    <w:rsid w:val="008F2C77"/>
    <w:rsid w:val="008F31EF"/>
    <w:rsid w:val="008F4511"/>
    <w:rsid w:val="008F54F3"/>
    <w:rsid w:val="008F7D02"/>
    <w:rsid w:val="00901099"/>
    <w:rsid w:val="00903B9F"/>
    <w:rsid w:val="00903DCD"/>
    <w:rsid w:val="009042FE"/>
    <w:rsid w:val="00904DAC"/>
    <w:rsid w:val="0090658B"/>
    <w:rsid w:val="00911AFD"/>
    <w:rsid w:val="009167BB"/>
    <w:rsid w:val="00926734"/>
    <w:rsid w:val="00930F88"/>
    <w:rsid w:val="00931712"/>
    <w:rsid w:val="00931BBF"/>
    <w:rsid w:val="00935135"/>
    <w:rsid w:val="009358EB"/>
    <w:rsid w:val="009368E3"/>
    <w:rsid w:val="00936D86"/>
    <w:rsid w:val="0094368E"/>
    <w:rsid w:val="00943E42"/>
    <w:rsid w:val="00945224"/>
    <w:rsid w:val="0094548C"/>
    <w:rsid w:val="0094761B"/>
    <w:rsid w:val="009477D9"/>
    <w:rsid w:val="0094785F"/>
    <w:rsid w:val="00950688"/>
    <w:rsid w:val="009513F6"/>
    <w:rsid w:val="00952A5C"/>
    <w:rsid w:val="009561A7"/>
    <w:rsid w:val="009579E7"/>
    <w:rsid w:val="00957E68"/>
    <w:rsid w:val="00960955"/>
    <w:rsid w:val="00964078"/>
    <w:rsid w:val="00964197"/>
    <w:rsid w:val="0096554D"/>
    <w:rsid w:val="00965AB3"/>
    <w:rsid w:val="00965B52"/>
    <w:rsid w:val="0096612E"/>
    <w:rsid w:val="009666B6"/>
    <w:rsid w:val="009668C3"/>
    <w:rsid w:val="00967224"/>
    <w:rsid w:val="0097514B"/>
    <w:rsid w:val="0097651A"/>
    <w:rsid w:val="00976E31"/>
    <w:rsid w:val="009775F8"/>
    <w:rsid w:val="00980301"/>
    <w:rsid w:val="009804CE"/>
    <w:rsid w:val="00981211"/>
    <w:rsid w:val="0098275D"/>
    <w:rsid w:val="00983D60"/>
    <w:rsid w:val="00983F5C"/>
    <w:rsid w:val="0098481F"/>
    <w:rsid w:val="00987B83"/>
    <w:rsid w:val="00990253"/>
    <w:rsid w:val="0099092D"/>
    <w:rsid w:val="00990C94"/>
    <w:rsid w:val="00994792"/>
    <w:rsid w:val="00994BA3"/>
    <w:rsid w:val="009A0733"/>
    <w:rsid w:val="009A1F61"/>
    <w:rsid w:val="009A3077"/>
    <w:rsid w:val="009A334D"/>
    <w:rsid w:val="009A36E6"/>
    <w:rsid w:val="009A5486"/>
    <w:rsid w:val="009A5B64"/>
    <w:rsid w:val="009B03AA"/>
    <w:rsid w:val="009B03D2"/>
    <w:rsid w:val="009B03E6"/>
    <w:rsid w:val="009B1A54"/>
    <w:rsid w:val="009B4E67"/>
    <w:rsid w:val="009B73D9"/>
    <w:rsid w:val="009C08CA"/>
    <w:rsid w:val="009C0F4F"/>
    <w:rsid w:val="009C4434"/>
    <w:rsid w:val="009C47EA"/>
    <w:rsid w:val="009C5268"/>
    <w:rsid w:val="009C5DDA"/>
    <w:rsid w:val="009C6A9D"/>
    <w:rsid w:val="009C6CC3"/>
    <w:rsid w:val="009C7B22"/>
    <w:rsid w:val="009C7CA1"/>
    <w:rsid w:val="009D1480"/>
    <w:rsid w:val="009D150D"/>
    <w:rsid w:val="009D65AB"/>
    <w:rsid w:val="009D67E5"/>
    <w:rsid w:val="009E2AF2"/>
    <w:rsid w:val="009E42E8"/>
    <w:rsid w:val="009F0130"/>
    <w:rsid w:val="009F2DBF"/>
    <w:rsid w:val="009F33C5"/>
    <w:rsid w:val="009F57C8"/>
    <w:rsid w:val="009F6098"/>
    <w:rsid w:val="00A02524"/>
    <w:rsid w:val="00A04DFB"/>
    <w:rsid w:val="00A1228F"/>
    <w:rsid w:val="00A123A2"/>
    <w:rsid w:val="00A1373E"/>
    <w:rsid w:val="00A13B6C"/>
    <w:rsid w:val="00A14C1F"/>
    <w:rsid w:val="00A246E5"/>
    <w:rsid w:val="00A25E1F"/>
    <w:rsid w:val="00A27FF5"/>
    <w:rsid w:val="00A31462"/>
    <w:rsid w:val="00A31FDC"/>
    <w:rsid w:val="00A345FD"/>
    <w:rsid w:val="00A3529D"/>
    <w:rsid w:val="00A3609C"/>
    <w:rsid w:val="00A361AA"/>
    <w:rsid w:val="00A36E2C"/>
    <w:rsid w:val="00A400D7"/>
    <w:rsid w:val="00A439F7"/>
    <w:rsid w:val="00A458A2"/>
    <w:rsid w:val="00A460B1"/>
    <w:rsid w:val="00A50420"/>
    <w:rsid w:val="00A51234"/>
    <w:rsid w:val="00A532BC"/>
    <w:rsid w:val="00A56AAB"/>
    <w:rsid w:val="00A56AC6"/>
    <w:rsid w:val="00A60ED8"/>
    <w:rsid w:val="00A63BAA"/>
    <w:rsid w:val="00A64FEB"/>
    <w:rsid w:val="00A6649E"/>
    <w:rsid w:val="00A7180A"/>
    <w:rsid w:val="00A719B4"/>
    <w:rsid w:val="00A73324"/>
    <w:rsid w:val="00A73BC2"/>
    <w:rsid w:val="00A77C90"/>
    <w:rsid w:val="00A801EC"/>
    <w:rsid w:val="00A8148C"/>
    <w:rsid w:val="00A83F61"/>
    <w:rsid w:val="00A8530A"/>
    <w:rsid w:val="00A853D3"/>
    <w:rsid w:val="00A8556C"/>
    <w:rsid w:val="00A865BE"/>
    <w:rsid w:val="00AA2A3C"/>
    <w:rsid w:val="00AA4207"/>
    <w:rsid w:val="00AB057C"/>
    <w:rsid w:val="00AB1131"/>
    <w:rsid w:val="00AB13E5"/>
    <w:rsid w:val="00AB1550"/>
    <w:rsid w:val="00AB362D"/>
    <w:rsid w:val="00AB436B"/>
    <w:rsid w:val="00AB462E"/>
    <w:rsid w:val="00AB53D9"/>
    <w:rsid w:val="00AB592F"/>
    <w:rsid w:val="00AB5C2C"/>
    <w:rsid w:val="00AB7570"/>
    <w:rsid w:val="00AC005D"/>
    <w:rsid w:val="00AC1EC4"/>
    <w:rsid w:val="00AC29D4"/>
    <w:rsid w:val="00AC36BD"/>
    <w:rsid w:val="00AC4B51"/>
    <w:rsid w:val="00AC5824"/>
    <w:rsid w:val="00AC5F46"/>
    <w:rsid w:val="00AC766F"/>
    <w:rsid w:val="00AC7F54"/>
    <w:rsid w:val="00AD1BDB"/>
    <w:rsid w:val="00AD3363"/>
    <w:rsid w:val="00AD4CA6"/>
    <w:rsid w:val="00AE1031"/>
    <w:rsid w:val="00AE39AF"/>
    <w:rsid w:val="00AE3A55"/>
    <w:rsid w:val="00AE3D57"/>
    <w:rsid w:val="00AE4BAD"/>
    <w:rsid w:val="00AE7EBF"/>
    <w:rsid w:val="00AF2987"/>
    <w:rsid w:val="00B002D7"/>
    <w:rsid w:val="00B02045"/>
    <w:rsid w:val="00B03E6B"/>
    <w:rsid w:val="00B05A95"/>
    <w:rsid w:val="00B06E7A"/>
    <w:rsid w:val="00B11E54"/>
    <w:rsid w:val="00B11E7A"/>
    <w:rsid w:val="00B12483"/>
    <w:rsid w:val="00B138EB"/>
    <w:rsid w:val="00B1390F"/>
    <w:rsid w:val="00B14BF6"/>
    <w:rsid w:val="00B169D7"/>
    <w:rsid w:val="00B17F4E"/>
    <w:rsid w:val="00B2030F"/>
    <w:rsid w:val="00B20AB3"/>
    <w:rsid w:val="00B21C58"/>
    <w:rsid w:val="00B22C68"/>
    <w:rsid w:val="00B22EDC"/>
    <w:rsid w:val="00B24668"/>
    <w:rsid w:val="00B26985"/>
    <w:rsid w:val="00B33207"/>
    <w:rsid w:val="00B34271"/>
    <w:rsid w:val="00B3521F"/>
    <w:rsid w:val="00B3670A"/>
    <w:rsid w:val="00B4144A"/>
    <w:rsid w:val="00B44932"/>
    <w:rsid w:val="00B45439"/>
    <w:rsid w:val="00B470A7"/>
    <w:rsid w:val="00B50E5B"/>
    <w:rsid w:val="00B5347A"/>
    <w:rsid w:val="00B54EEB"/>
    <w:rsid w:val="00B55E4A"/>
    <w:rsid w:val="00B56777"/>
    <w:rsid w:val="00B572F9"/>
    <w:rsid w:val="00B61112"/>
    <w:rsid w:val="00B633A5"/>
    <w:rsid w:val="00B64139"/>
    <w:rsid w:val="00B663F5"/>
    <w:rsid w:val="00B678BF"/>
    <w:rsid w:val="00B67AF8"/>
    <w:rsid w:val="00B704E7"/>
    <w:rsid w:val="00B71461"/>
    <w:rsid w:val="00B731A2"/>
    <w:rsid w:val="00B7556B"/>
    <w:rsid w:val="00B762BA"/>
    <w:rsid w:val="00B772D1"/>
    <w:rsid w:val="00B77354"/>
    <w:rsid w:val="00B830B0"/>
    <w:rsid w:val="00B83947"/>
    <w:rsid w:val="00B861F2"/>
    <w:rsid w:val="00B90A8B"/>
    <w:rsid w:val="00B92592"/>
    <w:rsid w:val="00B96CB1"/>
    <w:rsid w:val="00B96DF5"/>
    <w:rsid w:val="00B973E6"/>
    <w:rsid w:val="00B97DD8"/>
    <w:rsid w:val="00B97F2C"/>
    <w:rsid w:val="00BA0399"/>
    <w:rsid w:val="00BA1278"/>
    <w:rsid w:val="00BA19E6"/>
    <w:rsid w:val="00BA1CF1"/>
    <w:rsid w:val="00BA205B"/>
    <w:rsid w:val="00BA404B"/>
    <w:rsid w:val="00BA450E"/>
    <w:rsid w:val="00BA4597"/>
    <w:rsid w:val="00BA4DF7"/>
    <w:rsid w:val="00BA55DB"/>
    <w:rsid w:val="00BA7DDF"/>
    <w:rsid w:val="00BB38F5"/>
    <w:rsid w:val="00BB77FD"/>
    <w:rsid w:val="00BC0A0C"/>
    <w:rsid w:val="00BC1CA1"/>
    <w:rsid w:val="00BC3DE8"/>
    <w:rsid w:val="00BC4DC4"/>
    <w:rsid w:val="00BC67EF"/>
    <w:rsid w:val="00BC73AE"/>
    <w:rsid w:val="00BC73F8"/>
    <w:rsid w:val="00BC784D"/>
    <w:rsid w:val="00BD04E1"/>
    <w:rsid w:val="00BD13B6"/>
    <w:rsid w:val="00BD60AE"/>
    <w:rsid w:val="00BD67A8"/>
    <w:rsid w:val="00BE0157"/>
    <w:rsid w:val="00BE18D9"/>
    <w:rsid w:val="00BE61FC"/>
    <w:rsid w:val="00BE6D07"/>
    <w:rsid w:val="00BE6F3A"/>
    <w:rsid w:val="00BE7775"/>
    <w:rsid w:val="00BF56DF"/>
    <w:rsid w:val="00BF5FDC"/>
    <w:rsid w:val="00C008EF"/>
    <w:rsid w:val="00C02CF9"/>
    <w:rsid w:val="00C03EE8"/>
    <w:rsid w:val="00C06203"/>
    <w:rsid w:val="00C076D3"/>
    <w:rsid w:val="00C07766"/>
    <w:rsid w:val="00C10A8E"/>
    <w:rsid w:val="00C117BC"/>
    <w:rsid w:val="00C12A19"/>
    <w:rsid w:val="00C1697C"/>
    <w:rsid w:val="00C1707D"/>
    <w:rsid w:val="00C1790B"/>
    <w:rsid w:val="00C17DDF"/>
    <w:rsid w:val="00C17F7A"/>
    <w:rsid w:val="00C20E0B"/>
    <w:rsid w:val="00C2175F"/>
    <w:rsid w:val="00C228C8"/>
    <w:rsid w:val="00C24536"/>
    <w:rsid w:val="00C25356"/>
    <w:rsid w:val="00C264CF"/>
    <w:rsid w:val="00C279E3"/>
    <w:rsid w:val="00C27D50"/>
    <w:rsid w:val="00C27F46"/>
    <w:rsid w:val="00C32589"/>
    <w:rsid w:val="00C3398A"/>
    <w:rsid w:val="00C34577"/>
    <w:rsid w:val="00C4027B"/>
    <w:rsid w:val="00C42847"/>
    <w:rsid w:val="00C4307C"/>
    <w:rsid w:val="00C43617"/>
    <w:rsid w:val="00C46172"/>
    <w:rsid w:val="00C46CCD"/>
    <w:rsid w:val="00C46F43"/>
    <w:rsid w:val="00C5033A"/>
    <w:rsid w:val="00C518F7"/>
    <w:rsid w:val="00C52163"/>
    <w:rsid w:val="00C521BB"/>
    <w:rsid w:val="00C54ACA"/>
    <w:rsid w:val="00C55A76"/>
    <w:rsid w:val="00C56A04"/>
    <w:rsid w:val="00C604BA"/>
    <w:rsid w:val="00C60571"/>
    <w:rsid w:val="00C60B65"/>
    <w:rsid w:val="00C62BB2"/>
    <w:rsid w:val="00C62DBE"/>
    <w:rsid w:val="00C639A9"/>
    <w:rsid w:val="00C659C6"/>
    <w:rsid w:val="00C67A24"/>
    <w:rsid w:val="00C67F95"/>
    <w:rsid w:val="00C71522"/>
    <w:rsid w:val="00C74D82"/>
    <w:rsid w:val="00C76261"/>
    <w:rsid w:val="00C7642F"/>
    <w:rsid w:val="00C765E4"/>
    <w:rsid w:val="00C8195B"/>
    <w:rsid w:val="00C81DA2"/>
    <w:rsid w:val="00C82092"/>
    <w:rsid w:val="00C82D61"/>
    <w:rsid w:val="00C83539"/>
    <w:rsid w:val="00C835C7"/>
    <w:rsid w:val="00C84358"/>
    <w:rsid w:val="00C86F26"/>
    <w:rsid w:val="00C90BEE"/>
    <w:rsid w:val="00C930EC"/>
    <w:rsid w:val="00C96191"/>
    <w:rsid w:val="00CA0C81"/>
    <w:rsid w:val="00CA376D"/>
    <w:rsid w:val="00CA45C2"/>
    <w:rsid w:val="00CA4781"/>
    <w:rsid w:val="00CA4850"/>
    <w:rsid w:val="00CA5856"/>
    <w:rsid w:val="00CA5A5C"/>
    <w:rsid w:val="00CA7B24"/>
    <w:rsid w:val="00CB1B75"/>
    <w:rsid w:val="00CB1FF1"/>
    <w:rsid w:val="00CB45F1"/>
    <w:rsid w:val="00CB5B20"/>
    <w:rsid w:val="00CB6142"/>
    <w:rsid w:val="00CB6C3D"/>
    <w:rsid w:val="00CB70DE"/>
    <w:rsid w:val="00CB7121"/>
    <w:rsid w:val="00CB766C"/>
    <w:rsid w:val="00CB7A22"/>
    <w:rsid w:val="00CC029C"/>
    <w:rsid w:val="00CC0D5D"/>
    <w:rsid w:val="00CC19F1"/>
    <w:rsid w:val="00CC1E48"/>
    <w:rsid w:val="00CC339C"/>
    <w:rsid w:val="00CC532C"/>
    <w:rsid w:val="00CC60EC"/>
    <w:rsid w:val="00CC6204"/>
    <w:rsid w:val="00CC7E41"/>
    <w:rsid w:val="00CD0097"/>
    <w:rsid w:val="00CD51A9"/>
    <w:rsid w:val="00CE1D6F"/>
    <w:rsid w:val="00CE3206"/>
    <w:rsid w:val="00CE392A"/>
    <w:rsid w:val="00CE4D8A"/>
    <w:rsid w:val="00CE4E28"/>
    <w:rsid w:val="00CE674E"/>
    <w:rsid w:val="00CF2726"/>
    <w:rsid w:val="00CF2991"/>
    <w:rsid w:val="00CF50AA"/>
    <w:rsid w:val="00D00148"/>
    <w:rsid w:val="00D04680"/>
    <w:rsid w:val="00D05F7E"/>
    <w:rsid w:val="00D07E31"/>
    <w:rsid w:val="00D10F99"/>
    <w:rsid w:val="00D127F3"/>
    <w:rsid w:val="00D1576D"/>
    <w:rsid w:val="00D16AFC"/>
    <w:rsid w:val="00D16C9D"/>
    <w:rsid w:val="00D2005C"/>
    <w:rsid w:val="00D20850"/>
    <w:rsid w:val="00D222ED"/>
    <w:rsid w:val="00D2591F"/>
    <w:rsid w:val="00D26573"/>
    <w:rsid w:val="00D26792"/>
    <w:rsid w:val="00D2704A"/>
    <w:rsid w:val="00D31D14"/>
    <w:rsid w:val="00D32142"/>
    <w:rsid w:val="00D3340B"/>
    <w:rsid w:val="00D35341"/>
    <w:rsid w:val="00D35B3F"/>
    <w:rsid w:val="00D35BA2"/>
    <w:rsid w:val="00D36933"/>
    <w:rsid w:val="00D43EEE"/>
    <w:rsid w:val="00D44A7A"/>
    <w:rsid w:val="00D44ACE"/>
    <w:rsid w:val="00D4629A"/>
    <w:rsid w:val="00D468CF"/>
    <w:rsid w:val="00D469B9"/>
    <w:rsid w:val="00D50E13"/>
    <w:rsid w:val="00D50EC2"/>
    <w:rsid w:val="00D51E99"/>
    <w:rsid w:val="00D52DDD"/>
    <w:rsid w:val="00D54CAE"/>
    <w:rsid w:val="00D57A32"/>
    <w:rsid w:val="00D57ADE"/>
    <w:rsid w:val="00D6090E"/>
    <w:rsid w:val="00D6639B"/>
    <w:rsid w:val="00D6746F"/>
    <w:rsid w:val="00D67F5F"/>
    <w:rsid w:val="00D70FF4"/>
    <w:rsid w:val="00D73351"/>
    <w:rsid w:val="00D75EB6"/>
    <w:rsid w:val="00D76377"/>
    <w:rsid w:val="00D7703B"/>
    <w:rsid w:val="00D822BB"/>
    <w:rsid w:val="00D826FA"/>
    <w:rsid w:val="00D83EE1"/>
    <w:rsid w:val="00D84230"/>
    <w:rsid w:val="00D84725"/>
    <w:rsid w:val="00D85136"/>
    <w:rsid w:val="00D85924"/>
    <w:rsid w:val="00D85B8F"/>
    <w:rsid w:val="00D9021A"/>
    <w:rsid w:val="00D9037A"/>
    <w:rsid w:val="00D9115E"/>
    <w:rsid w:val="00D92CD3"/>
    <w:rsid w:val="00D935CA"/>
    <w:rsid w:val="00D9518F"/>
    <w:rsid w:val="00D95DB7"/>
    <w:rsid w:val="00DA01B1"/>
    <w:rsid w:val="00DA132A"/>
    <w:rsid w:val="00DA1E5F"/>
    <w:rsid w:val="00DA391A"/>
    <w:rsid w:val="00DA4880"/>
    <w:rsid w:val="00DA529A"/>
    <w:rsid w:val="00DA5637"/>
    <w:rsid w:val="00DA715B"/>
    <w:rsid w:val="00DB38CA"/>
    <w:rsid w:val="00DB45DB"/>
    <w:rsid w:val="00DB5E3F"/>
    <w:rsid w:val="00DB6F40"/>
    <w:rsid w:val="00DC0343"/>
    <w:rsid w:val="00DC09E8"/>
    <w:rsid w:val="00DC224C"/>
    <w:rsid w:val="00DC2DF3"/>
    <w:rsid w:val="00DC34ED"/>
    <w:rsid w:val="00DC4F3C"/>
    <w:rsid w:val="00DC4FCB"/>
    <w:rsid w:val="00DC6669"/>
    <w:rsid w:val="00DC6C5A"/>
    <w:rsid w:val="00DD13A8"/>
    <w:rsid w:val="00DD1511"/>
    <w:rsid w:val="00DD1590"/>
    <w:rsid w:val="00DD2844"/>
    <w:rsid w:val="00DD30EC"/>
    <w:rsid w:val="00DD654F"/>
    <w:rsid w:val="00DD75DB"/>
    <w:rsid w:val="00DE2032"/>
    <w:rsid w:val="00DE3A0E"/>
    <w:rsid w:val="00DE532B"/>
    <w:rsid w:val="00DE6690"/>
    <w:rsid w:val="00DE6A05"/>
    <w:rsid w:val="00DE6E14"/>
    <w:rsid w:val="00DF172D"/>
    <w:rsid w:val="00DF395E"/>
    <w:rsid w:val="00DF47C7"/>
    <w:rsid w:val="00DF788D"/>
    <w:rsid w:val="00E04294"/>
    <w:rsid w:val="00E05C99"/>
    <w:rsid w:val="00E05EED"/>
    <w:rsid w:val="00E07ACA"/>
    <w:rsid w:val="00E107F1"/>
    <w:rsid w:val="00E13973"/>
    <w:rsid w:val="00E17C41"/>
    <w:rsid w:val="00E222D9"/>
    <w:rsid w:val="00E254E5"/>
    <w:rsid w:val="00E26422"/>
    <w:rsid w:val="00E27FDC"/>
    <w:rsid w:val="00E32F71"/>
    <w:rsid w:val="00E34CCF"/>
    <w:rsid w:val="00E354FB"/>
    <w:rsid w:val="00E40A1A"/>
    <w:rsid w:val="00E413E2"/>
    <w:rsid w:val="00E42D91"/>
    <w:rsid w:val="00E4380B"/>
    <w:rsid w:val="00E43D1F"/>
    <w:rsid w:val="00E4467A"/>
    <w:rsid w:val="00E44CF5"/>
    <w:rsid w:val="00E45E39"/>
    <w:rsid w:val="00E46AC6"/>
    <w:rsid w:val="00E4720A"/>
    <w:rsid w:val="00E47AF2"/>
    <w:rsid w:val="00E502B1"/>
    <w:rsid w:val="00E57280"/>
    <w:rsid w:val="00E574A6"/>
    <w:rsid w:val="00E630BA"/>
    <w:rsid w:val="00E6490B"/>
    <w:rsid w:val="00E65A31"/>
    <w:rsid w:val="00E65BA4"/>
    <w:rsid w:val="00E704FC"/>
    <w:rsid w:val="00E70DB4"/>
    <w:rsid w:val="00E717D3"/>
    <w:rsid w:val="00E73D21"/>
    <w:rsid w:val="00E7418F"/>
    <w:rsid w:val="00E74BDD"/>
    <w:rsid w:val="00E768BC"/>
    <w:rsid w:val="00E76B70"/>
    <w:rsid w:val="00E77D53"/>
    <w:rsid w:val="00E8143C"/>
    <w:rsid w:val="00E832D9"/>
    <w:rsid w:val="00E84EE0"/>
    <w:rsid w:val="00E85CC8"/>
    <w:rsid w:val="00E86153"/>
    <w:rsid w:val="00E87448"/>
    <w:rsid w:val="00E90B47"/>
    <w:rsid w:val="00E92A9D"/>
    <w:rsid w:val="00E952FD"/>
    <w:rsid w:val="00E95F2C"/>
    <w:rsid w:val="00E964F5"/>
    <w:rsid w:val="00E96957"/>
    <w:rsid w:val="00E96995"/>
    <w:rsid w:val="00E96D45"/>
    <w:rsid w:val="00E970C6"/>
    <w:rsid w:val="00E97907"/>
    <w:rsid w:val="00E97C35"/>
    <w:rsid w:val="00EA01E5"/>
    <w:rsid w:val="00EA374D"/>
    <w:rsid w:val="00EA380C"/>
    <w:rsid w:val="00EA4DFF"/>
    <w:rsid w:val="00EA580B"/>
    <w:rsid w:val="00EA68BE"/>
    <w:rsid w:val="00EB4B39"/>
    <w:rsid w:val="00EB6103"/>
    <w:rsid w:val="00EB668F"/>
    <w:rsid w:val="00EC3916"/>
    <w:rsid w:val="00EC3C7F"/>
    <w:rsid w:val="00EC4535"/>
    <w:rsid w:val="00ED097F"/>
    <w:rsid w:val="00ED3770"/>
    <w:rsid w:val="00ED4603"/>
    <w:rsid w:val="00ED49D1"/>
    <w:rsid w:val="00ED5D28"/>
    <w:rsid w:val="00ED7B9A"/>
    <w:rsid w:val="00EE6E83"/>
    <w:rsid w:val="00EF0E6D"/>
    <w:rsid w:val="00EF3E0D"/>
    <w:rsid w:val="00EF4613"/>
    <w:rsid w:val="00EF4B29"/>
    <w:rsid w:val="00EF682E"/>
    <w:rsid w:val="00EF6E6F"/>
    <w:rsid w:val="00F0003B"/>
    <w:rsid w:val="00F001D3"/>
    <w:rsid w:val="00F00AC6"/>
    <w:rsid w:val="00F00CA3"/>
    <w:rsid w:val="00F017D6"/>
    <w:rsid w:val="00F02B7C"/>
    <w:rsid w:val="00F038AE"/>
    <w:rsid w:val="00F04DAA"/>
    <w:rsid w:val="00F13D21"/>
    <w:rsid w:val="00F21D7B"/>
    <w:rsid w:val="00F22094"/>
    <w:rsid w:val="00F23859"/>
    <w:rsid w:val="00F242F4"/>
    <w:rsid w:val="00F24A26"/>
    <w:rsid w:val="00F30627"/>
    <w:rsid w:val="00F33D0E"/>
    <w:rsid w:val="00F34087"/>
    <w:rsid w:val="00F35FCA"/>
    <w:rsid w:val="00F36773"/>
    <w:rsid w:val="00F37B13"/>
    <w:rsid w:val="00F37E5C"/>
    <w:rsid w:val="00F40624"/>
    <w:rsid w:val="00F41A69"/>
    <w:rsid w:val="00F4288E"/>
    <w:rsid w:val="00F438E0"/>
    <w:rsid w:val="00F46B82"/>
    <w:rsid w:val="00F51575"/>
    <w:rsid w:val="00F5351C"/>
    <w:rsid w:val="00F55339"/>
    <w:rsid w:val="00F55802"/>
    <w:rsid w:val="00F57AD6"/>
    <w:rsid w:val="00F57F2D"/>
    <w:rsid w:val="00F60112"/>
    <w:rsid w:val="00F60EB1"/>
    <w:rsid w:val="00F617E8"/>
    <w:rsid w:val="00F70284"/>
    <w:rsid w:val="00F733CC"/>
    <w:rsid w:val="00F74486"/>
    <w:rsid w:val="00F75B33"/>
    <w:rsid w:val="00F76436"/>
    <w:rsid w:val="00F76732"/>
    <w:rsid w:val="00F7748A"/>
    <w:rsid w:val="00F820CD"/>
    <w:rsid w:val="00F82E6C"/>
    <w:rsid w:val="00F82FC6"/>
    <w:rsid w:val="00F83658"/>
    <w:rsid w:val="00F855B4"/>
    <w:rsid w:val="00F872AC"/>
    <w:rsid w:val="00F90C6C"/>
    <w:rsid w:val="00F92AF3"/>
    <w:rsid w:val="00F93A89"/>
    <w:rsid w:val="00F93E40"/>
    <w:rsid w:val="00F94680"/>
    <w:rsid w:val="00F9548D"/>
    <w:rsid w:val="00F95B00"/>
    <w:rsid w:val="00FA5F08"/>
    <w:rsid w:val="00FA6128"/>
    <w:rsid w:val="00FA69AD"/>
    <w:rsid w:val="00FB00F2"/>
    <w:rsid w:val="00FB0F01"/>
    <w:rsid w:val="00FB2557"/>
    <w:rsid w:val="00FB33EE"/>
    <w:rsid w:val="00FB4BA0"/>
    <w:rsid w:val="00FB54E6"/>
    <w:rsid w:val="00FB7BC6"/>
    <w:rsid w:val="00FC0C0C"/>
    <w:rsid w:val="00FC1C54"/>
    <w:rsid w:val="00FC32FC"/>
    <w:rsid w:val="00FC357B"/>
    <w:rsid w:val="00FC391C"/>
    <w:rsid w:val="00FC3DBF"/>
    <w:rsid w:val="00FC5EDE"/>
    <w:rsid w:val="00FC7433"/>
    <w:rsid w:val="00FC7E1F"/>
    <w:rsid w:val="00FD0FA3"/>
    <w:rsid w:val="00FD120C"/>
    <w:rsid w:val="00FD1543"/>
    <w:rsid w:val="00FD3711"/>
    <w:rsid w:val="00FD3FC8"/>
    <w:rsid w:val="00FD40A3"/>
    <w:rsid w:val="00FD429C"/>
    <w:rsid w:val="00FD5C53"/>
    <w:rsid w:val="00FD5E0A"/>
    <w:rsid w:val="00FE1616"/>
    <w:rsid w:val="00FE1F97"/>
    <w:rsid w:val="00FE4620"/>
    <w:rsid w:val="00FF0BDF"/>
    <w:rsid w:val="00FF2401"/>
    <w:rsid w:val="00FF4B08"/>
    <w:rsid w:val="00FF51E9"/>
    <w:rsid w:val="00FF78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DF9AE923-025A-43AA-A89B-505715C0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ParaNum"/>
    <w:link w:val="Heading1Char"/>
    <w:qFormat/>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link w:val="Heading4Char"/>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pPr>
      <w:widowControl w:val="0"/>
      <w:numPr>
        <w:numId w:val="13"/>
      </w:numPr>
      <w:tabs>
        <w:tab w:val="left" w:pos="1440"/>
      </w:tabs>
      <w:spacing w:after="220"/>
      <w:jc w:val="both"/>
    </w:pPr>
  </w:style>
  <w:style w:type="paragraph" w:styleId="FootnoteText">
    <w:name w:val="footnote text"/>
    <w:aliases w:val="ALTS FOOTNOTE,Footnote Text Char Char2 Char Char,Footnote Text Char1,Footnote Text Char1 Char Char,Footnote Text Char2 Char,Footnote Text Char2 Char1 Char Char Char Char,Footnote Text Char4 Char Char Char Char,f,fn,fn Ch"/>
    <w:basedOn w:val="Normal"/>
    <w:link w:val="FootnoteTextChar"/>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NECG) Footnote Reference,Appel note de bas de p,FR,Footnote Reference/,Style 12,Style 124,Style 13,Style 17,Style 3,Style 6,fr,o"/>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paragraph" w:styleId="EndnoteText">
    <w:name w:val="endnote text"/>
    <w:basedOn w:val="Normal"/>
    <w:semiHidden/>
    <w:rsid w:val="00B762BA"/>
    <w:pPr>
      <w:widowControl w:val="0"/>
      <w:spacing w:after="120"/>
      <w:jc w:val="both"/>
    </w:pPr>
    <w:rPr>
      <w:snapToGrid w:val="0"/>
      <w:kern w:val="28"/>
    </w:rPr>
  </w:style>
  <w:style w:type="paragraph" w:customStyle="1" w:styleId="DocText">
    <w:name w:val="DocText"/>
    <w:autoRedefine/>
    <w:rsid w:val="00D44A7A"/>
    <w:pPr>
      <w:tabs>
        <w:tab w:val="left" w:pos="1440"/>
      </w:tabs>
      <w:ind w:left="360"/>
    </w:pPr>
    <w:rPr>
      <w:spacing w:val="-2"/>
      <w:sz w:val="24"/>
    </w:rPr>
  </w:style>
  <w:style w:type="paragraph" w:styleId="BodyText">
    <w:name w:val="Body Text"/>
    <w:basedOn w:val="Normal"/>
    <w:rsid w:val="00B762BA"/>
    <w:pPr>
      <w:widowControl w:val="0"/>
      <w:numPr>
        <w:numId w:val="22"/>
      </w:numPr>
      <w:tabs>
        <w:tab w:val="clear" w:pos="1080"/>
        <w:tab w:val="center" w:pos="4680"/>
      </w:tabs>
      <w:suppressAutoHyphens/>
      <w:ind w:firstLine="0"/>
    </w:pPr>
    <w:rPr>
      <w:snapToGrid w:val="0"/>
      <w:kern w:val="28"/>
    </w:rPr>
  </w:style>
  <w:style w:type="character" w:styleId="CommentReference">
    <w:name w:val="annotation reference"/>
    <w:semiHidden/>
    <w:rsid w:val="00280EEE"/>
    <w:rPr>
      <w:sz w:val="16"/>
      <w:szCs w:val="16"/>
    </w:rPr>
  </w:style>
  <w:style w:type="paragraph" w:styleId="CommentText">
    <w:name w:val="annotation text"/>
    <w:basedOn w:val="Normal"/>
    <w:semiHidden/>
    <w:rsid w:val="00280EEE"/>
    <w:rPr>
      <w:sz w:val="20"/>
    </w:rPr>
  </w:style>
  <w:style w:type="paragraph" w:styleId="CommentSubject">
    <w:name w:val="annotation subject"/>
    <w:basedOn w:val="CommentText"/>
    <w:next w:val="CommentText"/>
    <w:semiHidden/>
    <w:rsid w:val="00280EEE"/>
    <w:rPr>
      <w:b/>
      <w:bCs/>
    </w:rPr>
  </w:style>
  <w:style w:type="paragraph" w:styleId="BalloonText">
    <w:name w:val="Balloon Text"/>
    <w:basedOn w:val="Normal"/>
    <w:semiHidden/>
    <w:rsid w:val="00280EEE"/>
    <w:rPr>
      <w:rFonts w:ascii="Tahoma" w:hAnsi="Tahoma" w:cs="Tahoma"/>
      <w:sz w:val="16"/>
      <w:szCs w:val="16"/>
    </w:rPr>
  </w:style>
  <w:style w:type="character" w:styleId="Hyperlink">
    <w:name w:val="Hyperlink"/>
    <w:rsid w:val="008A24F8"/>
    <w:rPr>
      <w:color w:val="0000FF"/>
      <w:u w:val="single"/>
    </w:rPr>
  </w:style>
  <w:style w:type="character" w:customStyle="1" w:styleId="italics1">
    <w:name w:val="italics1"/>
    <w:rsid w:val="00DC09E8"/>
    <w:rPr>
      <w:i/>
      <w:iCs/>
    </w:rPr>
  </w:style>
  <w:style w:type="character" w:customStyle="1" w:styleId="FootnoteTextChar">
    <w:name w:val="Footnote Text Char"/>
    <w:aliases w:val="ALTS FOOTNOTE Char1,Footnote Text Char Char2 Char Char Char1,Footnote Text Char1 Char Char Char1,Footnote Text Char2 Char Char1,Footnote Text Char2 Char1 Char Char Char Char Char,Footnote Text Char4 Char Char Char Char Char1,fn Char1"/>
    <w:link w:val="FootnoteText"/>
    <w:semiHidden/>
    <w:rsid w:val="00D84230"/>
  </w:style>
  <w:style w:type="character" w:styleId="Emphasis">
    <w:name w:val="Emphasis"/>
    <w:uiPriority w:val="20"/>
    <w:qFormat/>
    <w:rsid w:val="00B64139"/>
    <w:rPr>
      <w:i/>
      <w:iCs/>
    </w:rPr>
  </w:style>
  <w:style w:type="character" w:customStyle="1" w:styleId="cosearchterm6">
    <w:name w:val="co_searchterm6"/>
    <w:rsid w:val="005D6FA1"/>
    <w:rPr>
      <w:b/>
      <w:bCs/>
      <w:color w:val="252525"/>
    </w:rPr>
  </w:style>
  <w:style w:type="character" w:styleId="FollowedHyperlink">
    <w:name w:val="FollowedHyperlink"/>
    <w:rsid w:val="005D6FA1"/>
    <w:rPr>
      <w:color w:val="800080"/>
      <w:u w:val="single"/>
    </w:rPr>
  </w:style>
  <w:style w:type="character" w:customStyle="1" w:styleId="cosearchterm1">
    <w:name w:val="co_searchterm1"/>
    <w:rsid w:val="008A5D5C"/>
    <w:rPr>
      <w:b/>
      <w:bCs/>
      <w:color w:val="252525"/>
    </w:rPr>
  </w:style>
  <w:style w:type="character" w:customStyle="1" w:styleId="cosearchterm7">
    <w:name w:val="co_searchterm7"/>
    <w:rsid w:val="00481C3F"/>
    <w:rPr>
      <w:b/>
      <w:bCs/>
      <w:color w:val="252525"/>
    </w:rPr>
  </w:style>
  <w:style w:type="character" w:customStyle="1" w:styleId="ptext-1">
    <w:name w:val="ptext-1"/>
    <w:rsid w:val="00DA1E5F"/>
  </w:style>
  <w:style w:type="character" w:customStyle="1" w:styleId="Heading1Char">
    <w:name w:val="Heading 1 Char"/>
    <w:link w:val="Heading1"/>
    <w:rsid w:val="00FD120C"/>
    <w:rPr>
      <w:b/>
      <w:caps/>
      <w:sz w:val="22"/>
    </w:rPr>
  </w:style>
  <w:style w:type="character" w:customStyle="1" w:styleId="Heading2Char">
    <w:name w:val="Heading 2 Char"/>
    <w:link w:val="Heading2"/>
    <w:rsid w:val="00FD120C"/>
    <w:rPr>
      <w:b/>
      <w:sz w:val="22"/>
    </w:rPr>
  </w:style>
  <w:style w:type="character" w:customStyle="1" w:styleId="Heading4Char">
    <w:name w:val="Heading 4 Char"/>
    <w:link w:val="Heading4"/>
    <w:rsid w:val="00FD120C"/>
    <w:rPr>
      <w:b/>
      <w:sz w:val="22"/>
    </w:rPr>
  </w:style>
  <w:style w:type="character" w:customStyle="1" w:styleId="FootnoteTextChar2">
    <w:name w:val="Footnote Text Char2"/>
    <w:aliases w:val="ALTS FOOTNOTE Char,Footnote Text Char Char,Footnote Text Char Char2 Char Char Char,Footnote Text Char1 Char,Footnote Text Char1 Char Char Char,Footnote Text Char2 Char Char,Footnote Text Char4 Char Char Char Char Char,f Char,fn Char"/>
    <w:semiHidden/>
    <w:locked/>
    <w:rsid w:val="000746EA"/>
    <w:rPr>
      <w:rFonts w:ascii="Times New Roman" w:eastAsia="Times New Roman" w:hAnsi="Times New Roman" w:cs="Times New Roman"/>
      <w:szCs w:val="20"/>
    </w:rPr>
  </w:style>
  <w:style w:type="character" w:customStyle="1" w:styleId="apple-converted-space">
    <w:name w:val="apple-converted-space"/>
    <w:basedOn w:val="DefaultParagraphFont"/>
    <w:rsid w:val="00774ABF"/>
  </w:style>
  <w:style w:type="paragraph" w:styleId="Subtitle">
    <w:name w:val="Subtitle"/>
    <w:basedOn w:val="Normal"/>
    <w:next w:val="Normal"/>
    <w:link w:val="SubtitleChar"/>
    <w:qFormat/>
    <w:rsid w:val="00E76B7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E76B7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