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C82B6B" w:rsidRPr="00854B58" w:rsidP="00C82B6B" w14:paraId="59581F19" w14:textId="482C532F">
      <w:pPr>
        <w:jc w:val="right"/>
        <w:rPr>
          <w:b/>
          <w:sz w:val="24"/>
        </w:rPr>
      </w:pPr>
      <w:r>
        <w:rPr>
          <w:b/>
          <w:sz w:val="24"/>
        </w:rPr>
        <w:t>DA 19-</w:t>
      </w:r>
      <w:r w:rsidR="00C02AFC">
        <w:rPr>
          <w:b/>
          <w:sz w:val="24"/>
        </w:rPr>
        <w:t>613</w:t>
      </w:r>
    </w:p>
    <w:p w:rsidR="00C82B6B" w:rsidRPr="00854B58" w:rsidP="00C82B6B" w14:paraId="24ADEEF4" w14:textId="5E796DF1">
      <w:pPr>
        <w:spacing w:before="60"/>
        <w:jc w:val="right"/>
        <w:rPr>
          <w:b/>
          <w:sz w:val="24"/>
        </w:rPr>
      </w:pPr>
      <w:r>
        <w:rPr>
          <w:b/>
          <w:sz w:val="24"/>
        </w:rPr>
        <w:t xml:space="preserve">July </w:t>
      </w:r>
      <w:r w:rsidR="000C1F18">
        <w:rPr>
          <w:b/>
          <w:sz w:val="24"/>
        </w:rPr>
        <w:t>3</w:t>
      </w:r>
      <w:r w:rsidR="00031F12">
        <w:rPr>
          <w:b/>
          <w:sz w:val="24"/>
        </w:rPr>
        <w:t>, 2019</w:t>
      </w:r>
    </w:p>
    <w:p w:rsidR="00C82B6B" w:rsidRPr="00854B58" w:rsidP="00C82B6B" w14:paraId="3FB4DD8F" w14:textId="77777777">
      <w:pPr>
        <w:jc w:val="right"/>
        <w:rPr>
          <w:b/>
          <w:sz w:val="24"/>
        </w:rPr>
      </w:pPr>
    </w:p>
    <w:p w:rsidR="00C82B6B" w:rsidP="00C82B6B" w14:paraId="18A48567" w14:textId="77777777">
      <w:pPr>
        <w:spacing w:after="240"/>
        <w:jc w:val="center"/>
        <w:rPr>
          <w:b/>
          <w:sz w:val="24"/>
        </w:rPr>
      </w:pPr>
      <w:r w:rsidRPr="00195766">
        <w:rPr>
          <w:b/>
          <w:sz w:val="24"/>
          <w:szCs w:val="24"/>
        </w:rPr>
        <w:t xml:space="preserve">AUCTION OF </w:t>
      </w:r>
      <w:r>
        <w:rPr>
          <w:b/>
          <w:sz w:val="24"/>
          <w:szCs w:val="24"/>
        </w:rPr>
        <w:t xml:space="preserve">CROSS-SERVICE FM TRANSLATOR </w:t>
      </w:r>
      <w:r w:rsidRPr="00195766">
        <w:rPr>
          <w:b/>
          <w:sz w:val="24"/>
          <w:szCs w:val="24"/>
        </w:rPr>
        <w:t>CONSTRUCTION PERMITS CLOSES</w:t>
      </w:r>
    </w:p>
    <w:p w:rsidR="00C82B6B" w:rsidP="00C82B6B" w14:paraId="7A9E7AB5" w14:textId="5477633A">
      <w:pPr>
        <w:spacing w:after="240"/>
        <w:jc w:val="center"/>
        <w:rPr>
          <w:b/>
          <w:sz w:val="24"/>
        </w:rPr>
      </w:pPr>
      <w:r w:rsidRPr="00587053">
        <w:rPr>
          <w:b/>
          <w:sz w:val="24"/>
        </w:rPr>
        <w:t xml:space="preserve">WINNING BIDDERS ANNOUNCED FOR AUCTION </w:t>
      </w:r>
      <w:r w:rsidR="00031F12">
        <w:rPr>
          <w:b/>
          <w:sz w:val="24"/>
        </w:rPr>
        <w:t>100</w:t>
      </w:r>
    </w:p>
    <w:p w:rsidR="008B41DA" w:rsidRPr="00587053" w:rsidP="008B41DA" w14:paraId="2CD67E19" w14:textId="6A4A50DD">
      <w:pPr>
        <w:spacing w:before="120"/>
        <w:jc w:val="center"/>
        <w:rPr>
          <w:b/>
          <w:sz w:val="24"/>
        </w:rPr>
      </w:pPr>
      <w:r w:rsidRPr="00587053">
        <w:rPr>
          <w:b/>
          <w:sz w:val="24"/>
        </w:rPr>
        <w:t xml:space="preserve">Down Payments Due </w:t>
      </w:r>
      <w:r w:rsidR="00555843">
        <w:rPr>
          <w:b/>
          <w:sz w:val="24"/>
        </w:rPr>
        <w:t>July 18</w:t>
      </w:r>
      <w:r>
        <w:rPr>
          <w:b/>
          <w:sz w:val="24"/>
        </w:rPr>
        <w:t>, 201</w:t>
      </w:r>
      <w:r w:rsidR="00031F12">
        <w:rPr>
          <w:b/>
          <w:sz w:val="24"/>
        </w:rPr>
        <w:t>9</w:t>
      </w:r>
    </w:p>
    <w:p w:rsidR="008B41DA" w:rsidRPr="00587053" w:rsidP="008B41DA" w14:paraId="3BB040CD" w14:textId="51DD6430">
      <w:pPr>
        <w:jc w:val="center"/>
        <w:rPr>
          <w:b/>
          <w:sz w:val="24"/>
        </w:rPr>
      </w:pPr>
      <w:r w:rsidRPr="00587053">
        <w:rPr>
          <w:b/>
          <w:sz w:val="24"/>
        </w:rPr>
        <w:t xml:space="preserve">Final Payments Due </w:t>
      </w:r>
      <w:r w:rsidR="00555843">
        <w:rPr>
          <w:b/>
          <w:sz w:val="24"/>
        </w:rPr>
        <w:t>August 1</w:t>
      </w:r>
      <w:r>
        <w:rPr>
          <w:b/>
          <w:sz w:val="24"/>
        </w:rPr>
        <w:t>, 201</w:t>
      </w:r>
      <w:r w:rsidR="00031F12">
        <w:rPr>
          <w:b/>
          <w:sz w:val="24"/>
        </w:rPr>
        <w:t>9</w:t>
      </w:r>
    </w:p>
    <w:p w:rsidR="00C82B6B" w:rsidP="008B41DA" w14:paraId="73B2C964" w14:textId="43779822">
      <w:pPr>
        <w:jc w:val="center"/>
        <w:rPr>
          <w:b/>
          <w:sz w:val="24"/>
        </w:rPr>
      </w:pPr>
      <w:r w:rsidRPr="00587053">
        <w:rPr>
          <w:b/>
          <w:sz w:val="24"/>
        </w:rPr>
        <w:t xml:space="preserve">FCC Form </w:t>
      </w:r>
      <w:r>
        <w:rPr>
          <w:b/>
          <w:sz w:val="24"/>
        </w:rPr>
        <w:t>349</w:t>
      </w:r>
      <w:r w:rsidRPr="00587053">
        <w:rPr>
          <w:b/>
          <w:sz w:val="24"/>
        </w:rPr>
        <w:t xml:space="preserve"> </w:t>
      </w:r>
      <w:r w:rsidR="00062670">
        <w:rPr>
          <w:b/>
          <w:sz w:val="24"/>
        </w:rPr>
        <w:t>Due</w:t>
      </w:r>
      <w:r w:rsidRPr="00587053">
        <w:rPr>
          <w:b/>
          <w:sz w:val="24"/>
        </w:rPr>
        <w:t xml:space="preserve"> </w:t>
      </w:r>
      <w:r w:rsidR="00555843">
        <w:rPr>
          <w:b/>
          <w:sz w:val="24"/>
        </w:rPr>
        <w:t>August 2</w:t>
      </w:r>
      <w:r>
        <w:rPr>
          <w:b/>
          <w:sz w:val="24"/>
        </w:rPr>
        <w:t>, 201</w:t>
      </w:r>
      <w:r w:rsidR="00031F12">
        <w:rPr>
          <w:b/>
          <w:sz w:val="24"/>
        </w:rPr>
        <w:t>9</w:t>
      </w:r>
      <w:r w:rsidRPr="002F02D5" w:rsidR="002F02D5">
        <w:rPr>
          <w:b/>
          <w:sz w:val="24"/>
        </w:rPr>
        <w:t xml:space="preserve"> </w:t>
      </w:r>
    </w:p>
    <w:p w:rsidR="00C82B6B" w:rsidP="00C82B6B" w14:paraId="2CE50820" w14:textId="77777777">
      <w:pPr>
        <w:jc w:val="center"/>
        <w:rPr>
          <w:sz w:val="24"/>
        </w:rPr>
      </w:pPr>
    </w:p>
    <w:p w:rsidR="00BD497D" w:rsidRPr="00437DF4" w:rsidP="00BD497D" w14:paraId="697584C5" w14:textId="77777777">
      <w:pPr>
        <w:jc w:val="center"/>
        <w:rPr>
          <w:sz w:val="24"/>
        </w:rPr>
      </w:pPr>
      <w:r>
        <w:rPr>
          <w:sz w:val="24"/>
        </w:rPr>
        <w:t>AU Docket No. 17-329</w:t>
      </w:r>
    </w:p>
    <w:p w:rsidR="00BD497D" w:rsidP="00C82B6B" w14:paraId="5C736EE7" w14:textId="77777777">
      <w:pPr>
        <w:jc w:val="center"/>
        <w:rPr>
          <w:sz w:val="24"/>
        </w:rPr>
      </w:pPr>
    </w:p>
    <w:p w:rsidR="008B41DA" w:rsidRPr="00195766" w:rsidP="00E1457A" w14:paraId="629EFF06" w14:textId="77777777">
      <w:pPr>
        <w:pStyle w:val="Heading1"/>
      </w:pPr>
      <w:bookmarkStart w:id="0" w:name="start_here"/>
      <w:bookmarkEnd w:id="0"/>
      <w:r w:rsidRPr="00195766">
        <w:t>INTRODUCTION</w:t>
      </w:r>
    </w:p>
    <w:p w:rsidR="008B41DA" w:rsidRPr="00195766" w:rsidP="008B41DA" w14:paraId="08AA76F4" w14:textId="547E4988">
      <w:pPr>
        <w:pStyle w:val="ParaNum"/>
        <w:widowControl/>
      </w:pPr>
      <w:r w:rsidRPr="00205E83">
        <w:t xml:space="preserve">On </w:t>
      </w:r>
      <w:r w:rsidR="00F14BE4">
        <w:t>July</w:t>
      </w:r>
      <w:r w:rsidR="00AB3F73">
        <w:t xml:space="preserve"> </w:t>
      </w:r>
      <w:r w:rsidR="00C407DF">
        <w:t>1</w:t>
      </w:r>
      <w:r>
        <w:t>, 201</w:t>
      </w:r>
      <w:r w:rsidR="00031F12">
        <w:t>9</w:t>
      </w:r>
      <w:r w:rsidRPr="00205E83">
        <w:t xml:space="preserve">, </w:t>
      </w:r>
      <w:r>
        <w:t xml:space="preserve">bidding concluded in </w:t>
      </w:r>
      <w:r w:rsidR="002F02D5">
        <w:t xml:space="preserve">the Commission’s second </w:t>
      </w:r>
      <w:r w:rsidRPr="00195766">
        <w:t xml:space="preserve">auction of </w:t>
      </w:r>
      <w:r>
        <w:t>cross-service FM translator construction permits</w:t>
      </w:r>
      <w:r w:rsidRPr="00195766">
        <w:t xml:space="preserve">.  This auction, which was designated Auction </w:t>
      </w:r>
      <w:r w:rsidR="00031F12">
        <w:t>100</w:t>
      </w:r>
      <w:r w:rsidRPr="00195766">
        <w:t>, raised in net bids a total of $</w:t>
      </w:r>
      <w:r w:rsidR="00C407DF">
        <w:t>436</w:t>
      </w:r>
      <w:r>
        <w:t>,</w:t>
      </w:r>
      <w:r w:rsidR="00C407DF">
        <w:t>500</w:t>
      </w:r>
      <w:r>
        <w:t>,</w:t>
      </w:r>
      <w:r w:rsidRPr="00195766">
        <w:t xml:space="preserve"> with </w:t>
      </w:r>
      <w:r w:rsidR="00C407DF">
        <w:t>11</w:t>
      </w:r>
      <w:r w:rsidRPr="00195766" w:rsidR="00031F12">
        <w:t xml:space="preserve"> </w:t>
      </w:r>
      <w:r w:rsidRPr="00195766">
        <w:t>bidder</w:t>
      </w:r>
      <w:r>
        <w:t>s</w:t>
      </w:r>
      <w:r w:rsidRPr="00195766">
        <w:t xml:space="preserve"> winning </w:t>
      </w:r>
      <w:r>
        <w:t xml:space="preserve">a total of </w:t>
      </w:r>
      <w:r w:rsidR="002F02D5">
        <w:t>11</w:t>
      </w:r>
      <w:r w:rsidRPr="00195766">
        <w:t xml:space="preserve"> construction permits.  </w:t>
      </w:r>
    </w:p>
    <w:p w:rsidR="008B41DA" w:rsidRPr="00195766" w:rsidP="008B41DA" w14:paraId="0EA22617" w14:textId="77777777">
      <w:pPr>
        <w:pStyle w:val="Heading1"/>
        <w:widowControl/>
        <w:tabs>
          <w:tab w:val="num" w:pos="720"/>
        </w:tabs>
      </w:pPr>
      <w:r>
        <w:t>A</w:t>
      </w:r>
      <w:r w:rsidRPr="00195766">
        <w:t>UCTION RESULTS</w:t>
      </w:r>
    </w:p>
    <w:p w:rsidR="008B41DA" w:rsidRPr="00195766" w:rsidP="008B41DA" w14:paraId="7D9C03B6" w14:textId="6BD206E1">
      <w:pPr>
        <w:pStyle w:val="ParaNum"/>
        <w:widowControl/>
      </w:pPr>
      <w:r>
        <w:t>In t</w:t>
      </w:r>
      <w:r w:rsidRPr="00195766">
        <w:t>his Public Notice</w:t>
      </w:r>
      <w:r>
        <w:t>, the Office of Economics and Analytics (OEA), in conjunction with the Media Bureau (MB),</w:t>
      </w:r>
      <w:r w:rsidRPr="00195766">
        <w:t xml:space="preserve"> provides detailed information concerning winning bidder</w:t>
      </w:r>
      <w:r>
        <w:t>s</w:t>
      </w:r>
      <w:r w:rsidRPr="00195766">
        <w:t>, down payments, final payments</w:t>
      </w:r>
      <w:r>
        <w:t>,</w:t>
      </w:r>
      <w:r w:rsidRPr="00195766">
        <w:t xml:space="preserve"> refunds, long-form application (FCC Form </w:t>
      </w:r>
      <w:r>
        <w:t>349</w:t>
      </w:r>
      <w:r w:rsidRPr="00195766">
        <w:t xml:space="preserve">) filing requirements, and </w:t>
      </w:r>
      <w:r w:rsidR="00A51C30">
        <w:t>other post-auction procedures</w:t>
      </w:r>
      <w:r w:rsidRPr="00195766">
        <w:t xml:space="preserve">.  </w:t>
      </w:r>
    </w:p>
    <w:p w:rsidR="008B41DA" w:rsidP="008B41DA" w14:paraId="654768A2" w14:textId="76EF3834">
      <w:pPr>
        <w:pStyle w:val="ParaNum"/>
        <w:widowControl/>
      </w:pPr>
      <w:r>
        <w:t xml:space="preserve">Attachment A to this Public Notice </w:t>
      </w:r>
      <w:r w:rsidRPr="00DF16F5">
        <w:rPr>
          <w:szCs w:val="22"/>
        </w:rPr>
        <w:t xml:space="preserve">lists each winning bidder and </w:t>
      </w:r>
      <w:r w:rsidR="002F02D5">
        <w:rPr>
          <w:szCs w:val="22"/>
        </w:rPr>
        <w:t>the amount of</w:t>
      </w:r>
      <w:r w:rsidRPr="00DF16F5" w:rsidR="002F02D5">
        <w:rPr>
          <w:szCs w:val="22"/>
        </w:rPr>
        <w:t xml:space="preserve"> </w:t>
      </w:r>
      <w:r w:rsidRPr="00DF16F5">
        <w:rPr>
          <w:szCs w:val="22"/>
        </w:rPr>
        <w:t xml:space="preserve">its winning bid </w:t>
      </w:r>
      <w:r w:rsidR="002F02D5">
        <w:rPr>
          <w:szCs w:val="22"/>
        </w:rPr>
        <w:t>for each permit</w:t>
      </w:r>
      <w:r>
        <w:t>.</w:t>
      </w:r>
      <w:r>
        <w:rPr>
          <w:rStyle w:val="FootnoteReference"/>
        </w:rPr>
        <w:footnoteReference w:id="3"/>
      </w:r>
      <w:r>
        <w:t xml:space="preserve">  The columns are headed with labels briefly describing the information provided.  The table is sorted by permit in the first column.  For each permit, Attachment A provides the following information under each respective header:</w:t>
      </w:r>
    </w:p>
    <w:p w:rsidR="008B41DA" w:rsidP="008B41DA" w14:paraId="7F85F114" w14:textId="77777777">
      <w:pPr>
        <w:numPr>
          <w:ilvl w:val="0"/>
          <w:numId w:val="7"/>
        </w:numPr>
        <w:spacing w:after="120"/>
        <w:ind w:left="1440"/>
        <w:rPr>
          <w:szCs w:val="22"/>
        </w:rPr>
      </w:pPr>
      <w:r>
        <w:rPr>
          <w:szCs w:val="22"/>
        </w:rPr>
        <w:t xml:space="preserve">Permit </w:t>
      </w:r>
    </w:p>
    <w:p w:rsidR="008B41DA" w:rsidP="008B41DA" w14:paraId="507E917D" w14:textId="77777777">
      <w:pPr>
        <w:numPr>
          <w:ilvl w:val="0"/>
          <w:numId w:val="7"/>
        </w:numPr>
        <w:spacing w:after="120"/>
        <w:ind w:left="1440"/>
        <w:rPr>
          <w:szCs w:val="22"/>
        </w:rPr>
      </w:pPr>
      <w:r>
        <w:rPr>
          <w:szCs w:val="22"/>
        </w:rPr>
        <w:t xml:space="preserve">Permit Description </w:t>
      </w:r>
    </w:p>
    <w:p w:rsidR="008B41DA" w:rsidP="008B41DA" w14:paraId="22A040C1" w14:textId="77777777">
      <w:pPr>
        <w:numPr>
          <w:ilvl w:val="0"/>
          <w:numId w:val="7"/>
        </w:numPr>
        <w:spacing w:after="120"/>
        <w:ind w:left="1440"/>
        <w:rPr>
          <w:szCs w:val="22"/>
        </w:rPr>
      </w:pPr>
      <w:r>
        <w:rPr>
          <w:szCs w:val="22"/>
        </w:rPr>
        <w:t>Bid Round Number</w:t>
      </w:r>
    </w:p>
    <w:p w:rsidR="008B41DA" w:rsidP="008B41DA" w14:paraId="78E0E581" w14:textId="77777777">
      <w:pPr>
        <w:numPr>
          <w:ilvl w:val="0"/>
          <w:numId w:val="7"/>
        </w:numPr>
        <w:spacing w:after="120"/>
        <w:ind w:left="1440"/>
        <w:rPr>
          <w:szCs w:val="22"/>
        </w:rPr>
      </w:pPr>
      <w:r>
        <w:rPr>
          <w:szCs w:val="22"/>
        </w:rPr>
        <w:t>Bidder Name</w:t>
      </w:r>
    </w:p>
    <w:p w:rsidR="008B41DA" w:rsidP="008B41DA" w14:paraId="66D18B4F" w14:textId="77777777">
      <w:pPr>
        <w:numPr>
          <w:ilvl w:val="0"/>
          <w:numId w:val="7"/>
        </w:numPr>
        <w:spacing w:after="120"/>
        <w:ind w:left="1440"/>
        <w:rPr>
          <w:szCs w:val="22"/>
        </w:rPr>
      </w:pPr>
      <w:r>
        <w:rPr>
          <w:szCs w:val="22"/>
        </w:rPr>
        <w:t>FRN (bidder’s FCC Registration Number)</w:t>
      </w:r>
    </w:p>
    <w:p w:rsidR="008B41DA" w:rsidP="00D96CA8" w14:paraId="0FDA42DF" w14:textId="77777777">
      <w:pPr>
        <w:keepNext/>
        <w:numPr>
          <w:ilvl w:val="0"/>
          <w:numId w:val="7"/>
        </w:numPr>
        <w:spacing w:after="120"/>
        <w:ind w:left="1440"/>
        <w:rPr>
          <w:szCs w:val="22"/>
        </w:rPr>
      </w:pPr>
      <w:r>
        <w:rPr>
          <w:szCs w:val="22"/>
        </w:rPr>
        <w:t>Winni</w:t>
      </w:r>
      <w:bookmarkStart w:id="1" w:name="_GoBack"/>
      <w:bookmarkEnd w:id="1"/>
      <w:r>
        <w:rPr>
          <w:szCs w:val="22"/>
        </w:rPr>
        <w:t>ng Bid Amount</w:t>
      </w:r>
    </w:p>
    <w:p w:rsidR="008B41DA" w:rsidRPr="00EA5A76" w:rsidP="008B41DA" w14:paraId="43443170" w14:textId="77777777">
      <w:pPr>
        <w:numPr>
          <w:ilvl w:val="0"/>
          <w:numId w:val="7"/>
        </w:numPr>
        <w:spacing w:after="120"/>
        <w:ind w:left="1440"/>
        <w:rPr>
          <w:szCs w:val="22"/>
        </w:rPr>
      </w:pPr>
      <w:r>
        <w:rPr>
          <w:szCs w:val="22"/>
        </w:rPr>
        <w:t>Net Winning Bid Amount</w:t>
      </w:r>
      <w:r w:rsidRPr="00EA5A76">
        <w:rPr>
          <w:szCs w:val="22"/>
        </w:rPr>
        <w:t xml:space="preserve"> </w:t>
      </w:r>
    </w:p>
    <w:p w:rsidR="008B41DA" w:rsidP="008B41DA" w14:paraId="2A297A05" w14:textId="2E07DF78">
      <w:pPr>
        <w:pStyle w:val="ParaNum"/>
        <w:widowControl/>
      </w:pPr>
      <w:r>
        <w:t xml:space="preserve">Attachment B to this Public Notice </w:t>
      </w:r>
      <w:r w:rsidRPr="00D94B7E">
        <w:rPr>
          <w:szCs w:val="22"/>
        </w:rPr>
        <w:t>lists</w:t>
      </w:r>
      <w:r w:rsidR="00C93BAB">
        <w:t>,</w:t>
      </w:r>
      <w:r w:rsidRPr="00D94B7E">
        <w:rPr>
          <w:szCs w:val="22"/>
        </w:rPr>
        <w:t xml:space="preserve"> for each qualified bidder</w:t>
      </w:r>
      <w:r w:rsidR="002F02D5">
        <w:rPr>
          <w:szCs w:val="22"/>
        </w:rPr>
        <w:t>, information about bidder’s</w:t>
      </w:r>
      <w:r w:rsidRPr="00D94B7E">
        <w:rPr>
          <w:szCs w:val="22"/>
        </w:rPr>
        <w:t xml:space="preserve"> upfront payment and post-auction payments or refund</w:t>
      </w:r>
      <w:r w:rsidR="002F02D5">
        <w:rPr>
          <w:szCs w:val="22"/>
        </w:rPr>
        <w:t>, as applicable.</w:t>
      </w:r>
      <w:r>
        <w:t xml:space="preserve">  Each column in the table is headed with a label briefly identifying the information provided.  Specifically, for each bidder, the columns in Attachment B provide the following information under each respective header, sorted by bidder name: </w:t>
      </w:r>
    </w:p>
    <w:p w:rsidR="008B41DA" w:rsidP="008B41DA" w14:paraId="143ACD9D" w14:textId="77777777">
      <w:pPr>
        <w:numPr>
          <w:ilvl w:val="0"/>
          <w:numId w:val="7"/>
        </w:numPr>
        <w:spacing w:after="120"/>
        <w:ind w:left="1440"/>
        <w:rPr>
          <w:szCs w:val="22"/>
        </w:rPr>
      </w:pPr>
      <w:r>
        <w:rPr>
          <w:szCs w:val="22"/>
        </w:rPr>
        <w:t xml:space="preserve">Bidder Name </w:t>
      </w:r>
    </w:p>
    <w:p w:rsidR="008B41DA" w:rsidP="008B41DA" w14:paraId="2EEEB190" w14:textId="77777777">
      <w:pPr>
        <w:numPr>
          <w:ilvl w:val="0"/>
          <w:numId w:val="7"/>
        </w:numPr>
        <w:spacing w:after="120"/>
        <w:ind w:left="1440"/>
        <w:rPr>
          <w:szCs w:val="22"/>
        </w:rPr>
      </w:pPr>
      <w:r>
        <w:rPr>
          <w:szCs w:val="22"/>
        </w:rPr>
        <w:t>FRN (bidder’s FCC Registration Number)</w:t>
      </w:r>
    </w:p>
    <w:p w:rsidR="008B41DA" w:rsidP="008B41DA" w14:paraId="161EBDA1" w14:textId="77777777">
      <w:pPr>
        <w:numPr>
          <w:ilvl w:val="0"/>
          <w:numId w:val="7"/>
        </w:numPr>
        <w:spacing w:after="120"/>
        <w:ind w:left="1440"/>
        <w:rPr>
          <w:szCs w:val="22"/>
        </w:rPr>
      </w:pPr>
      <w:r>
        <w:rPr>
          <w:szCs w:val="22"/>
        </w:rPr>
        <w:t xml:space="preserve">Upfront Payment Amount </w:t>
      </w:r>
    </w:p>
    <w:p w:rsidR="008B41DA" w:rsidP="008B41DA" w14:paraId="345D7493" w14:textId="34ABFE21">
      <w:pPr>
        <w:numPr>
          <w:ilvl w:val="0"/>
          <w:numId w:val="7"/>
        </w:numPr>
        <w:spacing w:after="120"/>
        <w:ind w:left="1440"/>
        <w:rPr>
          <w:szCs w:val="22"/>
        </w:rPr>
      </w:pPr>
      <w:r>
        <w:rPr>
          <w:szCs w:val="22"/>
        </w:rPr>
        <w:t xml:space="preserve">Total Withdrawal Payment Amount (not applicable in Auction </w:t>
      </w:r>
      <w:r w:rsidR="00031F12">
        <w:rPr>
          <w:szCs w:val="22"/>
        </w:rPr>
        <w:t>100</w:t>
      </w:r>
      <w:r>
        <w:rPr>
          <w:szCs w:val="22"/>
        </w:rPr>
        <w:t>)</w:t>
      </w:r>
      <w:r>
        <w:rPr>
          <w:rStyle w:val="FootnoteReference"/>
          <w:szCs w:val="22"/>
        </w:rPr>
        <w:footnoteReference w:id="4"/>
      </w:r>
    </w:p>
    <w:p w:rsidR="008B41DA" w:rsidP="008B41DA" w14:paraId="004DEFE4" w14:textId="77777777">
      <w:pPr>
        <w:numPr>
          <w:ilvl w:val="0"/>
          <w:numId w:val="7"/>
        </w:numPr>
        <w:spacing w:after="120"/>
        <w:ind w:left="1440"/>
        <w:rPr>
          <w:szCs w:val="22"/>
        </w:rPr>
      </w:pPr>
      <w:r>
        <w:rPr>
          <w:szCs w:val="22"/>
        </w:rPr>
        <w:t>Upfront Payment Balance Remaining</w:t>
      </w:r>
    </w:p>
    <w:p w:rsidR="008B41DA" w:rsidP="008B41DA" w14:paraId="48F8B20E" w14:textId="77777777">
      <w:pPr>
        <w:numPr>
          <w:ilvl w:val="0"/>
          <w:numId w:val="7"/>
        </w:numPr>
        <w:spacing w:after="120"/>
        <w:ind w:left="1440"/>
        <w:rPr>
          <w:szCs w:val="22"/>
        </w:rPr>
      </w:pPr>
      <w:r>
        <w:rPr>
          <w:szCs w:val="22"/>
        </w:rPr>
        <w:t xml:space="preserve">Total Winning Bid Net Amount </w:t>
      </w:r>
    </w:p>
    <w:p w:rsidR="008B41DA" w:rsidP="008B41DA" w14:paraId="07D38DB8" w14:textId="65B57858">
      <w:pPr>
        <w:numPr>
          <w:ilvl w:val="0"/>
          <w:numId w:val="7"/>
        </w:numPr>
        <w:spacing w:after="120"/>
        <w:ind w:left="1440"/>
        <w:rPr>
          <w:szCs w:val="22"/>
        </w:rPr>
      </w:pPr>
      <w:r>
        <w:rPr>
          <w:szCs w:val="22"/>
        </w:rPr>
        <w:t>Down Payment Amount (20% of Net Winning Bid</w:t>
      </w:r>
      <w:r w:rsidR="002F02D5">
        <w:rPr>
          <w:szCs w:val="22"/>
        </w:rPr>
        <w:t>s</w:t>
      </w:r>
      <w:r>
        <w:rPr>
          <w:szCs w:val="22"/>
        </w:rPr>
        <w:t>)</w:t>
      </w:r>
    </w:p>
    <w:p w:rsidR="008B41DA" w:rsidP="008B41DA" w14:paraId="59F08A68" w14:textId="6C173A04">
      <w:pPr>
        <w:numPr>
          <w:ilvl w:val="0"/>
          <w:numId w:val="7"/>
        </w:numPr>
        <w:spacing w:after="120"/>
        <w:ind w:left="1440"/>
        <w:rPr>
          <w:szCs w:val="22"/>
        </w:rPr>
      </w:pPr>
      <w:r>
        <w:rPr>
          <w:szCs w:val="22"/>
        </w:rPr>
        <w:t xml:space="preserve">Additional Amount Due After Upfront Payment Balance Applied Due by </w:t>
      </w:r>
      <w:r w:rsidR="00555843">
        <w:t>July 18</w:t>
      </w:r>
      <w:r>
        <w:rPr>
          <w:szCs w:val="22"/>
        </w:rPr>
        <w:t>, 201</w:t>
      </w:r>
      <w:r w:rsidR="00031F12">
        <w:rPr>
          <w:szCs w:val="22"/>
        </w:rPr>
        <w:t>9</w:t>
      </w:r>
    </w:p>
    <w:p w:rsidR="008B41DA" w:rsidP="008B41DA" w14:paraId="7BFAAB51" w14:textId="7DD6AD7E">
      <w:pPr>
        <w:numPr>
          <w:ilvl w:val="0"/>
          <w:numId w:val="7"/>
        </w:numPr>
        <w:spacing w:after="120"/>
        <w:ind w:left="1440"/>
        <w:rPr>
          <w:szCs w:val="22"/>
        </w:rPr>
      </w:pPr>
      <w:r>
        <w:rPr>
          <w:szCs w:val="22"/>
        </w:rPr>
        <w:t>Final Payment Amount (80% of Net Winning Bid</w:t>
      </w:r>
      <w:r w:rsidR="002F02D5">
        <w:rPr>
          <w:szCs w:val="22"/>
        </w:rPr>
        <w:t>s</w:t>
      </w:r>
      <w:r>
        <w:rPr>
          <w:szCs w:val="22"/>
        </w:rPr>
        <w:t>)</w:t>
      </w:r>
    </w:p>
    <w:p w:rsidR="008B41DA" w:rsidRPr="00D120B4" w:rsidP="008B41DA" w14:paraId="5A8B4613" w14:textId="3BB61668">
      <w:pPr>
        <w:widowControl/>
        <w:numPr>
          <w:ilvl w:val="0"/>
          <w:numId w:val="7"/>
        </w:numPr>
        <w:spacing w:after="120"/>
        <w:ind w:left="1440"/>
        <w:rPr>
          <w:b/>
        </w:rPr>
      </w:pPr>
      <w:r w:rsidRPr="00D120B4">
        <w:rPr>
          <w:szCs w:val="22"/>
        </w:rPr>
        <w:t xml:space="preserve">Final Balance Due by </w:t>
      </w:r>
      <w:r w:rsidR="00555843">
        <w:rPr>
          <w:szCs w:val="22"/>
        </w:rPr>
        <w:t>August</w:t>
      </w:r>
      <w:r w:rsidRPr="00D120B4" w:rsidR="00555843">
        <w:rPr>
          <w:szCs w:val="22"/>
        </w:rPr>
        <w:t xml:space="preserve"> </w:t>
      </w:r>
      <w:r w:rsidR="00555843">
        <w:rPr>
          <w:szCs w:val="22"/>
        </w:rPr>
        <w:t>1</w:t>
      </w:r>
      <w:r w:rsidRPr="00D120B4">
        <w:rPr>
          <w:szCs w:val="22"/>
        </w:rPr>
        <w:t>, 201</w:t>
      </w:r>
      <w:r w:rsidR="00031F12">
        <w:rPr>
          <w:szCs w:val="22"/>
        </w:rPr>
        <w:t>9</w:t>
      </w:r>
      <w:r w:rsidRPr="00D120B4">
        <w:rPr>
          <w:szCs w:val="22"/>
        </w:rPr>
        <w:t xml:space="preserve"> or (Refund) (the Net </w:t>
      </w:r>
      <w:r w:rsidR="00601160">
        <w:rPr>
          <w:szCs w:val="22"/>
        </w:rPr>
        <w:t>Winning Bid</w:t>
      </w:r>
      <w:r w:rsidRPr="0031504D">
        <w:rPr>
          <w:szCs w:val="22"/>
        </w:rPr>
        <w:t xml:space="preserve">, minus the Upfront Payment Amount and any Additional Amount Due After Upfront Payment </w:t>
      </w:r>
      <w:r>
        <w:rPr>
          <w:szCs w:val="22"/>
        </w:rPr>
        <w:t xml:space="preserve">Balance </w:t>
      </w:r>
      <w:r w:rsidRPr="0031504D">
        <w:rPr>
          <w:szCs w:val="22"/>
        </w:rPr>
        <w:t>Applied</w:t>
      </w:r>
      <w:r w:rsidRPr="00FA7563">
        <w:rPr>
          <w:szCs w:val="22"/>
        </w:rPr>
        <w:t>)</w:t>
      </w:r>
      <w:r>
        <w:rPr>
          <w:rStyle w:val="FootnoteReference"/>
        </w:rPr>
        <w:footnoteReference w:id="5"/>
      </w:r>
    </w:p>
    <w:p w:rsidR="008B41DA" w:rsidP="008B41DA" w14:paraId="2C0C264A" w14:textId="77777777">
      <w:pPr>
        <w:widowControl/>
        <w:spacing w:after="120"/>
      </w:pPr>
      <w:r w:rsidRPr="00545F16">
        <w:t xml:space="preserve">A copy of this </w:t>
      </w:r>
      <w:r>
        <w:t>P</w:t>
      </w:r>
      <w:r w:rsidRPr="00E93129">
        <w:t xml:space="preserve">ublic </w:t>
      </w:r>
      <w:r>
        <w:t>N</w:t>
      </w:r>
      <w:r w:rsidRPr="00E93129">
        <w:t>otice</w:t>
      </w:r>
      <w:r w:rsidRPr="00545F16">
        <w:t xml:space="preserve"> will be sent via overnight delivery to each </w:t>
      </w:r>
      <w:r>
        <w:t>qualified</w:t>
      </w:r>
      <w:r w:rsidRPr="00545F16">
        <w:t xml:space="preserve"> bidder.</w:t>
      </w:r>
    </w:p>
    <w:p w:rsidR="008B41DA" w:rsidRPr="00195766" w:rsidP="008B41DA" w14:paraId="6925A11F" w14:textId="0118AE14">
      <w:pPr>
        <w:pStyle w:val="Heading1"/>
        <w:widowControl/>
        <w:tabs>
          <w:tab w:val="num" w:pos="720"/>
        </w:tabs>
      </w:pPr>
      <w:r w:rsidRPr="00195766">
        <w:t xml:space="preserve">POST-AUCTION </w:t>
      </w:r>
      <w:r w:rsidR="00407789">
        <w:t xml:space="preserve">Deadlines and </w:t>
      </w:r>
      <w:r w:rsidRPr="00195766">
        <w:t>PROCEDURES</w:t>
      </w:r>
    </w:p>
    <w:p w:rsidR="008B41DA" w:rsidRPr="00195766" w:rsidP="008B41DA" w14:paraId="63A323F6" w14:textId="12595B61">
      <w:pPr>
        <w:pStyle w:val="Heading2"/>
        <w:keepLines/>
        <w:widowControl/>
      </w:pPr>
      <w:r w:rsidRPr="00195766">
        <w:t>Down Payments</w:t>
      </w:r>
      <w:r w:rsidR="002F02D5">
        <w:t xml:space="preserve"> – Due By </w:t>
      </w:r>
      <w:r w:rsidRPr="00226613" w:rsidR="002F02D5">
        <w:t xml:space="preserve">6:00 p.m. Eastern Time (ET) </w:t>
      </w:r>
      <w:r w:rsidRPr="00834FB6" w:rsidR="002F02D5">
        <w:t xml:space="preserve">on </w:t>
      </w:r>
      <w:r w:rsidR="00F14BE4">
        <w:rPr>
          <w:szCs w:val="22"/>
        </w:rPr>
        <w:t>July 18</w:t>
      </w:r>
      <w:r w:rsidR="002F02D5">
        <w:rPr>
          <w:szCs w:val="22"/>
        </w:rPr>
        <w:t>, 2019</w:t>
      </w:r>
    </w:p>
    <w:p w:rsidR="008B41DA" w:rsidRPr="00226613" w:rsidP="008B41DA" w14:paraId="04A77E52" w14:textId="4599EE27">
      <w:pPr>
        <w:pStyle w:val="ParaNum"/>
        <w:widowControl/>
      </w:pPr>
      <w:r w:rsidRPr="00195766">
        <w:t xml:space="preserve">The Commission’s rules require that </w:t>
      </w:r>
      <w:r>
        <w:t xml:space="preserve">within 10 business days after the release of this Public Notice, </w:t>
      </w:r>
      <w:r w:rsidRPr="00226613">
        <w:t xml:space="preserve">in this case by </w:t>
      </w:r>
      <w:r w:rsidRPr="00226613">
        <w:rPr>
          <w:b/>
        </w:rPr>
        <w:t xml:space="preserve">6:00 p.m. Eastern Time (ET) </w:t>
      </w:r>
      <w:r w:rsidRPr="00834FB6">
        <w:rPr>
          <w:b/>
        </w:rPr>
        <w:t xml:space="preserve">on </w:t>
      </w:r>
      <w:r w:rsidR="00555843">
        <w:rPr>
          <w:b/>
          <w:szCs w:val="22"/>
        </w:rPr>
        <w:t>July 18</w:t>
      </w:r>
      <w:r>
        <w:rPr>
          <w:b/>
          <w:szCs w:val="22"/>
        </w:rPr>
        <w:t>, 201</w:t>
      </w:r>
      <w:r w:rsidR="00031F12">
        <w:rPr>
          <w:b/>
          <w:szCs w:val="22"/>
        </w:rPr>
        <w:t>9</w:t>
      </w:r>
      <w:r w:rsidRPr="00834FB6">
        <w:rPr>
          <w:szCs w:val="22"/>
        </w:rPr>
        <w:t>, each</w:t>
      </w:r>
      <w:r>
        <w:rPr>
          <w:szCs w:val="22"/>
        </w:rPr>
        <w:t xml:space="preserve"> winning bidder in Auction </w:t>
      </w:r>
      <w:r w:rsidR="00031F12">
        <w:rPr>
          <w:szCs w:val="22"/>
        </w:rPr>
        <w:t xml:space="preserve">100 </w:t>
      </w:r>
      <w:r>
        <w:rPr>
          <w:szCs w:val="22"/>
        </w:rPr>
        <w:t>must have on deposit with the Commission enough funds to cover the down payment on its winning bid(s)</w:t>
      </w:r>
      <w:r w:rsidRPr="00226613">
        <w:t>.</w:t>
      </w:r>
      <w:r>
        <w:rPr>
          <w:rStyle w:val="FootnoteReference"/>
        </w:rPr>
        <w:footnoteReference w:id="6"/>
      </w:r>
      <w:r w:rsidRPr="00226613">
        <w:t xml:space="preserve">  Specifically, each winning bidder’s total </w:t>
      </w:r>
      <w:r>
        <w:t xml:space="preserve">amount on </w:t>
      </w:r>
      <w:r w:rsidRPr="00226613">
        <w:t xml:space="preserve">deposit must be </w:t>
      </w:r>
      <w:r>
        <w:t>20</w:t>
      </w:r>
      <w:r w:rsidR="00031F12">
        <w:t>%</w:t>
      </w:r>
      <w:r w:rsidRPr="00226613">
        <w:t xml:space="preserve"> of the aggregate net amount of its winning bid.  </w:t>
      </w:r>
      <w:r>
        <w:t xml:space="preserve">Each </w:t>
      </w:r>
      <w:r w:rsidRPr="00226613">
        <w:t>winning bidder</w:t>
      </w:r>
      <w:r>
        <w:t xml:space="preserve"> whose</w:t>
      </w:r>
      <w:r w:rsidRPr="00226613">
        <w:t xml:space="preserve"> upfront payment is not sufficient to meet this requirement</w:t>
      </w:r>
      <w:r>
        <w:t xml:space="preserve"> must deposit </w:t>
      </w:r>
      <w:r w:rsidRPr="00226613">
        <w:t>additional funds to meet its required down payment.</w:t>
      </w:r>
      <w:r>
        <w:rPr>
          <w:rStyle w:val="FootnoteReference"/>
        </w:rPr>
        <w:footnoteReference w:id="7"/>
      </w:r>
    </w:p>
    <w:p w:rsidR="008B41DA" w:rsidRPr="00226613" w:rsidP="008B41DA" w14:paraId="28A5BD1F" w14:textId="2B8BC292">
      <w:pPr>
        <w:pStyle w:val="ParaNum"/>
        <w:widowControl/>
      </w:pPr>
      <w:r>
        <w:t>All down payments must be made by wire transfer as instructed in this Public Notice.</w:t>
      </w:r>
      <w:r>
        <w:rPr>
          <w:rStyle w:val="FootnoteReference"/>
        </w:rPr>
        <w:footnoteReference w:id="8"/>
      </w:r>
      <w:r>
        <w:t xml:space="preserve">  W</w:t>
      </w:r>
      <w:r w:rsidRPr="00226613">
        <w:t>ire transfers for down payment</w:t>
      </w:r>
      <w:r>
        <w:t>s</w:t>
      </w:r>
      <w:r w:rsidRPr="00226613">
        <w:t xml:space="preserve"> must be received </w:t>
      </w:r>
      <w:r>
        <w:t xml:space="preserve">in the Commission’s account at the U.S. Treasury </w:t>
      </w:r>
      <w:r w:rsidRPr="00226613">
        <w:t xml:space="preserve">by </w:t>
      </w:r>
      <w:r w:rsidRPr="00226613">
        <w:rPr>
          <w:b/>
        </w:rPr>
        <w:t xml:space="preserve">6:00 p.m. ET on </w:t>
      </w:r>
      <w:r w:rsidR="00555843">
        <w:rPr>
          <w:b/>
          <w:szCs w:val="22"/>
        </w:rPr>
        <w:t>July 18</w:t>
      </w:r>
      <w:r>
        <w:rPr>
          <w:b/>
          <w:szCs w:val="22"/>
        </w:rPr>
        <w:t>, 2019</w:t>
      </w:r>
      <w:r w:rsidRPr="00834FB6">
        <w:t xml:space="preserve">.  </w:t>
      </w:r>
      <w:r w:rsidRPr="00226613">
        <w:t xml:space="preserve">The </w:t>
      </w:r>
      <w:r w:rsidR="001C036A">
        <w:t xml:space="preserve">down payment </w:t>
      </w:r>
      <w:r w:rsidRPr="00226613">
        <w:t xml:space="preserve">amount due from each winning bidder, if any, is set </w:t>
      </w:r>
      <w:r w:rsidRPr="00226613">
        <w:t xml:space="preserve">out in the “Additional Amount Due after Upfront Payment Balance Applied Due </w:t>
      </w:r>
      <w:r w:rsidRPr="00834FB6">
        <w:t xml:space="preserve">by </w:t>
      </w:r>
      <w:r w:rsidR="00555843">
        <w:rPr>
          <w:szCs w:val="22"/>
        </w:rPr>
        <w:t>July 18</w:t>
      </w:r>
      <w:r>
        <w:rPr>
          <w:szCs w:val="22"/>
        </w:rPr>
        <w:t>, 201</w:t>
      </w:r>
      <w:r w:rsidR="004200F4">
        <w:rPr>
          <w:szCs w:val="22"/>
        </w:rPr>
        <w:t>9</w:t>
      </w:r>
      <w:r w:rsidRPr="00834FB6">
        <w:t>” column of</w:t>
      </w:r>
      <w:r w:rsidRPr="00226613">
        <w:t xml:space="preserve"> Attachment B.  Note that a</w:t>
      </w:r>
      <w:r>
        <w:t>n additional</w:t>
      </w:r>
      <w:r w:rsidRPr="00226613">
        <w:t xml:space="preserve"> payment </w:t>
      </w:r>
      <w:r>
        <w:t>toward the down payment due is</w:t>
      </w:r>
      <w:r w:rsidRPr="00226613">
        <w:t xml:space="preserve"> necessary only if a winning bidder’s upfront payment does not cover the required total down payment (as reflected in Attachment B).</w:t>
      </w:r>
    </w:p>
    <w:p w:rsidR="008B41DA" w:rsidRPr="00195766" w:rsidP="008B41DA" w14:paraId="795523FA" w14:textId="3A7D3780">
      <w:pPr>
        <w:pStyle w:val="ParaNum"/>
        <w:widowControl/>
      </w:pPr>
      <w:r w:rsidRPr="00834FB6">
        <w:t>If a winning</w:t>
      </w:r>
      <w:r>
        <w:t xml:space="preserve"> bidder fails </w:t>
      </w:r>
      <w:r w:rsidR="00601160">
        <w:t>timely to tender its down payment as described in Section III.C. below</w:t>
      </w:r>
      <w:r w:rsidRPr="00226613">
        <w:t xml:space="preserve">, </w:t>
      </w:r>
      <w:r w:rsidR="00787E4C">
        <w:t xml:space="preserve">so that it is received </w:t>
      </w:r>
      <w:r w:rsidRPr="00226613">
        <w:t xml:space="preserve">by 6:00 p.m. ET </w:t>
      </w:r>
      <w:r w:rsidRPr="00834FB6">
        <w:t xml:space="preserve">on </w:t>
      </w:r>
      <w:r w:rsidR="00555843">
        <w:rPr>
          <w:szCs w:val="22"/>
        </w:rPr>
        <w:t>July 18</w:t>
      </w:r>
      <w:r>
        <w:rPr>
          <w:szCs w:val="22"/>
        </w:rPr>
        <w:t>, 201</w:t>
      </w:r>
      <w:r w:rsidR="0041652C">
        <w:rPr>
          <w:szCs w:val="22"/>
        </w:rPr>
        <w:t>9</w:t>
      </w:r>
      <w:r w:rsidRPr="00834FB6">
        <w:t>, it will be in</w:t>
      </w:r>
      <w:r w:rsidRPr="00195766">
        <w:t xml:space="preserve"> default.</w:t>
      </w:r>
      <w:r>
        <w:rPr>
          <w:rStyle w:val="FootnoteReference"/>
        </w:rPr>
        <w:footnoteReference w:id="9"/>
      </w:r>
      <w:r w:rsidRPr="00195766">
        <w:t xml:space="preserve"> </w:t>
      </w:r>
    </w:p>
    <w:p w:rsidR="008B41DA" w:rsidRPr="00195766" w:rsidP="008B41DA" w14:paraId="5252263B" w14:textId="1A349C2E">
      <w:pPr>
        <w:pStyle w:val="Heading2"/>
        <w:keepLines/>
        <w:widowControl/>
      </w:pPr>
      <w:r w:rsidRPr="00195766">
        <w:t>Final Payments</w:t>
      </w:r>
      <w:r w:rsidR="002F02D5">
        <w:t xml:space="preserve"> – Due By </w:t>
      </w:r>
      <w:r w:rsidRPr="00226613" w:rsidR="002F02D5">
        <w:t xml:space="preserve">6:00 p.m. Eastern Time (ET) </w:t>
      </w:r>
      <w:r w:rsidRPr="00834FB6" w:rsidR="002F02D5">
        <w:t xml:space="preserve">on </w:t>
      </w:r>
      <w:r w:rsidR="00AB3F73">
        <w:rPr>
          <w:szCs w:val="22"/>
        </w:rPr>
        <w:t>August 1</w:t>
      </w:r>
      <w:r w:rsidR="002F02D5">
        <w:rPr>
          <w:szCs w:val="22"/>
        </w:rPr>
        <w:t>, 2019</w:t>
      </w:r>
    </w:p>
    <w:p w:rsidR="008B41DA" w:rsidRPr="00226613" w:rsidP="008B41DA" w14:paraId="34917B61" w14:textId="365F576B">
      <w:pPr>
        <w:pStyle w:val="ParaNum"/>
        <w:widowControl/>
      </w:pPr>
      <w:r>
        <w:t>Each</w:t>
      </w:r>
      <w:r w:rsidRPr="00195766">
        <w:t xml:space="preserve"> </w:t>
      </w:r>
      <w:r w:rsidRPr="00226613">
        <w:t xml:space="preserve">winning bidder </w:t>
      </w:r>
      <w:r>
        <w:t xml:space="preserve">in Auction </w:t>
      </w:r>
      <w:r w:rsidR="008E0A97">
        <w:t>100</w:t>
      </w:r>
      <w:r>
        <w:t xml:space="preserve"> </w:t>
      </w:r>
      <w:r w:rsidRPr="00226613">
        <w:t xml:space="preserve">will be required to submit the balance of the net amount of its winning </w:t>
      </w:r>
      <w:r w:rsidRPr="002678A8">
        <w:t>bid</w:t>
      </w:r>
      <w:r w:rsidR="00601160">
        <w:t>,</w:t>
      </w:r>
      <w:r w:rsidRPr="002678A8">
        <w:t xml:space="preserve"> as set out in the “Final Balance Due </w:t>
      </w:r>
      <w:r w:rsidRPr="00465638">
        <w:t xml:space="preserve">By </w:t>
      </w:r>
      <w:r w:rsidR="00AB3F73">
        <w:rPr>
          <w:szCs w:val="22"/>
        </w:rPr>
        <w:t>August 1</w:t>
      </w:r>
      <w:r>
        <w:rPr>
          <w:szCs w:val="22"/>
        </w:rPr>
        <w:t>, 201</w:t>
      </w:r>
      <w:r w:rsidR="00406EF0">
        <w:rPr>
          <w:szCs w:val="22"/>
        </w:rPr>
        <w:t>9</w:t>
      </w:r>
      <w:r w:rsidRPr="00465638">
        <w:rPr>
          <w:szCs w:val="22"/>
        </w:rPr>
        <w:t xml:space="preserve"> </w:t>
      </w:r>
      <w:r w:rsidRPr="00465638">
        <w:t>or (Refund)” column of Attachment B.</w:t>
      </w:r>
      <w:r>
        <w:rPr>
          <w:rStyle w:val="FootnoteReference"/>
        </w:rPr>
        <w:footnoteReference w:id="10"/>
      </w:r>
      <w:r w:rsidRPr="00465638">
        <w:t xml:space="preserve">  </w:t>
      </w:r>
      <w:r w:rsidRPr="00202FBB" w:rsidR="00F402B5">
        <w:rPr>
          <w:b/>
          <w:szCs w:val="22"/>
        </w:rPr>
        <w:t>This payment must be made by wire transfer as instructed in this Public Notice and must be received in the Commission’s account at the U.S. Treasury before 6:00 p.m. ET on</w:t>
      </w:r>
      <w:r w:rsidR="00F402B5">
        <w:rPr>
          <w:b/>
          <w:szCs w:val="22"/>
        </w:rPr>
        <w:t xml:space="preserve"> </w:t>
      </w:r>
      <w:r w:rsidR="00AB3F73">
        <w:rPr>
          <w:b/>
          <w:szCs w:val="22"/>
        </w:rPr>
        <w:t>August 1</w:t>
      </w:r>
      <w:r w:rsidR="00F402B5">
        <w:rPr>
          <w:b/>
          <w:szCs w:val="22"/>
        </w:rPr>
        <w:t>, 2019</w:t>
      </w:r>
      <w:r w:rsidRPr="00202FBB" w:rsidR="00F402B5">
        <w:rPr>
          <w:b/>
          <w:szCs w:val="22"/>
        </w:rPr>
        <w:t>, to avoid a late fee or default.  A late payment after this deadline must be made by wire transfer as instructed in this Public Notice and must be received in the Commission’s account at the U.S. Treasury before 6:00 p.m. ET on</w:t>
      </w:r>
      <w:r w:rsidR="00F402B5">
        <w:rPr>
          <w:b/>
          <w:szCs w:val="22"/>
        </w:rPr>
        <w:t xml:space="preserve"> </w:t>
      </w:r>
      <w:r w:rsidR="00AB3F73">
        <w:rPr>
          <w:b/>
          <w:szCs w:val="22"/>
        </w:rPr>
        <w:t>August 15</w:t>
      </w:r>
      <w:r w:rsidR="00F402B5">
        <w:rPr>
          <w:b/>
          <w:szCs w:val="22"/>
        </w:rPr>
        <w:t>, 2019</w:t>
      </w:r>
      <w:r w:rsidRPr="00202FBB" w:rsidR="00F402B5">
        <w:rPr>
          <w:b/>
          <w:szCs w:val="22"/>
        </w:rPr>
        <w:t xml:space="preserve">, along with the </w:t>
      </w:r>
      <w:r w:rsidR="00F402B5">
        <w:rPr>
          <w:b/>
          <w:szCs w:val="22"/>
        </w:rPr>
        <w:t xml:space="preserve">5% </w:t>
      </w:r>
      <w:r w:rsidRPr="00202FBB" w:rsidR="00F402B5">
        <w:rPr>
          <w:b/>
          <w:szCs w:val="22"/>
        </w:rPr>
        <w:t xml:space="preserve">late fee required by </w:t>
      </w:r>
      <w:r w:rsidR="00F402B5">
        <w:rPr>
          <w:b/>
          <w:szCs w:val="22"/>
        </w:rPr>
        <w:t>s</w:t>
      </w:r>
      <w:r w:rsidRPr="00202FBB" w:rsidR="00F402B5">
        <w:rPr>
          <w:b/>
          <w:szCs w:val="22"/>
        </w:rPr>
        <w:t>ection 1.2109(a) of the Commission’s rules to avoid default.</w:t>
      </w:r>
      <w:r>
        <w:rPr>
          <w:vertAlign w:val="superscript"/>
        </w:rPr>
        <w:footnoteReference w:id="11"/>
      </w:r>
      <w:r w:rsidRPr="00226613">
        <w:t xml:space="preserve">  Note that a</w:t>
      </w:r>
      <w:r>
        <w:t>n additional</w:t>
      </w:r>
      <w:r w:rsidRPr="00226613">
        <w:t xml:space="preserve"> payment </w:t>
      </w:r>
      <w:r>
        <w:t xml:space="preserve">toward the final </w:t>
      </w:r>
      <w:r w:rsidR="00601160">
        <w:t xml:space="preserve">balance </w:t>
      </w:r>
      <w:r>
        <w:t>due is</w:t>
      </w:r>
      <w:r w:rsidRPr="00226613">
        <w:t xml:space="preserve"> necessary only if a winning bidder’s upfront payment does not cover the required total down </w:t>
      </w:r>
      <w:r>
        <w:t xml:space="preserve">and final </w:t>
      </w:r>
      <w:r w:rsidRPr="00226613">
        <w:t>payment (as reflected in Attachment B).</w:t>
      </w:r>
      <w:r>
        <w:t xml:space="preserve">  </w:t>
      </w:r>
    </w:p>
    <w:p w:rsidR="008B41DA" w:rsidP="008B41DA" w14:paraId="4C36F8D3" w14:textId="03FDF8BF">
      <w:pPr>
        <w:pStyle w:val="ParaNum"/>
        <w:widowControl/>
      </w:pPr>
      <w:r w:rsidRPr="0081691F">
        <w:t xml:space="preserve">If </w:t>
      </w:r>
      <w:r>
        <w:t>a</w:t>
      </w:r>
      <w:r w:rsidRPr="0081691F">
        <w:t xml:space="preserve"> winning bidder </w:t>
      </w:r>
      <w:r>
        <w:t xml:space="preserve">fails timely to tender its </w:t>
      </w:r>
      <w:r w:rsidR="00490A67">
        <w:t xml:space="preserve">final </w:t>
      </w:r>
      <w:r>
        <w:t>payment as described in Section III.C</w:t>
      </w:r>
      <w:r w:rsidR="000C4DB5">
        <w:t>.</w:t>
      </w:r>
      <w:r>
        <w:t>, below,</w:t>
      </w:r>
      <w:r w:rsidRPr="0081691F">
        <w:t xml:space="preserve"> </w:t>
      </w:r>
      <w:r w:rsidR="00787E4C">
        <w:t xml:space="preserve">so that it is received </w:t>
      </w:r>
      <w:r w:rsidRPr="0081691F">
        <w:t xml:space="preserve">by 6:00 p.m. </w:t>
      </w:r>
      <w:r w:rsidRPr="00465638">
        <w:t xml:space="preserve">ET on </w:t>
      </w:r>
      <w:r w:rsidR="00AB3F73">
        <w:rPr>
          <w:szCs w:val="22"/>
        </w:rPr>
        <w:t>August 1</w:t>
      </w:r>
      <w:r>
        <w:rPr>
          <w:szCs w:val="22"/>
        </w:rPr>
        <w:t>, 2019</w:t>
      </w:r>
      <w:r w:rsidRPr="0081691F">
        <w:t xml:space="preserve"> (or by</w:t>
      </w:r>
      <w:r w:rsidRPr="0081691F">
        <w:rPr>
          <w:b/>
        </w:rPr>
        <w:t xml:space="preserve"> </w:t>
      </w:r>
      <w:r w:rsidRPr="0081691F">
        <w:t xml:space="preserve">6:00 p.m. ET </w:t>
      </w:r>
      <w:r w:rsidRPr="00465638">
        <w:t xml:space="preserve">on </w:t>
      </w:r>
      <w:r w:rsidR="00AB3F73">
        <w:rPr>
          <w:szCs w:val="22"/>
        </w:rPr>
        <w:t>August 15</w:t>
      </w:r>
      <w:r>
        <w:rPr>
          <w:szCs w:val="22"/>
        </w:rPr>
        <w:t>, 2019</w:t>
      </w:r>
      <w:r w:rsidRPr="00465638">
        <w:rPr>
          <w:szCs w:val="22"/>
        </w:rPr>
        <w:t>, along with</w:t>
      </w:r>
      <w:r w:rsidRPr="0081691F">
        <w:rPr>
          <w:szCs w:val="22"/>
        </w:rPr>
        <w:t xml:space="preserve"> the </w:t>
      </w:r>
      <w:r>
        <w:rPr>
          <w:szCs w:val="22"/>
        </w:rPr>
        <w:t>5%</w:t>
      </w:r>
      <w:r w:rsidRPr="0081691F">
        <w:rPr>
          <w:szCs w:val="22"/>
        </w:rPr>
        <w:t xml:space="preserve"> late fee</w:t>
      </w:r>
      <w:r w:rsidRPr="0081691F">
        <w:t>)</w:t>
      </w:r>
      <w:r>
        <w:t>,</w:t>
      </w:r>
      <w:r w:rsidRPr="0081691F">
        <w:t xml:space="preserve"> it will be in default</w:t>
      </w:r>
      <w:r w:rsidR="00C93BAB">
        <w:t>.</w:t>
      </w:r>
      <w:r>
        <w:rPr>
          <w:rStyle w:val="FootnoteReference"/>
        </w:rPr>
        <w:footnoteReference w:id="12"/>
      </w:r>
    </w:p>
    <w:p w:rsidR="008B41DA" w:rsidP="008B41DA" w14:paraId="73F4A684" w14:textId="344AC243">
      <w:pPr>
        <w:pStyle w:val="Heading2"/>
        <w:keepLines/>
        <w:widowControl/>
      </w:pPr>
      <w:bookmarkStart w:id="2" w:name="_Toc124648777"/>
      <w:bookmarkStart w:id="3" w:name="_Toc124649151"/>
      <w:bookmarkStart w:id="4" w:name="_Toc124649222"/>
      <w:bookmarkStart w:id="5" w:name="_Toc124649413"/>
      <w:bookmarkStart w:id="6" w:name="_Toc124650000"/>
      <w:bookmarkStart w:id="7" w:name="_Toc124650094"/>
      <w:bookmarkStart w:id="8" w:name="_Toc124661262"/>
      <w:bookmarkStart w:id="9" w:name="_Toc124661377"/>
      <w:bookmarkStart w:id="10" w:name="_Toc124661472"/>
      <w:r w:rsidRPr="004415E6">
        <w:t>Payment</w:t>
      </w:r>
      <w:bookmarkEnd w:id="2"/>
      <w:bookmarkEnd w:id="3"/>
      <w:bookmarkEnd w:id="4"/>
      <w:bookmarkEnd w:id="5"/>
      <w:bookmarkEnd w:id="6"/>
      <w:bookmarkEnd w:id="7"/>
      <w:bookmarkEnd w:id="8"/>
      <w:bookmarkEnd w:id="9"/>
      <w:bookmarkEnd w:id="10"/>
      <w:r w:rsidRPr="004415E6">
        <w:t xml:space="preserve"> </w:t>
      </w:r>
      <w:r w:rsidR="00F402B5">
        <w:t xml:space="preserve">Instructions </w:t>
      </w:r>
      <w:r w:rsidRPr="004415E6">
        <w:t xml:space="preserve">for Down </w:t>
      </w:r>
      <w:r w:rsidR="00F402B5">
        <w:t xml:space="preserve">Payments </w:t>
      </w:r>
      <w:r w:rsidRPr="004415E6">
        <w:t>and Final Payments</w:t>
      </w:r>
    </w:p>
    <w:p w:rsidR="00414FD8" w:rsidP="008B41DA" w14:paraId="0BA51D6D" w14:textId="4D26871B">
      <w:pPr>
        <w:pStyle w:val="ParaNum"/>
        <w:widowControl/>
      </w:pPr>
      <w:r w:rsidRPr="00202FBB">
        <w:rPr>
          <w:szCs w:val="22"/>
        </w:rPr>
        <w:t>All down payments and final payments must be made by wire transfer to the Commission’s account at the U.S. Treasury</w:t>
      </w:r>
      <w:r w:rsidR="002C2CF2">
        <w:rPr>
          <w:szCs w:val="22"/>
        </w:rPr>
        <w:t>,</w:t>
      </w:r>
      <w:r w:rsidRPr="00202FBB">
        <w:rPr>
          <w:szCs w:val="22"/>
        </w:rPr>
        <w:t xml:space="preserve"> in accordance with the instructions in this Public Notice</w:t>
      </w:r>
      <w:r w:rsidR="002C2CF2">
        <w:rPr>
          <w:szCs w:val="22"/>
        </w:rPr>
        <w:t>,</w:t>
      </w:r>
      <w:r w:rsidRPr="00202FBB">
        <w:rPr>
          <w:szCs w:val="22"/>
        </w:rPr>
        <w:t xml:space="preserve"> by the applicable deadline.</w:t>
      </w:r>
      <w:r>
        <w:rPr>
          <w:rStyle w:val="FootnoteReference"/>
          <w:szCs w:val="22"/>
        </w:rPr>
        <w:footnoteReference w:id="13"/>
      </w:r>
      <w:r w:rsidRPr="00202FBB">
        <w:rPr>
          <w:szCs w:val="22"/>
        </w:rPr>
        <w:t xml:space="preserve">  </w:t>
      </w:r>
      <w:r w:rsidRPr="00202FBB">
        <w:rPr>
          <w:b/>
          <w:szCs w:val="22"/>
        </w:rPr>
        <w:t xml:space="preserve">Winning bidders </w:t>
      </w:r>
      <w:r w:rsidR="00E93717">
        <w:rPr>
          <w:b/>
          <w:szCs w:val="22"/>
        </w:rPr>
        <w:t>should</w:t>
      </w:r>
      <w:r w:rsidRPr="00202FBB" w:rsidR="00E93717">
        <w:rPr>
          <w:b/>
          <w:szCs w:val="22"/>
        </w:rPr>
        <w:t xml:space="preserve"> </w:t>
      </w:r>
      <w:r w:rsidRPr="00202FBB">
        <w:rPr>
          <w:b/>
          <w:szCs w:val="22"/>
        </w:rPr>
        <w:t xml:space="preserve">pay close attention to the payment instructions </w:t>
      </w:r>
      <w:r w:rsidR="00E93717">
        <w:rPr>
          <w:b/>
          <w:szCs w:val="22"/>
        </w:rPr>
        <w:t>set forth</w:t>
      </w:r>
      <w:r w:rsidRPr="00202FBB">
        <w:rPr>
          <w:b/>
          <w:szCs w:val="22"/>
        </w:rPr>
        <w:t xml:space="preserve"> </w:t>
      </w:r>
      <w:r w:rsidR="00377607">
        <w:rPr>
          <w:b/>
          <w:szCs w:val="22"/>
        </w:rPr>
        <w:t>in this Public Notice</w:t>
      </w:r>
      <w:r w:rsidR="00A002A6">
        <w:rPr>
          <w:b/>
          <w:szCs w:val="22"/>
        </w:rPr>
        <w:t>,</w:t>
      </w:r>
      <w:r w:rsidRPr="00202FBB">
        <w:rPr>
          <w:b/>
          <w:szCs w:val="22"/>
        </w:rPr>
        <w:t xml:space="preserve"> </w:t>
      </w:r>
      <w:r w:rsidR="00E93717">
        <w:rPr>
          <w:b/>
          <w:szCs w:val="22"/>
        </w:rPr>
        <w:t>as</w:t>
      </w:r>
      <w:r w:rsidRPr="00202FBB" w:rsidR="00E93717">
        <w:rPr>
          <w:b/>
          <w:szCs w:val="22"/>
        </w:rPr>
        <w:t xml:space="preserve"> </w:t>
      </w:r>
      <w:r w:rsidRPr="00202FBB">
        <w:rPr>
          <w:b/>
          <w:szCs w:val="22"/>
        </w:rPr>
        <w:t xml:space="preserve">they differ from </w:t>
      </w:r>
      <w:r w:rsidR="00E93717">
        <w:rPr>
          <w:b/>
          <w:szCs w:val="22"/>
        </w:rPr>
        <w:t xml:space="preserve">the payment </w:t>
      </w:r>
      <w:r w:rsidRPr="00202FBB">
        <w:rPr>
          <w:b/>
          <w:szCs w:val="22"/>
        </w:rPr>
        <w:t>instructions provided in past auctions.</w:t>
      </w:r>
      <w:r w:rsidRPr="00202FBB">
        <w:rPr>
          <w:szCs w:val="22"/>
        </w:rPr>
        <w:t xml:space="preserve">  </w:t>
      </w:r>
      <w:r w:rsidR="00E93717">
        <w:rPr>
          <w:szCs w:val="22"/>
        </w:rPr>
        <w:t>A</w:t>
      </w:r>
      <w:r w:rsidRPr="00202FBB">
        <w:rPr>
          <w:szCs w:val="22"/>
        </w:rPr>
        <w:t xml:space="preserve"> winning bidder </w:t>
      </w:r>
      <w:r w:rsidR="00E93717">
        <w:rPr>
          <w:szCs w:val="22"/>
        </w:rPr>
        <w:t>with</w:t>
      </w:r>
      <w:r w:rsidRPr="00202FBB" w:rsidR="00E93717">
        <w:rPr>
          <w:szCs w:val="22"/>
        </w:rPr>
        <w:t xml:space="preserve"> </w:t>
      </w:r>
      <w:r w:rsidRPr="00202FBB">
        <w:rPr>
          <w:szCs w:val="22"/>
        </w:rPr>
        <w:t xml:space="preserve">any questions about making a down or final payment should contact </w:t>
      </w:r>
      <w:r w:rsidR="00F402B5">
        <w:rPr>
          <w:szCs w:val="22"/>
        </w:rPr>
        <w:t>a member of the FCC</w:t>
      </w:r>
      <w:r w:rsidRPr="00202FBB">
        <w:rPr>
          <w:szCs w:val="22"/>
        </w:rPr>
        <w:t xml:space="preserve"> Revenue &amp; Receivables Operation</w:t>
      </w:r>
      <w:r>
        <w:rPr>
          <w:szCs w:val="22"/>
        </w:rPr>
        <w:t>s</w:t>
      </w:r>
      <w:r w:rsidRPr="00202FBB">
        <w:rPr>
          <w:szCs w:val="22"/>
        </w:rPr>
        <w:t xml:space="preserve"> Group/Auctions </w:t>
      </w:r>
      <w:r w:rsidR="00F402B5">
        <w:rPr>
          <w:szCs w:val="22"/>
        </w:rPr>
        <w:t>listed at the end of this Public Notice</w:t>
      </w:r>
      <w:r w:rsidRPr="00202FBB">
        <w:rPr>
          <w:szCs w:val="22"/>
        </w:rPr>
        <w:t>.</w:t>
      </w:r>
    </w:p>
    <w:p w:rsidR="008B41DA" w:rsidRPr="00DB33C5" w:rsidP="008B41DA" w14:paraId="5866A1A8" w14:textId="46D0C6F7">
      <w:pPr>
        <w:pStyle w:val="ParaNum"/>
        <w:widowControl/>
      </w:pPr>
      <w:r>
        <w:t xml:space="preserve">All </w:t>
      </w:r>
      <w:r w:rsidRPr="00067D3E">
        <w:t xml:space="preserve">payments must be </w:t>
      </w:r>
      <w:r w:rsidRPr="002438B3">
        <w:t>in</w:t>
      </w:r>
      <w:r w:rsidRPr="00067D3E">
        <w:t xml:space="preserve"> U.S. dollars and made in the form of a wire transfer.  No checks, credit card payments, </w:t>
      </w:r>
      <w:r>
        <w:t xml:space="preserve">automated clearing house (ACH), </w:t>
      </w:r>
      <w:r w:rsidRPr="00067D3E">
        <w:t xml:space="preserve">or other forms of payment will be accepted. </w:t>
      </w:r>
      <w:r>
        <w:t xml:space="preserve"> </w:t>
      </w:r>
    </w:p>
    <w:p w:rsidR="00327BE5" w:rsidP="008B41DA" w14:paraId="20D5B4A4" w14:textId="087CC69B">
      <w:pPr>
        <w:pStyle w:val="ParaNum"/>
        <w:widowControl/>
      </w:pPr>
      <w:r>
        <w:t xml:space="preserve">Each </w:t>
      </w:r>
      <w:r w:rsidRPr="00552DCB">
        <w:t xml:space="preserve">winning </w:t>
      </w:r>
      <w:r w:rsidRPr="002678A8">
        <w:t>bidder is responsible for ensuring timely submission of</w:t>
      </w:r>
      <w:r>
        <w:t xml:space="preserve"> all required</w:t>
      </w:r>
      <w:r>
        <w:t xml:space="preserve"> payment</w:t>
      </w:r>
      <w:r>
        <w:t>s</w:t>
      </w:r>
      <w:r w:rsidRPr="002678A8">
        <w:t xml:space="preserve">.  </w:t>
      </w:r>
      <w:r w:rsidR="00377607">
        <w:t xml:space="preserve">To avoid untimely payments, </w:t>
      </w:r>
      <w:r w:rsidR="00FA2CE8">
        <w:t xml:space="preserve">each </w:t>
      </w:r>
      <w:r w:rsidR="00377607">
        <w:t xml:space="preserve">winning bidder should discuss arrangements (including bank closing schedules, bank wire transfer schedules, and other bank wire transfer requirements, such as an in-person written request before a specified time of day) with </w:t>
      </w:r>
      <w:r w:rsidR="00FA2CE8">
        <w:t>its financial institution</w:t>
      </w:r>
      <w:r w:rsidR="00377607">
        <w:t xml:space="preserve"> several days before </w:t>
      </w:r>
      <w:r w:rsidR="00FA2CE8">
        <w:t xml:space="preserve">it </w:t>
      </w:r>
      <w:r w:rsidR="00377607">
        <w:t>plan</w:t>
      </w:r>
      <w:r w:rsidR="00FA2CE8">
        <w:t>s</w:t>
      </w:r>
      <w:r w:rsidR="00377607">
        <w:t xml:space="preserve"> to make the wire transfer</w:t>
      </w:r>
      <w:r w:rsidR="00FA2CE8">
        <w:t>, and should</w:t>
      </w:r>
      <w:r w:rsidR="00377607">
        <w:t xml:space="preserve"> </w:t>
      </w:r>
      <w:r w:rsidRPr="002678A8">
        <w:t xml:space="preserve">allow sufficient time for each wire transfer to be initiated and completed prior to the deadline.  The Commission repeatedly has cautioned auction </w:t>
      </w:r>
      <w:r w:rsidRPr="002678A8">
        <w:t>participants about the importance of planning ahead to prepare for unforeseen last-minute difficulties in making payments by wire transfer.</w:t>
      </w:r>
      <w:r>
        <w:rPr>
          <w:rStyle w:val="FootnoteReference"/>
        </w:rPr>
        <w:footnoteReference w:id="14"/>
      </w:r>
      <w:r w:rsidRPr="002678A8">
        <w:t xml:space="preserve">  </w:t>
      </w:r>
    </w:p>
    <w:p w:rsidR="008B41DA" w:rsidP="008B41DA" w14:paraId="745499AC" w14:textId="7FC7E01B">
      <w:pPr>
        <w:pStyle w:val="ParaNum"/>
        <w:widowControl/>
      </w:pPr>
      <w:r>
        <w:t>Each</w:t>
      </w:r>
      <w:r w:rsidRPr="002678A8">
        <w:t xml:space="preserve"> </w:t>
      </w:r>
      <w:r w:rsidRPr="002678A8">
        <w:t xml:space="preserve">winning bidder </w:t>
      </w:r>
      <w:r>
        <w:t xml:space="preserve">is responsible for </w:t>
      </w:r>
      <w:r w:rsidRPr="002678A8">
        <w:t>obtain</w:t>
      </w:r>
      <w:r>
        <w:t>ing</w:t>
      </w:r>
      <w:r w:rsidRPr="002678A8">
        <w:t xml:space="preserve"> confirmation from its financial institution that its wire transfer to </w:t>
      </w:r>
      <w:r>
        <w:t xml:space="preserve">the </w:t>
      </w:r>
      <w:r w:rsidRPr="009E7BBA">
        <w:t xml:space="preserve">U.S. </w:t>
      </w:r>
      <w:r>
        <w:t xml:space="preserve">Treasury </w:t>
      </w:r>
      <w:r w:rsidRPr="006C292E">
        <w:t xml:space="preserve">was successful.  </w:t>
      </w:r>
      <w:r>
        <w:t>Each winning bidder</w:t>
      </w:r>
      <w:r w:rsidRPr="006C292E">
        <w:t xml:space="preserve"> </w:t>
      </w:r>
      <w:r w:rsidRPr="006C292E">
        <w:t>also</w:t>
      </w:r>
      <w:r>
        <w:t xml:space="preserve"> must</w:t>
      </w:r>
      <w:r w:rsidRPr="006C292E">
        <w:t xml:space="preserve"> confirm with Commission staff that its pa</w:t>
      </w:r>
      <w:r>
        <w:t>yment has been received by the Commission in the proper account by the specified deadline.</w:t>
      </w:r>
      <w:r w:rsidRPr="002678A8">
        <w:t xml:space="preserve">  </w:t>
      </w:r>
      <w:r>
        <w:t>Winning bidders may request s</w:t>
      </w:r>
      <w:r>
        <w:t xml:space="preserve">uch </w:t>
      </w:r>
      <w:r w:rsidRPr="002678A8">
        <w:t xml:space="preserve">confirmation </w:t>
      </w:r>
      <w:r>
        <w:t xml:space="preserve">by </w:t>
      </w:r>
      <w:r w:rsidRPr="002678A8">
        <w:t>contact</w:t>
      </w:r>
      <w:r>
        <w:t>ing</w:t>
      </w:r>
      <w:r w:rsidRPr="002678A8">
        <w:t xml:space="preserve"> </w:t>
      </w:r>
      <w:r w:rsidR="00FA2CE8">
        <w:t>a member of the</w:t>
      </w:r>
      <w:r>
        <w:t xml:space="preserve"> FCC Revenue &amp; Receivables Operations Group/Auctions </w:t>
      </w:r>
      <w:r w:rsidR="00FA2CE8">
        <w:t xml:space="preserve">listed at the end of </w:t>
      </w:r>
      <w:r w:rsidR="001F5B31">
        <w:t xml:space="preserve">this </w:t>
      </w:r>
      <w:r w:rsidR="00FA2CE8">
        <w:t>Public Notice</w:t>
      </w:r>
      <w:r w:rsidRPr="002C290B">
        <w:rPr>
          <w:color w:val="000000"/>
          <w:szCs w:val="22"/>
        </w:rPr>
        <w:t>.</w:t>
      </w:r>
    </w:p>
    <w:p w:rsidR="008B41DA" w:rsidP="008B41DA" w14:paraId="6C984E0C" w14:textId="526DC619">
      <w:pPr>
        <w:pStyle w:val="ParaNum"/>
        <w:widowControl/>
      </w:pPr>
      <w:r>
        <w:t xml:space="preserve">Each payer must include certain information in </w:t>
      </w:r>
      <w:r w:rsidR="00E93717">
        <w:t xml:space="preserve">the </w:t>
      </w:r>
      <w:r>
        <w:t xml:space="preserve">wire transfer instructions provided to its bank, as described below.  </w:t>
      </w:r>
      <w:r w:rsidR="00377607">
        <w:rPr>
          <w:b/>
        </w:rPr>
        <w:t>T</w:t>
      </w:r>
      <w:r w:rsidRPr="00437DF4">
        <w:rPr>
          <w:b/>
        </w:rPr>
        <w:t xml:space="preserve">he Commission no longer requires </w:t>
      </w:r>
      <w:r w:rsidR="00327BE5">
        <w:rPr>
          <w:b/>
        </w:rPr>
        <w:t>payers to</w:t>
      </w:r>
      <w:r w:rsidRPr="00437DF4" w:rsidR="00327BE5">
        <w:rPr>
          <w:b/>
        </w:rPr>
        <w:t xml:space="preserve"> submi</w:t>
      </w:r>
      <w:r w:rsidR="00327BE5">
        <w:rPr>
          <w:b/>
        </w:rPr>
        <w:t>t</w:t>
      </w:r>
      <w:r w:rsidRPr="00437DF4" w:rsidR="00327BE5">
        <w:rPr>
          <w:b/>
        </w:rPr>
        <w:t xml:space="preserve"> </w:t>
      </w:r>
      <w:r w:rsidRPr="00437DF4">
        <w:rPr>
          <w:b/>
        </w:rPr>
        <w:t>a completed FCC Remittance Advice Form (Form 159) with down payments or final payments.</w:t>
      </w:r>
      <w:r>
        <w:rPr>
          <w:rStyle w:val="FootnoteReference"/>
        </w:rPr>
        <w:footnoteReference w:id="15"/>
      </w:r>
      <w:r>
        <w:t xml:space="preserve">  The Commission will credit any such payments based on the information accompanying the wire transfer.  </w:t>
      </w:r>
      <w:r w:rsidRPr="00CE72F1">
        <w:t xml:space="preserve">To submit funds by wire transfer, </w:t>
      </w:r>
      <w:r>
        <w:t xml:space="preserve">the </w:t>
      </w:r>
      <w:r w:rsidRPr="00CE72F1">
        <w:t xml:space="preserve">winning bidder </w:t>
      </w:r>
      <w:r w:rsidR="00327BE5">
        <w:t>must</w:t>
      </w:r>
      <w:r>
        <w:t xml:space="preserve"> include </w:t>
      </w:r>
      <w:r w:rsidRPr="00CE72F1">
        <w:t>the following information</w:t>
      </w:r>
      <w:r>
        <w:t xml:space="preserve"> in its wire transfer instructions:  </w:t>
      </w:r>
    </w:p>
    <w:p w:rsidR="008B41DA" w:rsidRPr="00BF6C25" w:rsidP="008B41DA" w14:paraId="29F71839" w14:textId="77777777">
      <w:pPr>
        <w:pStyle w:val="TOAHeading"/>
        <w:widowControl/>
        <w:tabs>
          <w:tab w:val="clear" w:pos="9360"/>
        </w:tabs>
        <w:suppressAutoHyphens w:val="0"/>
        <w:ind w:left="720"/>
      </w:pPr>
      <w:r w:rsidRPr="00DA6FFB">
        <w:t xml:space="preserve">ABA Routing </w:t>
      </w:r>
      <w:r w:rsidRPr="00BF6C25">
        <w:t xml:space="preserve">Number:  </w:t>
      </w:r>
      <w:r w:rsidRPr="00BF6C25">
        <w:rPr>
          <w:b/>
        </w:rPr>
        <w:t>021030004</w:t>
      </w:r>
    </w:p>
    <w:p w:rsidR="008B41DA" w:rsidRPr="00BF6C25" w:rsidP="008B41DA" w14:paraId="076911E9" w14:textId="77777777">
      <w:pPr>
        <w:widowControl/>
        <w:tabs>
          <w:tab w:val="left" w:pos="2250"/>
        </w:tabs>
        <w:ind w:left="720"/>
      </w:pPr>
      <w:r w:rsidRPr="00BF6C25">
        <w:t>Receiving Bank:</w:t>
      </w:r>
      <w:r w:rsidRPr="00BF6C25">
        <w:tab/>
      </w:r>
      <w:r w:rsidRPr="00BF6C25">
        <w:rPr>
          <w:b/>
        </w:rPr>
        <w:t>TREAS NYC</w:t>
      </w:r>
    </w:p>
    <w:p w:rsidR="008B41DA" w:rsidRPr="00BF6C25" w:rsidP="008B41DA" w14:paraId="64E0CAE5" w14:textId="77777777">
      <w:pPr>
        <w:widowControl/>
        <w:ind w:left="1440" w:firstLine="810"/>
      </w:pPr>
      <w:r w:rsidRPr="00BF6C25">
        <w:t>33 Liberty Street</w:t>
      </w:r>
    </w:p>
    <w:p w:rsidR="008B41DA" w:rsidRPr="00BF6C25" w:rsidP="008B41DA" w14:paraId="1ED49653" w14:textId="77777777">
      <w:pPr>
        <w:widowControl/>
        <w:ind w:left="1440" w:firstLine="810"/>
      </w:pPr>
      <w:r w:rsidRPr="00BF6C25">
        <w:t>New York, NY  10045</w:t>
      </w:r>
    </w:p>
    <w:p w:rsidR="008B41DA" w:rsidP="008B41DA" w14:paraId="5C97AD8A" w14:textId="012B26E8">
      <w:pPr>
        <w:widowControl/>
        <w:ind w:left="720"/>
        <w:rPr>
          <w:b/>
        </w:rPr>
      </w:pPr>
      <w:r w:rsidRPr="00BF6C25">
        <w:t xml:space="preserve">ACCOUNT NAME:  </w:t>
      </w:r>
      <w:r w:rsidRPr="00BF6C25">
        <w:rPr>
          <w:b/>
        </w:rPr>
        <w:t>FCC</w:t>
      </w:r>
    </w:p>
    <w:p w:rsidR="0077052F" w:rsidP="00437DF4" w14:paraId="6F805112" w14:textId="7EAED254">
      <w:pPr>
        <w:widowControl/>
        <w:ind w:left="2610"/>
        <w:rPr>
          <w:b/>
        </w:rPr>
      </w:pPr>
      <w:r>
        <w:rPr>
          <w:b/>
        </w:rPr>
        <w:t>445 12</w:t>
      </w:r>
      <w:r w:rsidRPr="00437DF4">
        <w:rPr>
          <w:b/>
          <w:vertAlign w:val="superscript"/>
        </w:rPr>
        <w:t>th</w:t>
      </w:r>
      <w:r>
        <w:rPr>
          <w:b/>
        </w:rPr>
        <w:t xml:space="preserve"> Street, SW</w:t>
      </w:r>
    </w:p>
    <w:p w:rsidR="0077052F" w:rsidRPr="00BF6C25" w:rsidP="00437DF4" w14:paraId="76520D4C" w14:textId="035E4F5D">
      <w:pPr>
        <w:widowControl/>
        <w:ind w:left="2610"/>
        <w:rPr>
          <w:b/>
        </w:rPr>
      </w:pPr>
      <w:r>
        <w:rPr>
          <w:b/>
        </w:rPr>
        <w:t>Washington, DC 20554</w:t>
      </w:r>
    </w:p>
    <w:p w:rsidR="008B41DA" w:rsidRPr="00DA6FFB" w:rsidP="008B41DA" w14:paraId="41E97A99" w14:textId="3528438F">
      <w:pPr>
        <w:pStyle w:val="TOAHeading"/>
        <w:widowControl/>
        <w:tabs>
          <w:tab w:val="clear" w:pos="9360"/>
        </w:tabs>
        <w:suppressAutoHyphens w:val="0"/>
        <w:ind w:left="720"/>
      </w:pPr>
      <w:r w:rsidRPr="00BF6C25">
        <w:t xml:space="preserve">ACCOUNT NUMBER:  </w:t>
      </w:r>
      <w:r w:rsidRPr="00BF6C25">
        <w:rPr>
          <w:b/>
        </w:rPr>
        <w:t>27000001</w:t>
      </w:r>
      <w:r w:rsidRPr="00DA6FFB">
        <w:t xml:space="preserve"> </w:t>
      </w:r>
    </w:p>
    <w:p w:rsidR="008B41DA" w:rsidRPr="00DA6FFB" w:rsidP="008B41DA" w14:paraId="351115E7" w14:textId="5E181B96">
      <w:pPr>
        <w:widowControl/>
        <w:ind w:left="720"/>
      </w:pPr>
      <w:r>
        <w:t>Originating Bank Information (</w:t>
      </w:r>
      <w:r w:rsidRPr="00DA6FFB">
        <w:t>OBI Field</w:t>
      </w:r>
      <w:r>
        <w:t>)</w:t>
      </w:r>
      <w:r w:rsidRPr="00DA6FFB">
        <w:t>:  (Skip one space between each information item) “AUCTIONPAY”</w:t>
      </w:r>
    </w:p>
    <w:p w:rsidR="008B41DA" w:rsidRPr="00DA6FFB" w:rsidP="008B41DA" w14:paraId="6B81FBFB" w14:textId="6870A013">
      <w:pPr>
        <w:widowControl/>
        <w:ind w:left="720"/>
      </w:pPr>
      <w:r w:rsidRPr="00DA6FFB">
        <w:t xml:space="preserve">APPLICANT </w:t>
      </w:r>
      <w:r w:rsidR="0077052F">
        <w:t>FCC REGISTRATION NUMBER (</w:t>
      </w:r>
      <w:r w:rsidRPr="00DA6FFB">
        <w:t>FRN</w:t>
      </w:r>
      <w:r w:rsidR="0077052F">
        <w:t>)</w:t>
      </w:r>
      <w:r w:rsidRPr="00DA6FFB">
        <w:t>:  (</w:t>
      </w:r>
      <w:r w:rsidR="0077052F">
        <w:t xml:space="preserve">use the </w:t>
      </w:r>
      <w:r w:rsidRPr="00DA6FFB">
        <w:t>same</w:t>
      </w:r>
      <w:r w:rsidR="0077052F">
        <w:t xml:space="preserve"> FRN</w:t>
      </w:r>
      <w:r w:rsidRPr="00DA6FFB">
        <w:t xml:space="preserve"> as</w:t>
      </w:r>
      <w:r w:rsidR="0077052F">
        <w:t xml:space="preserve"> used on the</w:t>
      </w:r>
      <w:r w:rsidRPr="00DA6FFB">
        <w:t xml:space="preserve"> FCC Form </w:t>
      </w:r>
      <w:r>
        <w:t>175</w:t>
      </w:r>
      <w:r w:rsidRPr="00DA6FFB">
        <w:t>)</w:t>
      </w:r>
    </w:p>
    <w:p w:rsidR="008B41DA" w:rsidRPr="00DA6FFB" w:rsidP="008B41DA" w14:paraId="74ACCDCF" w14:textId="4BD08D23">
      <w:pPr>
        <w:widowControl/>
        <w:ind w:left="720"/>
      </w:pPr>
      <w:r w:rsidRPr="00DA6FFB">
        <w:t>PAYMENT TYPE CODE:  (“</w:t>
      </w:r>
      <w:r w:rsidRPr="00104EC3" w:rsidR="00E23E35">
        <w:t>D</w:t>
      </w:r>
      <w:r w:rsidR="00E23E35">
        <w:t>100</w:t>
      </w:r>
      <w:r w:rsidRPr="00104EC3">
        <w:t>”)</w:t>
      </w:r>
    </w:p>
    <w:p w:rsidR="008B41DA" w:rsidRPr="00DA6FFB" w:rsidP="008B41DA" w14:paraId="24606155" w14:textId="77777777">
      <w:pPr>
        <w:widowControl/>
        <w:ind w:left="720"/>
      </w:pPr>
      <w:r w:rsidRPr="00DA6FFB">
        <w:t>PAY</w:t>
      </w:r>
      <w:r>
        <w:t>E</w:t>
      </w:r>
      <w:r w:rsidRPr="00DA6FFB">
        <w:t xml:space="preserve">R NAME  </w:t>
      </w:r>
    </w:p>
    <w:p w:rsidR="008B41DA" w:rsidP="00E1457A" w14:paraId="2082B958" w14:textId="77777777">
      <w:pPr>
        <w:widowControl/>
        <w:spacing w:after="120"/>
        <w:ind w:firstLine="720"/>
        <w:rPr>
          <w:b/>
        </w:rPr>
      </w:pPr>
      <w:r>
        <w:rPr>
          <w:b/>
        </w:rPr>
        <w:t>CONTACT NAME AND PHONE NUMBER OR E-MAIL ADDRESS</w:t>
      </w:r>
    </w:p>
    <w:p w:rsidR="008B41DA" w:rsidRPr="00E93512" w:rsidP="008B41DA" w14:paraId="520D390A" w14:textId="7EDEF882">
      <w:pPr>
        <w:pStyle w:val="ParaNum"/>
        <w:widowControl/>
      </w:pPr>
      <w:r>
        <w:t xml:space="preserve">In a change </w:t>
      </w:r>
      <w:r w:rsidR="00E93717">
        <w:t xml:space="preserve">from past </w:t>
      </w:r>
      <w:r>
        <w:t>practice</w:t>
      </w:r>
      <w:r>
        <w:t xml:space="preserve">, </w:t>
      </w:r>
      <w:r>
        <w:t>the Commission will not provide a partially completed Form 159, FCC Remittance Advice Form</w:t>
      </w:r>
      <w:r w:rsidR="00A002A6">
        <w:t>,</w:t>
      </w:r>
      <w:r>
        <w:t xml:space="preserve"> to </w:t>
      </w:r>
      <w:r>
        <w:t>each winning bidder that must make a payment to meet its down and/or final payment obligations</w:t>
      </w:r>
      <w:r w:rsidR="00D35E5D">
        <w:t xml:space="preserve">. </w:t>
      </w:r>
      <w:r>
        <w:t xml:space="preserve"> Please direct questions concerning the calculation and submission of down payments, final payments, </w:t>
      </w:r>
      <w:r w:rsidRPr="00E93512">
        <w:t xml:space="preserve">and refunds to </w:t>
      </w:r>
      <w:r w:rsidR="00FA2CE8">
        <w:t>the FCC Revenue &amp; Receivables Operations Group/Auctions listed at the end of this Public Notice</w:t>
      </w:r>
      <w:r w:rsidRPr="002C290B">
        <w:rPr>
          <w:color w:val="000000"/>
          <w:szCs w:val="22"/>
        </w:rPr>
        <w:t>.</w:t>
      </w:r>
      <w:r w:rsidRPr="00E93512">
        <w:t xml:space="preserve">  </w:t>
      </w:r>
    </w:p>
    <w:p w:rsidR="00E93717" w:rsidRPr="00E93512" w:rsidP="00E93717" w14:paraId="545D3004" w14:textId="77777777">
      <w:pPr>
        <w:pStyle w:val="Heading2"/>
        <w:keepLines/>
        <w:widowControl/>
      </w:pPr>
      <w:bookmarkStart w:id="11" w:name="_Toc124648778"/>
      <w:bookmarkStart w:id="12" w:name="_Toc124649152"/>
      <w:bookmarkStart w:id="13" w:name="_Toc124649223"/>
      <w:bookmarkStart w:id="14" w:name="_Toc124649414"/>
      <w:bookmarkStart w:id="15" w:name="_Toc124650001"/>
      <w:bookmarkStart w:id="16" w:name="_Toc124650095"/>
      <w:bookmarkStart w:id="17" w:name="_Toc124661263"/>
      <w:bookmarkStart w:id="18" w:name="_Toc124661378"/>
      <w:bookmarkStart w:id="19" w:name="_Toc124661473"/>
      <w:r w:rsidRPr="00E93512">
        <w:t>Default and Disqualification Payments</w:t>
      </w:r>
    </w:p>
    <w:bookmarkEnd w:id="11"/>
    <w:bookmarkEnd w:id="12"/>
    <w:bookmarkEnd w:id="13"/>
    <w:bookmarkEnd w:id="14"/>
    <w:bookmarkEnd w:id="15"/>
    <w:bookmarkEnd w:id="16"/>
    <w:bookmarkEnd w:id="17"/>
    <w:bookmarkEnd w:id="18"/>
    <w:bookmarkEnd w:id="19"/>
    <w:p w:rsidR="00FA2CE8" w:rsidP="008B41DA" w14:paraId="33724C3F" w14:textId="073B5868">
      <w:pPr>
        <w:pStyle w:val="ParaNum"/>
        <w:widowControl/>
      </w:pPr>
      <w:r w:rsidRPr="00202FBB">
        <w:t>The Commission imposes payment obligations on bidders that default on payments due after an auction closes and on bidders that are disqualified</w:t>
      </w:r>
      <w:r>
        <w:t>.</w:t>
      </w:r>
      <w:r>
        <w:rPr>
          <w:rStyle w:val="FootnoteReference"/>
        </w:rPr>
        <w:footnoteReference w:id="16"/>
      </w:r>
      <w:r w:rsidR="00E93717">
        <w:t xml:space="preserve">  </w:t>
      </w:r>
    </w:p>
    <w:p w:rsidR="008B41DA" w:rsidRPr="0081691F" w:rsidP="008B41DA" w14:paraId="1C691749" w14:textId="670B5432">
      <w:pPr>
        <w:pStyle w:val="ParaNum"/>
        <w:widowControl/>
      </w:pPr>
      <w:r w:rsidRPr="0075740E">
        <w:t xml:space="preserve">If </w:t>
      </w:r>
      <w:r>
        <w:t>a</w:t>
      </w:r>
      <w:r w:rsidRPr="0075740E">
        <w:t xml:space="preserve"> winning bidder defaults or is disqualified after the close of the auction (i.e., fails to remit the required down </w:t>
      </w:r>
      <w:r w:rsidRPr="0081691F">
        <w:t xml:space="preserve">payment by the specified deadline, fails to submit a timely long-form application, fails to make full payment of the balance of its winning bid(s) by the specified deadline, or is otherwise disqualified for any reason), the defaulting bidder will be subject to the payment obligations described in </w:t>
      </w:r>
      <w:r w:rsidRPr="0081691F">
        <w:t>section 1.2104(g)(2)</w:t>
      </w:r>
      <w:r w:rsidR="004C242C">
        <w:t xml:space="preserve"> of the Commission’s rules</w:t>
      </w:r>
      <w:r w:rsidRPr="0081691F">
        <w:t>.</w:t>
      </w:r>
      <w:r>
        <w:rPr>
          <w:rStyle w:val="FootnoteReference"/>
        </w:rPr>
        <w:footnoteReference w:id="17"/>
      </w:r>
      <w:r w:rsidRPr="0081691F">
        <w:t xml:space="preserve">  These payment obligations include both a deficiency payment</w:t>
      </w:r>
      <w:r w:rsidR="00DC1F01">
        <w:t xml:space="preserve"> and an additional payment amount.  </w:t>
      </w:r>
      <w:r w:rsidRPr="00202FBB" w:rsidR="00FA2CE8">
        <w:t xml:space="preserve">The deficiency payment component applies only in the event that the subsequent winning bid the next time the </w:t>
      </w:r>
      <w:r w:rsidR="00FA2CE8">
        <w:t xml:space="preserve">permit </w:t>
      </w:r>
      <w:r w:rsidRPr="00202FBB" w:rsidR="00FA2CE8">
        <w:t xml:space="preserve">is won in an auction is less than the defaulted bid.  </w:t>
      </w:r>
      <w:r w:rsidR="00DC1F01">
        <w:t>The deficiency payment is</w:t>
      </w:r>
      <w:r w:rsidRPr="0081691F">
        <w:t xml:space="preserve"> equal to the difference between the amount of the defaulter’s bid and the amount of the </w:t>
      </w:r>
      <w:r w:rsidR="00FA2CE8">
        <w:t xml:space="preserve">subsequent </w:t>
      </w:r>
      <w:r w:rsidRPr="0081691F">
        <w:t>winning bid</w:t>
      </w:r>
      <w:r w:rsidR="00BE47C5">
        <w:t>.</w:t>
      </w:r>
      <w:r>
        <w:rPr>
          <w:rStyle w:val="FootnoteReference"/>
        </w:rPr>
        <w:footnoteReference w:id="18"/>
      </w:r>
      <w:r w:rsidRPr="0081691F">
        <w:t xml:space="preserve"> </w:t>
      </w:r>
      <w:r w:rsidR="00310626">
        <w:t xml:space="preserve"> </w:t>
      </w:r>
      <w:r w:rsidR="00BE47C5">
        <w:t>The</w:t>
      </w:r>
      <w:r w:rsidRPr="0081691F">
        <w:t xml:space="preserve"> additional payment </w:t>
      </w:r>
      <w:r w:rsidR="00BE47C5">
        <w:t xml:space="preserve">is </w:t>
      </w:r>
      <w:r w:rsidR="00087609">
        <w:t xml:space="preserve">owed by each defaulting bidder and is </w:t>
      </w:r>
      <w:r w:rsidRPr="0081691F">
        <w:t>equal to a percent</w:t>
      </w:r>
      <w:r>
        <w:t>age</w:t>
      </w:r>
      <w:r w:rsidRPr="0081691F">
        <w:t xml:space="preserve"> of the defaulter’s bid or the subsequent winning bid, whichever is less.</w:t>
      </w:r>
      <w:r>
        <w:rPr>
          <w:rStyle w:val="FootnoteReference"/>
        </w:rPr>
        <w:footnoteReference w:id="19"/>
      </w:r>
      <w:r w:rsidRPr="0081691F">
        <w:t xml:space="preserve">  The additional default payment for Auction </w:t>
      </w:r>
      <w:r w:rsidR="00406EF0">
        <w:t>100</w:t>
      </w:r>
      <w:r w:rsidRPr="0081691F" w:rsidR="00406EF0">
        <w:t xml:space="preserve"> </w:t>
      </w:r>
      <w:r w:rsidRPr="0081691F">
        <w:t xml:space="preserve">permits was set at </w:t>
      </w:r>
      <w:r>
        <w:t>20</w:t>
      </w:r>
      <w:r w:rsidR="00406EF0">
        <w:t>%</w:t>
      </w:r>
      <w:r w:rsidRPr="0081691F">
        <w:t xml:space="preserve"> of the applicable bid.</w:t>
      </w:r>
      <w:r>
        <w:rPr>
          <w:rStyle w:val="FootnoteReference"/>
        </w:rPr>
        <w:footnoteReference w:id="20"/>
      </w:r>
    </w:p>
    <w:p w:rsidR="008B41DA" w:rsidRPr="0081691F" w:rsidP="008B41DA" w14:paraId="06AEFED9" w14:textId="672DFA7C">
      <w:pPr>
        <w:pStyle w:val="ParaNum"/>
        <w:widowControl/>
      </w:pPr>
      <w:r w:rsidRPr="0081691F">
        <w:t xml:space="preserve">If a winning bidder fails to remit the required down payment </w:t>
      </w:r>
      <w:r>
        <w:t xml:space="preserve">by the </w:t>
      </w:r>
      <w:r w:rsidR="00555843">
        <w:t>July 18</w:t>
      </w:r>
      <w:r w:rsidR="00087609">
        <w:t xml:space="preserve">, 2019 </w:t>
      </w:r>
      <w:r>
        <w:t xml:space="preserve">deadline specified in this </w:t>
      </w:r>
      <w:r w:rsidR="00DC1F01">
        <w:t>P</w:t>
      </w:r>
      <w:r>
        <w:t xml:space="preserve">ublic </w:t>
      </w:r>
      <w:r w:rsidR="00DC1F01">
        <w:t>N</w:t>
      </w:r>
      <w:r>
        <w:t xml:space="preserve">otice, the </w:t>
      </w:r>
      <w:r w:rsidRPr="00465638">
        <w:t>bidder</w:t>
      </w:r>
      <w:r w:rsidRPr="0081691F">
        <w:t xml:space="preserve"> will be </w:t>
      </w:r>
      <w:r w:rsidR="00087609">
        <w:t xml:space="preserve">deemed to have </w:t>
      </w:r>
      <w:r w:rsidRPr="0081691F">
        <w:t>default</w:t>
      </w:r>
      <w:r w:rsidR="00087609">
        <w:t>ed</w:t>
      </w:r>
      <w:r w:rsidRPr="0081691F">
        <w:t>, its long-form application will be dismissed, and it will be liable for a default payment as described above.</w:t>
      </w:r>
      <w:r>
        <w:rPr>
          <w:rStyle w:val="FootnoteReference"/>
        </w:rPr>
        <w:footnoteReference w:id="21"/>
      </w:r>
    </w:p>
    <w:p w:rsidR="008B41DA" w:rsidRPr="00465638" w:rsidP="008B41DA" w14:paraId="02738E92" w14:textId="6A1F7413">
      <w:pPr>
        <w:pStyle w:val="ParaNum"/>
        <w:widowControl/>
      </w:pPr>
      <w:r w:rsidRPr="0081691F">
        <w:t xml:space="preserve">If a winning bidder fails to pay the balance of its winning bid in a lump sum by the </w:t>
      </w:r>
      <w:r w:rsidR="00AB3F73">
        <w:t>August 1</w:t>
      </w:r>
      <w:r w:rsidR="00087609">
        <w:t xml:space="preserve">, 2019 </w:t>
      </w:r>
      <w:r w:rsidRPr="0081691F">
        <w:t xml:space="preserve">deadline specified in this </w:t>
      </w:r>
      <w:r w:rsidR="0048101F">
        <w:t>P</w:t>
      </w:r>
      <w:r w:rsidRPr="0081691F">
        <w:t xml:space="preserve">ublic </w:t>
      </w:r>
      <w:r w:rsidR="00C533B5">
        <w:t>N</w:t>
      </w:r>
      <w:r w:rsidRPr="0081691F">
        <w:t>otice,</w:t>
      </w:r>
      <w:r>
        <w:t xml:space="preserve"> then</w:t>
      </w:r>
      <w:r w:rsidRPr="0081691F">
        <w:t xml:space="preserve"> it will be allowed to make a late payment within </w:t>
      </w:r>
      <w:r>
        <w:t>10</w:t>
      </w:r>
      <w:r w:rsidRPr="0081691F">
        <w:t xml:space="preserve"> business days after the payment deadline, provided that it also pays a late fee equal to </w:t>
      </w:r>
      <w:r w:rsidR="00406EF0">
        <w:t>5%</w:t>
      </w:r>
      <w:r w:rsidRPr="0081691F">
        <w:t xml:space="preserve"> of the </w:t>
      </w:r>
      <w:r w:rsidRPr="00465638">
        <w:t>amount due.</w:t>
      </w:r>
      <w:r>
        <w:rPr>
          <w:rStyle w:val="FootnoteReference"/>
        </w:rPr>
        <w:footnoteReference w:id="22"/>
      </w:r>
      <w:r w:rsidRPr="00465638">
        <w:t xml:space="preserve">  If a winning bidder fails to pay (a) the balance of its winning bid by the payment deadline on </w:t>
      </w:r>
      <w:r w:rsidR="00AB3F73">
        <w:t>August 1</w:t>
      </w:r>
      <w:r>
        <w:t>, 201</w:t>
      </w:r>
      <w:r w:rsidR="00E6733C">
        <w:t>9</w:t>
      </w:r>
      <w:r w:rsidRPr="00465638">
        <w:t xml:space="preserve">, or (b) the balance of its winning bid plus the late fee by the late payment deadline on </w:t>
      </w:r>
      <w:r w:rsidR="00AB3F73">
        <w:t>August 15</w:t>
      </w:r>
      <w:r>
        <w:t>, 201</w:t>
      </w:r>
      <w:r w:rsidR="00E6733C">
        <w:t>9</w:t>
      </w:r>
      <w:r w:rsidRPr="00465638">
        <w:t xml:space="preserve">, </w:t>
      </w:r>
      <w:r>
        <w:t xml:space="preserve">then </w:t>
      </w:r>
      <w:r w:rsidRPr="00465638">
        <w:t xml:space="preserve">it will be </w:t>
      </w:r>
      <w:r w:rsidR="003B67B0">
        <w:t>in default</w:t>
      </w:r>
      <w:r w:rsidRPr="00465638">
        <w:t>, and it will be subject to applicable default payments.</w:t>
      </w:r>
      <w:r>
        <w:rPr>
          <w:rStyle w:val="FootnoteReference"/>
        </w:rPr>
        <w:footnoteReference w:id="23"/>
      </w:r>
    </w:p>
    <w:p w:rsidR="008B41DA" w:rsidP="008B41DA" w14:paraId="2631324F" w14:textId="77777777">
      <w:pPr>
        <w:pStyle w:val="ParaNum"/>
        <w:widowControl/>
      </w:pPr>
      <w:r>
        <w:t>The Commission will review an applicant’s long-form application only after receipt of full and timely payment for the winning bid amount and any applicable late fees.  The relevant construction permit will be granted after determination that the long-form application meets the Commission’s</w:t>
      </w:r>
      <w:r w:rsidRPr="00067D3E">
        <w:t xml:space="preserve"> requirements for grant.</w:t>
      </w:r>
      <w:r>
        <w:rPr>
          <w:rStyle w:val="FootnoteReference"/>
        </w:rPr>
        <w:footnoteReference w:id="24"/>
      </w:r>
      <w:r w:rsidRPr="00067D3E">
        <w:t xml:space="preserve">  </w:t>
      </w:r>
    </w:p>
    <w:p w:rsidR="008B41DA" w:rsidRPr="00545F16" w:rsidP="008B41DA" w14:paraId="4863CE2D" w14:textId="77777777">
      <w:pPr>
        <w:pStyle w:val="ParaNum"/>
        <w:widowControl/>
      </w:pPr>
      <w:r w:rsidRPr="00545F16">
        <w:t>A</w:t>
      </w:r>
      <w:r>
        <w:t xml:space="preserve"> </w:t>
      </w:r>
      <w:r w:rsidRPr="00545F16">
        <w:t xml:space="preserve">bidder that </w:t>
      </w:r>
      <w:r>
        <w:t>is</w:t>
      </w:r>
      <w:r w:rsidRPr="00545F16">
        <w:t xml:space="preserve"> found to have violated the antitrust laws or the Commission’s rules in connection with </w:t>
      </w:r>
      <w:r>
        <w:t>i</w:t>
      </w:r>
      <w:r w:rsidRPr="00545F16">
        <w:t>t</w:t>
      </w:r>
      <w:r>
        <w:t>s</w:t>
      </w:r>
      <w:r w:rsidRPr="00545F16">
        <w:t xml:space="preserve"> participation in the competitive bidding process </w:t>
      </w:r>
      <w:r>
        <w:t>may</w:t>
      </w:r>
      <w:r w:rsidRPr="00545F16">
        <w:t xml:space="preserve"> be subject, in addition to any other applicable sanctions, to forfeiture of </w:t>
      </w:r>
      <w:r>
        <w:t>i</w:t>
      </w:r>
      <w:r w:rsidRPr="00545F16">
        <w:t>t</w:t>
      </w:r>
      <w:r>
        <w:t>s</w:t>
      </w:r>
      <w:r w:rsidRPr="00545F16">
        <w:t xml:space="preserve"> upfront payment, down payment, or full bid amount, and </w:t>
      </w:r>
      <w:r>
        <w:t>may</w:t>
      </w:r>
      <w:r w:rsidRPr="00545F16">
        <w:t xml:space="preserve"> be prohibited from participating in future auctions.</w:t>
      </w:r>
      <w:r>
        <w:rPr>
          <w:rStyle w:val="FootnoteReference"/>
        </w:rPr>
        <w:footnoteReference w:id="25"/>
      </w:r>
    </w:p>
    <w:p w:rsidR="008B41DA" w:rsidRPr="00545F16" w:rsidP="008B41DA" w14:paraId="37E97E26" w14:textId="77777777">
      <w:pPr>
        <w:pStyle w:val="Heading2"/>
        <w:keepLines/>
        <w:widowControl/>
      </w:pPr>
      <w:r w:rsidRPr="00545F16">
        <w:t>Refund of Excess Payments</w:t>
      </w:r>
    </w:p>
    <w:p w:rsidR="00A277B8" w:rsidP="008B41DA" w14:paraId="7793A887" w14:textId="34B369C1">
      <w:pPr>
        <w:pStyle w:val="ParaNum"/>
        <w:widowControl/>
      </w:pPr>
      <w:r w:rsidRPr="00545F16">
        <w:t>Upfront monies on deposit that are in excess of</w:t>
      </w:r>
      <w:r>
        <w:t xml:space="preserve"> an applicant’s Auction </w:t>
      </w:r>
      <w:r w:rsidR="00406EF0">
        <w:t xml:space="preserve">100 </w:t>
      </w:r>
      <w:r>
        <w:t xml:space="preserve">obligations </w:t>
      </w:r>
      <w:r w:rsidR="003B67B0">
        <w:t>may</w:t>
      </w:r>
      <w:r w:rsidRPr="00545F16">
        <w:t xml:space="preserve"> be refunded to the </w:t>
      </w:r>
      <w:r>
        <w:t xml:space="preserve">payer </w:t>
      </w:r>
      <w:r w:rsidRPr="00545F16">
        <w:t xml:space="preserve">of record as identified on </w:t>
      </w:r>
      <w:r>
        <w:t xml:space="preserve">the upfront payment wire transfer.  </w:t>
      </w:r>
    </w:p>
    <w:p w:rsidR="008B41DA" w:rsidP="008B41DA" w14:paraId="13993D91" w14:textId="61396829">
      <w:pPr>
        <w:pStyle w:val="ParaNum"/>
        <w:widowControl/>
      </w:pPr>
      <w:r>
        <w:t xml:space="preserve">To receive a refund, an </w:t>
      </w:r>
      <w:r w:rsidRPr="00226613">
        <w:t xml:space="preserve">applicant must submit a refund request and provide wire transfer instructions.  Each applicant can provide this information by using the </w:t>
      </w:r>
      <w:r w:rsidRPr="009E1928">
        <w:t xml:space="preserve">FCC auction </w:t>
      </w:r>
      <w:r>
        <w:t xml:space="preserve">application </w:t>
      </w:r>
      <w:r w:rsidRPr="00021DA0">
        <w:t>s</w:t>
      </w:r>
      <w:r w:rsidRPr="009E1928">
        <w:t>ystem</w:t>
      </w:r>
      <w:r w:rsidRPr="00226613">
        <w:t xml:space="preserve"> </w:t>
      </w:r>
      <w:r>
        <w:t>to file its refund</w:t>
      </w:r>
      <w:r w:rsidRPr="0081691F">
        <w:t xml:space="preserve"> </w:t>
      </w:r>
      <w:r>
        <w:t>information electronically</w:t>
      </w:r>
      <w:r w:rsidR="003B67B0">
        <w:t>,</w:t>
      </w:r>
      <w:r>
        <w:t xml:space="preserve"> using the </w:t>
      </w:r>
      <w:r w:rsidRPr="00021DA0">
        <w:rPr>
          <w:b/>
        </w:rPr>
        <w:t xml:space="preserve">Refund </w:t>
      </w:r>
      <w:r>
        <w:rPr>
          <w:b/>
        </w:rPr>
        <w:t>Form</w:t>
      </w:r>
      <w:r>
        <w:t xml:space="preserve"> icon found on the </w:t>
      </w:r>
      <w:r w:rsidRPr="00021DA0">
        <w:rPr>
          <w:i/>
        </w:rPr>
        <w:t>Auction Application Manager</w:t>
      </w:r>
      <w:r>
        <w:t xml:space="preserve"> page</w:t>
      </w:r>
      <w:r w:rsidR="003B67B0">
        <w:t>,</w:t>
      </w:r>
      <w:r>
        <w:t xml:space="preserve"> </w:t>
      </w:r>
      <w:r w:rsidRPr="00465638">
        <w:t xml:space="preserve">by </w:t>
      </w:r>
      <w:r w:rsidR="00555843">
        <w:rPr>
          <w:b/>
          <w:szCs w:val="22"/>
        </w:rPr>
        <w:t>July 18</w:t>
      </w:r>
      <w:r w:rsidRPr="00F17DC0">
        <w:rPr>
          <w:b/>
          <w:szCs w:val="22"/>
        </w:rPr>
        <w:t>, 201</w:t>
      </w:r>
      <w:r w:rsidR="00BB2CFF">
        <w:rPr>
          <w:b/>
          <w:szCs w:val="22"/>
        </w:rPr>
        <w:t>9</w:t>
      </w:r>
      <w:r w:rsidRPr="00465638">
        <w:t xml:space="preserve">.  </w:t>
      </w:r>
      <w:r>
        <w:t xml:space="preserve">After the required information is completed on the blank form, the form should be printed, signed, and submitted to the Commission by mail or fax as instructed below. </w:t>
      </w:r>
    </w:p>
    <w:p w:rsidR="008B41DA" w:rsidP="008B41DA" w14:paraId="78DB9B45" w14:textId="14D4327F">
      <w:pPr>
        <w:pStyle w:val="ParaNum"/>
        <w:widowControl/>
      </w:pPr>
      <w:r w:rsidRPr="00465638">
        <w:t>After</w:t>
      </w:r>
      <w:r w:rsidRPr="0081691F">
        <w:t xml:space="preserve"> </w:t>
      </w:r>
      <w:r w:rsidR="00555843">
        <w:t>July 18</w:t>
      </w:r>
      <w:r>
        <w:t>, 201</w:t>
      </w:r>
      <w:r w:rsidR="00BB2CFF">
        <w:t>9</w:t>
      </w:r>
      <w:r w:rsidR="003B67B0">
        <w:t>,</w:t>
      </w:r>
      <w:r w:rsidRPr="00F17DC0">
        <w:t xml:space="preserve"> </w:t>
      </w:r>
      <w:r>
        <w:t>or if you have elected not to access the Refund Form through the Auction Application Manager page</w:t>
      </w:r>
      <w:r w:rsidRPr="0081691F">
        <w:t xml:space="preserve">, </w:t>
      </w:r>
      <w:r>
        <w:t>the Commission requests that all information listed below be supplied in writing</w:t>
      </w:r>
      <w:r w:rsidR="003B67B0">
        <w:t>:</w:t>
      </w:r>
    </w:p>
    <w:p w:rsidR="008B41DA" w:rsidP="008B41DA" w14:paraId="1BE09DBB" w14:textId="77777777">
      <w:pPr>
        <w:keepNext/>
        <w:keepLines/>
        <w:widowControl/>
        <w:ind w:left="1440" w:firstLine="720"/>
      </w:pPr>
      <w:r>
        <w:t>Name, address, contact and phone number of Bank</w:t>
      </w:r>
    </w:p>
    <w:p w:rsidR="008B41DA" w:rsidP="00FA3DF4" w14:paraId="130FC58F" w14:textId="41D3F011">
      <w:pPr>
        <w:ind w:left="2160"/>
      </w:pPr>
      <w:r>
        <w:t xml:space="preserve">Automated Clearing House (ACH) </w:t>
      </w:r>
      <w:r>
        <w:t xml:space="preserve">ABA Number </w:t>
      </w:r>
      <w:r>
        <w:t>(Please verify this number with your Bank)</w:t>
      </w:r>
    </w:p>
    <w:p w:rsidR="008B41DA" w:rsidP="008B41DA" w14:paraId="5F1AC262" w14:textId="77777777">
      <w:pPr>
        <w:keepLines/>
        <w:widowControl/>
        <w:ind w:left="1440" w:firstLine="720"/>
      </w:pPr>
      <w:r>
        <w:t>Account Number to Credit</w:t>
      </w:r>
    </w:p>
    <w:p w:rsidR="008B41DA" w:rsidP="008B41DA" w14:paraId="20A015BA" w14:textId="77777777">
      <w:pPr>
        <w:ind w:left="1440" w:firstLine="720"/>
      </w:pPr>
      <w:r>
        <w:t>Name of Account Holder</w:t>
      </w:r>
    </w:p>
    <w:p w:rsidR="008B41DA" w:rsidP="008B41DA" w14:paraId="386E382B" w14:textId="77777777">
      <w:pPr>
        <w:keepNext/>
        <w:keepLines/>
        <w:widowControl/>
        <w:spacing w:after="240"/>
        <w:ind w:left="1440" w:firstLine="720"/>
      </w:pPr>
      <w:r>
        <w:t>FCC Registration Number (FRN)</w:t>
      </w:r>
    </w:p>
    <w:p w:rsidR="008B41DA" w:rsidP="008B41DA" w14:paraId="776D9AEA" w14:textId="5553E31B">
      <w:pPr>
        <w:pStyle w:val="ParaNum"/>
        <w:widowControl/>
      </w:pPr>
      <w:r>
        <w:t>The refund request must be submitted by fax to the Revenue &amp; Receivables Operations Group/Auctions at (202) 418-2843</w:t>
      </w:r>
      <w:r w:rsidR="00BB2CFF">
        <w:t>, by email to RROGWIREFAXES@fcc.gov,</w:t>
      </w:r>
      <w:r>
        <w:t xml:space="preserve"> or by mail to: </w:t>
      </w:r>
    </w:p>
    <w:p w:rsidR="008B41DA" w:rsidP="008B41DA" w14:paraId="42DD0648" w14:textId="77777777">
      <w:pPr>
        <w:ind w:left="1440" w:firstLine="720"/>
      </w:pPr>
      <w:r>
        <w:t>Federal Communications Commission</w:t>
      </w:r>
    </w:p>
    <w:p w:rsidR="008B41DA" w:rsidP="008B41DA" w14:paraId="3446DAFD" w14:textId="77777777">
      <w:pPr>
        <w:ind w:left="1440" w:firstLine="720"/>
      </w:pPr>
      <w:r>
        <w:t>Financial Operations</w:t>
      </w:r>
    </w:p>
    <w:p w:rsidR="008B41DA" w:rsidP="008B41DA" w14:paraId="1D4BE5CB" w14:textId="77777777">
      <w:pPr>
        <w:ind w:left="1440" w:firstLine="720"/>
      </w:pPr>
      <w:r>
        <w:t>Revenue &amp; Receivables Operations Group/Auctions</w:t>
      </w:r>
    </w:p>
    <w:p w:rsidR="008B41DA" w:rsidP="008B41DA" w14:paraId="03BB53F9" w14:textId="6A6579C2">
      <w:pPr>
        <w:ind w:left="1440" w:firstLine="720"/>
      </w:pPr>
      <w:r>
        <w:t>Scott Radcliffe</w:t>
      </w:r>
    </w:p>
    <w:p w:rsidR="008B41DA" w:rsidP="008B41DA" w14:paraId="449125EA" w14:textId="51FCE8CF">
      <w:pPr>
        <w:keepNext/>
        <w:ind w:left="1440" w:firstLine="720"/>
      </w:pPr>
      <w:r>
        <w:t>445 12</w:t>
      </w:r>
      <w:r w:rsidRPr="00021DA0">
        <w:rPr>
          <w:vertAlign w:val="superscript"/>
        </w:rPr>
        <w:t>th</w:t>
      </w:r>
      <w:r>
        <w:t xml:space="preserve"> Street, SW, Room 1-</w:t>
      </w:r>
      <w:r w:rsidR="00BB2CFF">
        <w:t>C848</w:t>
      </w:r>
    </w:p>
    <w:p w:rsidR="008B41DA" w:rsidP="008B41DA" w14:paraId="0F684D2A" w14:textId="77777777">
      <w:pPr>
        <w:spacing w:after="240"/>
        <w:ind w:left="1440" w:firstLine="720"/>
      </w:pPr>
      <w:r>
        <w:t>Washington, DC 20554</w:t>
      </w:r>
    </w:p>
    <w:p w:rsidR="00490A67" w:rsidP="008B41DA" w14:paraId="383EE216" w14:textId="7FEC8995">
      <w:pPr>
        <w:pStyle w:val="ParaNum"/>
        <w:widowControl/>
      </w:pPr>
      <w:r>
        <w:t xml:space="preserve">An applicant seeking a refund should verify that the taxpayer identification number (TIN) associated with its FCC Registration Number (FRN) is correct by visiting the FRN website at </w:t>
      </w:r>
      <w:hyperlink r:id="rId5" w:history="1">
        <w:r>
          <w:rPr>
            <w:rStyle w:val="Hyperlink"/>
          </w:rPr>
          <w:t>https://apps.fcc.gov/cores</w:t>
        </w:r>
      </w:hyperlink>
      <w:r>
        <w:t xml:space="preserve"> to update its records before submitting a refund request.  An FRN with no TIN on file cannot be processed until a TIN is provided.</w:t>
      </w:r>
    </w:p>
    <w:p w:rsidR="008B41DA" w:rsidRPr="0081691F" w:rsidP="008B41DA" w14:paraId="2F64FEDA" w14:textId="27D0C6CE">
      <w:pPr>
        <w:pStyle w:val="ParaNum"/>
        <w:widowControl/>
      </w:pPr>
      <w:r w:rsidRPr="0081691F">
        <w:t xml:space="preserve">Any questions concerning refunds should be </w:t>
      </w:r>
      <w:r>
        <w:t>directed</w:t>
      </w:r>
      <w:r w:rsidRPr="0081691F">
        <w:t xml:space="preserve"> to </w:t>
      </w:r>
      <w:r w:rsidR="00490A67">
        <w:t>the FCC Revenue &amp; Receivables Operations Group/Auctions listed at the end of this Public Notice</w:t>
      </w:r>
      <w:r w:rsidRPr="00F17DC0">
        <w:rPr>
          <w:color w:val="000000"/>
          <w:szCs w:val="22"/>
        </w:rPr>
        <w:t xml:space="preserve">.  </w:t>
      </w:r>
    </w:p>
    <w:p w:rsidR="008B41DA" w:rsidRPr="0081691F" w:rsidP="008B41DA" w14:paraId="5091CCAF" w14:textId="7BF59516">
      <w:pPr>
        <w:pStyle w:val="Heading2"/>
        <w:keepLines/>
        <w:widowControl/>
      </w:pPr>
      <w:r>
        <w:t>Long-Form Application (</w:t>
      </w:r>
      <w:r w:rsidRPr="0081691F">
        <w:t xml:space="preserve">FCC Form </w:t>
      </w:r>
      <w:r>
        <w:t>349</w:t>
      </w:r>
      <w:r>
        <w:t xml:space="preserve">) – Due Before midnight ET on </w:t>
      </w:r>
      <w:r w:rsidR="00AB3F73">
        <w:t>August 2</w:t>
      </w:r>
      <w:r>
        <w:t>, 2019</w:t>
      </w:r>
    </w:p>
    <w:p w:rsidR="008B41DA" w:rsidRPr="00465638" w:rsidP="008B41DA" w14:paraId="0466271A" w14:textId="1FB23D7A">
      <w:pPr>
        <w:pStyle w:val="ParaNum"/>
        <w:widowControl/>
      </w:pPr>
      <w:r>
        <w:t>E</w:t>
      </w:r>
      <w:r w:rsidRPr="0081691F">
        <w:t>ach winning</w:t>
      </w:r>
      <w:r w:rsidRPr="00226613">
        <w:t xml:space="preserve"> bidder must submit electronically a properly</w:t>
      </w:r>
      <w:r>
        <w:t xml:space="preserve"> </w:t>
      </w:r>
      <w:r w:rsidRPr="00226613">
        <w:t xml:space="preserve">completed long-form application (FCC Form </w:t>
      </w:r>
      <w:r>
        <w:t>349</w:t>
      </w:r>
      <w:r w:rsidRPr="00B54B2D">
        <w:t>, Application for Authority to Construct or Make Changes in an FM Translator or FM Booster Station), including</w:t>
      </w:r>
      <w:r w:rsidRPr="00226613">
        <w:t xml:space="preserve"> all required exhibits, for </w:t>
      </w:r>
      <w:r>
        <w:t xml:space="preserve">the </w:t>
      </w:r>
      <w:r w:rsidRPr="00226613">
        <w:t xml:space="preserve">construction permit for which it was the winning bidder in Auction </w:t>
      </w:r>
      <w:r w:rsidR="00406EF0">
        <w:t>100</w:t>
      </w:r>
      <w:r>
        <w:t>, p</w:t>
      </w:r>
      <w:r w:rsidRPr="00B1519F">
        <w:t>rior to</w:t>
      </w:r>
      <w:r>
        <w:rPr>
          <w:b/>
        </w:rPr>
        <w:t xml:space="preserve"> midnight ET on </w:t>
      </w:r>
      <w:r w:rsidR="00AB3F73">
        <w:rPr>
          <w:b/>
        </w:rPr>
        <w:t>August 2</w:t>
      </w:r>
      <w:r>
        <w:rPr>
          <w:b/>
        </w:rPr>
        <w:t>, 2019</w:t>
      </w:r>
      <w:r w:rsidRPr="000C1F18">
        <w:t>.</w:t>
      </w:r>
      <w:r>
        <w:rPr>
          <w:rStyle w:val="FootnoteReference"/>
        </w:rPr>
        <w:footnoteReference w:id="26"/>
      </w:r>
      <w:r w:rsidRPr="00465638">
        <w:rPr>
          <w:b/>
        </w:rPr>
        <w:t xml:space="preserve"> </w:t>
      </w:r>
    </w:p>
    <w:p w:rsidR="008B41DA" w:rsidRPr="00226613" w:rsidP="008B41DA" w14:paraId="5DF6B589" w14:textId="327CA308">
      <w:pPr>
        <w:pStyle w:val="ParaNum"/>
        <w:widowControl/>
      </w:pPr>
      <w:r w:rsidRPr="00226613">
        <w:t xml:space="preserve">Each Auction </w:t>
      </w:r>
      <w:r w:rsidR="00406EF0">
        <w:t>100</w:t>
      </w:r>
      <w:r w:rsidRPr="00226613" w:rsidR="00406EF0">
        <w:t xml:space="preserve"> </w:t>
      </w:r>
      <w:r w:rsidRPr="00226613">
        <w:t>winning bidder must file an accurate and complete long-form application</w:t>
      </w:r>
      <w:r>
        <w:t xml:space="preserve"> (FCC Form 349) </w:t>
      </w:r>
      <w:r w:rsidRPr="00226613">
        <w:t xml:space="preserve">for each construction permit for which it was the winning bidder in Auction </w:t>
      </w:r>
      <w:r w:rsidR="00406EF0">
        <w:t>100</w:t>
      </w:r>
      <w:r w:rsidRPr="00226613">
        <w:t>.  The long-form applications must be filed electronically through the Media Bureau’s Consolidated Database System (CDBS) online electronic filing system.</w:t>
      </w:r>
      <w:r>
        <w:rPr>
          <w:rStyle w:val="FootnoteReference"/>
        </w:rPr>
        <w:footnoteReference w:id="27"/>
      </w:r>
      <w:r w:rsidRPr="00226613">
        <w:t xml:space="preserve">  </w:t>
      </w:r>
      <w:r>
        <w:t>In accordance with the Commission’s rules, electronic filing of FCC Form 349 must be accompanied by the appropriate application filing fee.</w:t>
      </w:r>
      <w:r>
        <w:rPr>
          <w:rStyle w:val="FootnoteReference"/>
        </w:rPr>
        <w:footnoteReference w:id="28"/>
      </w:r>
      <w:r>
        <w:t xml:space="preserve">  If </w:t>
      </w:r>
      <w:r w:rsidRPr="00226613">
        <w:rPr>
          <w:snapToGrid/>
          <w:kern w:val="0"/>
        </w:rPr>
        <w:t xml:space="preserve">information submitted </w:t>
      </w:r>
      <w:r w:rsidRPr="008471C8">
        <w:rPr>
          <w:snapToGrid/>
          <w:kern w:val="0"/>
        </w:rPr>
        <w:t xml:space="preserve">on the </w:t>
      </w:r>
      <w:r w:rsidRPr="002C2B5F">
        <w:rPr>
          <w:snapToGrid/>
          <w:kern w:val="0"/>
        </w:rPr>
        <w:t>new</w:t>
      </w:r>
      <w:r w:rsidRPr="008471C8">
        <w:rPr>
          <w:snapToGrid/>
          <w:kern w:val="0"/>
        </w:rPr>
        <w:t xml:space="preserve"> FCC Form </w:t>
      </w:r>
      <w:r>
        <w:rPr>
          <w:snapToGrid/>
          <w:kern w:val="0"/>
        </w:rPr>
        <w:t>349</w:t>
      </w:r>
      <w:r w:rsidRPr="00B03E6F">
        <w:rPr>
          <w:snapToGrid/>
          <w:kern w:val="0"/>
        </w:rPr>
        <w:t xml:space="preserve"> application</w:t>
      </w:r>
      <w:r w:rsidRPr="00226613">
        <w:rPr>
          <w:snapToGrid/>
          <w:kern w:val="0"/>
        </w:rPr>
        <w:t xml:space="preserve"> by the winning bidder </w:t>
      </w:r>
      <w:r>
        <w:rPr>
          <w:snapToGrid/>
          <w:kern w:val="0"/>
        </w:rPr>
        <w:t xml:space="preserve">indicates that the </w:t>
      </w:r>
      <w:r>
        <w:rPr>
          <w:snapToGrid/>
          <w:kern w:val="0"/>
        </w:rPr>
        <w:t xml:space="preserve">applicant has effected </w:t>
      </w:r>
      <w:r w:rsidRPr="00226613">
        <w:rPr>
          <w:snapToGrid/>
          <w:kern w:val="0"/>
        </w:rPr>
        <w:t>a major change</w:t>
      </w:r>
      <w:r>
        <w:rPr>
          <w:snapToGrid/>
          <w:kern w:val="0"/>
        </w:rPr>
        <w:t xml:space="preserve"> relative to</w:t>
      </w:r>
      <w:r w:rsidRPr="00226613">
        <w:rPr>
          <w:snapToGrid/>
          <w:kern w:val="0"/>
        </w:rPr>
        <w:t xml:space="preserve"> information </w:t>
      </w:r>
      <w:r>
        <w:rPr>
          <w:snapToGrid/>
          <w:kern w:val="0"/>
        </w:rPr>
        <w:t>reported on the applicant’s short-form application (</w:t>
      </w:r>
      <w:r w:rsidRPr="00226613">
        <w:rPr>
          <w:snapToGrid/>
          <w:kern w:val="0"/>
        </w:rPr>
        <w:t>FCC Form 175</w:t>
      </w:r>
      <w:r>
        <w:rPr>
          <w:snapToGrid/>
          <w:kern w:val="0"/>
        </w:rPr>
        <w:t>), then the long-form application will be dismissed and the applicant will be in default</w:t>
      </w:r>
      <w:r w:rsidRPr="00226613">
        <w:rPr>
          <w:snapToGrid/>
          <w:kern w:val="0"/>
        </w:rPr>
        <w:t>.</w:t>
      </w:r>
      <w:r>
        <w:rPr>
          <w:rStyle w:val="FootnoteReference"/>
          <w:snapToGrid/>
          <w:kern w:val="0"/>
        </w:rPr>
        <w:footnoteReference w:id="29"/>
      </w:r>
      <w:r w:rsidRPr="00226613">
        <w:rPr>
          <w:snapToGrid/>
          <w:kern w:val="0"/>
        </w:rPr>
        <w:t xml:space="preserve"> </w:t>
      </w:r>
    </w:p>
    <w:p w:rsidR="008B41DA" w:rsidRPr="00D60EDB" w:rsidP="008B41DA" w14:paraId="5C9F1F3C" w14:textId="64A56CD2">
      <w:pPr>
        <w:pStyle w:val="ParaNum"/>
        <w:widowControl/>
      </w:pPr>
      <w:r>
        <w:t>For i</w:t>
      </w:r>
      <w:r w:rsidRPr="008576DF">
        <w:t xml:space="preserve">nstructions </w:t>
      </w:r>
      <w:r>
        <w:t xml:space="preserve">and technical requirements </w:t>
      </w:r>
      <w:r w:rsidRPr="008576DF">
        <w:t>for us</w:t>
      </w:r>
      <w:r>
        <w:t>ing</w:t>
      </w:r>
      <w:r w:rsidRPr="008576DF">
        <w:t xml:space="preserve"> the Media Bureau</w:t>
      </w:r>
      <w:r>
        <w:t>’</w:t>
      </w:r>
      <w:r w:rsidRPr="008576DF">
        <w:t>s electronic filing system</w:t>
      </w:r>
      <w:r>
        <w:t>, go to</w:t>
      </w:r>
      <w:r w:rsidRPr="00067D3E">
        <w:t xml:space="preserve"> the electronic filing web site at</w:t>
      </w:r>
      <w:r>
        <w:t xml:space="preserve"> </w:t>
      </w:r>
      <w:hyperlink r:id="rId6" w:history="1">
        <w:r w:rsidRPr="000E07DD">
          <w:rPr>
            <w:rStyle w:val="Hyperlink"/>
          </w:rPr>
          <w:t>https://licensing.fcc.gov/prod/cdbs/forms/prod/cdbs_ef.htm</w:t>
        </w:r>
      </w:hyperlink>
      <w:hyperlink w:history="1"/>
      <w:r>
        <w:t xml:space="preserve">.  In the CDBS Electronic Filing System section of the page, </w:t>
      </w:r>
      <w:r w:rsidRPr="00D60EDB">
        <w:t xml:space="preserve">click on the </w:t>
      </w:r>
      <w:hyperlink r:id="rId7" w:history="1">
        <w:r w:rsidRPr="007F7458">
          <w:rPr>
            <w:rStyle w:val="Hyperlink"/>
          </w:rPr>
          <w:t>CDBS Electronic Filing User’s Guide</w:t>
        </w:r>
      </w:hyperlink>
      <w:r>
        <w:t xml:space="preserve"> link.  </w:t>
      </w:r>
      <w:r w:rsidRPr="00D60EDB">
        <w:t xml:space="preserve">When filing FCC Form </w:t>
      </w:r>
      <w:r>
        <w:t>349</w:t>
      </w:r>
      <w:r w:rsidRPr="00D60EDB">
        <w:t xml:space="preserve">, an applicant must select “Long Form Application for Auction </w:t>
      </w:r>
      <w:r w:rsidR="00406EF0">
        <w:t>100</w:t>
      </w:r>
      <w:r w:rsidRPr="00D60EDB">
        <w:t>” on the Pre-form</w:t>
      </w:r>
      <w:r>
        <w:t xml:space="preserve"> and enter the relevant short-form application file number from CDBS (Question 2)</w:t>
      </w:r>
      <w:r w:rsidRPr="00D60EDB">
        <w:t>.</w:t>
      </w:r>
      <w:r>
        <w:rPr>
          <w:rStyle w:val="FootnoteReference"/>
        </w:rPr>
        <w:footnoteReference w:id="30"/>
      </w:r>
      <w:r w:rsidRPr="00D60EDB">
        <w:t xml:space="preserve">  For assistance with electronic filing, call the CDBS Help Desk at (202) 418-2662. </w:t>
      </w:r>
    </w:p>
    <w:p w:rsidR="008B41DA" w:rsidP="008B41DA" w14:paraId="5F7E3229" w14:textId="3E70D549">
      <w:pPr>
        <w:pStyle w:val="ParaNum"/>
        <w:widowControl/>
      </w:pPr>
      <w:r w:rsidRPr="00B627BE">
        <w:t>Commission staff will return application</w:t>
      </w:r>
      <w:r>
        <w:t>s</w:t>
      </w:r>
      <w:r w:rsidRPr="00B627BE">
        <w:t xml:space="preserve"> not submitted in accordance with the procedures described in this Public Notice.  </w:t>
      </w:r>
      <w:r w:rsidR="00725EE5">
        <w:t xml:space="preserve">In order to avoid processing delays, applicants </w:t>
      </w:r>
      <w:r>
        <w:t>are</w:t>
      </w:r>
      <w:r w:rsidRPr="00B627BE">
        <w:t xml:space="preserve"> encouraged to pay the FCC Form </w:t>
      </w:r>
      <w:r>
        <w:t xml:space="preserve">349 </w:t>
      </w:r>
      <w:r w:rsidRPr="00B627BE">
        <w:t>application filing fee electronically using the CDBS filing system</w:t>
      </w:r>
      <w:r>
        <w:t>.</w:t>
      </w:r>
    </w:p>
    <w:p w:rsidR="00A277B8" w:rsidRPr="00B627BE" w:rsidP="008B41DA" w14:paraId="09B3225F" w14:textId="7287301C">
      <w:pPr>
        <w:pStyle w:val="ParaNum"/>
        <w:widowControl/>
      </w:pPr>
      <w:r>
        <w:t xml:space="preserve">  </w:t>
      </w:r>
      <w:r w:rsidRPr="00226613" w:rsidR="000C7642">
        <w:t>A</w:t>
      </w:r>
      <w:r w:rsidR="000C7642">
        <w:t xml:space="preserve"> winning bidder </w:t>
      </w:r>
      <w:r w:rsidRPr="00226613" w:rsidR="000C7642">
        <w:t>that fails to submit the required long-form application before the specified deadline</w:t>
      </w:r>
      <w:r w:rsidR="000C7642">
        <w:t>,</w:t>
      </w:r>
      <w:r w:rsidRPr="00226613" w:rsidR="000C7642">
        <w:t xml:space="preserve"> and fails to establish good cause for any late-filed submission</w:t>
      </w:r>
      <w:r w:rsidR="000C7642">
        <w:t>,</w:t>
      </w:r>
      <w:r w:rsidRPr="00226613" w:rsidR="000C7642">
        <w:t xml:space="preserve"> shall </w:t>
      </w:r>
      <w:r w:rsidR="000C7642">
        <w:t xml:space="preserve">be deemed to </w:t>
      </w:r>
      <w:r w:rsidRPr="00226613" w:rsidR="000C7642">
        <w:t>have defaulted and shall be subject to the payments set forth in section 1.2104(g) of the Commission’s rules.</w:t>
      </w:r>
      <w:r>
        <w:rPr>
          <w:rStyle w:val="FootnoteReference"/>
        </w:rPr>
        <w:footnoteReference w:id="31"/>
      </w:r>
    </w:p>
    <w:p w:rsidR="008B41DA" w:rsidP="008B41DA" w14:paraId="07574848" w14:textId="77777777">
      <w:pPr>
        <w:pStyle w:val="Heading2"/>
        <w:keepLines/>
        <w:widowControl/>
      </w:pPr>
      <w:r>
        <w:t>Additional Post-Auction Filing Requirements</w:t>
      </w:r>
    </w:p>
    <w:p w:rsidR="008B41DA" w:rsidP="008B41DA" w14:paraId="3A7CAF86" w14:textId="0F629F66">
      <w:pPr>
        <w:pStyle w:val="ParaNum"/>
        <w:widowControl/>
      </w:pPr>
      <w:r>
        <w:t xml:space="preserve">To </w:t>
      </w:r>
      <w:r w:rsidRPr="008576DF">
        <w:t>fil</w:t>
      </w:r>
      <w:r>
        <w:t>e a</w:t>
      </w:r>
      <w:r w:rsidRPr="008576DF">
        <w:t xml:space="preserve"> complete FCC Form </w:t>
      </w:r>
      <w:r>
        <w:t xml:space="preserve">349 </w:t>
      </w:r>
      <w:r w:rsidRPr="008576DF">
        <w:t>application</w:t>
      </w:r>
      <w:r>
        <w:t xml:space="preserve">, each Auction </w:t>
      </w:r>
      <w:r w:rsidR="00406EF0">
        <w:t xml:space="preserve">100 </w:t>
      </w:r>
      <w:r>
        <w:t>winning bidder</w:t>
      </w:r>
      <w:r w:rsidRPr="008576DF">
        <w:t xml:space="preserve"> must submit the post-auction exhibits required by </w:t>
      </w:r>
      <w:r>
        <w:t>s</w:t>
      </w:r>
      <w:r w:rsidRPr="008576DF">
        <w:t>ection 73.5005(a) of the Commission’s rules.</w:t>
      </w:r>
      <w:r>
        <w:rPr>
          <w:rStyle w:val="FootnoteReference"/>
          <w:szCs w:val="22"/>
        </w:rPr>
        <w:footnoteReference w:id="32"/>
      </w:r>
      <w:r w:rsidRPr="008576DF">
        <w:t xml:space="preserve">  </w:t>
      </w:r>
      <w:r w:rsidR="009870E8">
        <w:t>S</w:t>
      </w:r>
      <w:r w:rsidRPr="008576DF">
        <w:t>ection</w:t>
      </w:r>
      <w:r w:rsidRPr="00067D3E">
        <w:t xml:space="preserve"> 73.5005(a) requires that post-auction long-form applications include the exhibits mandated by </w:t>
      </w:r>
      <w:r>
        <w:t>s</w:t>
      </w:r>
      <w:r w:rsidRPr="00067D3E">
        <w:t>ection 1.2107(d) (providing a detailed explanation of the terms, conditions, and parties involved in any bidding consortium, joint venture, partnership, or other agreement or arrangement the applicant had entered into relating to the competitive bidding process)</w:t>
      </w:r>
      <w:r w:rsidR="009870E8">
        <w:t>,</w:t>
      </w:r>
      <w:r>
        <w:rPr>
          <w:rStyle w:val="FootnoteReference"/>
          <w:szCs w:val="22"/>
        </w:rPr>
        <w:footnoteReference w:id="33"/>
      </w:r>
      <w:r>
        <w:t xml:space="preserve"> and s</w:t>
      </w:r>
      <w:r w:rsidRPr="00067D3E">
        <w:t xml:space="preserve">ection 1.2112(a) (requiring that </w:t>
      </w:r>
      <w:r>
        <w:t>each</w:t>
      </w:r>
      <w:r w:rsidRPr="00067D3E">
        <w:t xml:space="preserve"> long-form application fully disclose ownership information and the real party or parties in interest in the applicant or application)</w:t>
      </w:r>
      <w:r>
        <w:t>.</w:t>
      </w:r>
      <w:r>
        <w:rPr>
          <w:rStyle w:val="FootnoteReference"/>
        </w:rPr>
        <w:footnoteReference w:id="34"/>
      </w:r>
    </w:p>
    <w:p w:rsidR="008B41DA" w:rsidP="008B41DA" w14:paraId="5C667873" w14:textId="22241BDB">
      <w:pPr>
        <w:pStyle w:val="ParaNum"/>
        <w:widowControl/>
      </w:pPr>
      <w:r>
        <w:t>The Commission’s “red light rule” that implements the Debt Collection Improvement Act will be enforced.</w:t>
      </w:r>
      <w:r>
        <w:rPr>
          <w:rStyle w:val="FootnoteReference"/>
        </w:rPr>
        <w:footnoteReference w:id="35"/>
      </w:r>
      <w:r>
        <w:t xml:space="preserve">  Under the red light rule, the </w:t>
      </w:r>
      <w:r w:rsidR="00407789">
        <w:t xml:space="preserve">Media Bureau </w:t>
      </w:r>
      <w:r>
        <w:t>will not process applications or other requests for benefits filed by parties that have outstanding debts owed to the Commission.</w:t>
      </w:r>
      <w:r>
        <w:rPr>
          <w:rStyle w:val="FootnoteReference"/>
        </w:rPr>
        <w:footnoteReference w:id="36"/>
      </w:r>
    </w:p>
    <w:p w:rsidR="008B41DA" w:rsidRPr="00545F16" w:rsidP="008B41DA" w14:paraId="6227CCA3" w14:textId="77777777">
      <w:pPr>
        <w:pStyle w:val="Heading2"/>
        <w:keepLines/>
        <w:widowControl/>
      </w:pPr>
      <w:r w:rsidRPr="00545F16">
        <w:t>Maintaining Accuracy of Information</w:t>
      </w:r>
    </w:p>
    <w:p w:rsidR="008B41DA" w:rsidP="008B41DA" w14:paraId="2BE26288" w14:textId="2165B339">
      <w:pPr>
        <w:pStyle w:val="ParaNum"/>
        <w:widowControl/>
      </w:pPr>
      <w:r>
        <w:t>Now that Auction 100 has</w:t>
      </w:r>
      <w:r w:rsidRPr="00545F16">
        <w:t xml:space="preserve"> close</w:t>
      </w:r>
      <w:r>
        <w:t>d</w:t>
      </w:r>
      <w:r w:rsidRPr="00545F16">
        <w:t xml:space="preserve">, </w:t>
      </w:r>
      <w:r>
        <w:t xml:space="preserve">all required changes to an </w:t>
      </w:r>
      <w:r w:rsidRPr="00545F16">
        <w:t>applicant</w:t>
      </w:r>
      <w:r>
        <w:t>’</w:t>
      </w:r>
      <w:r w:rsidRPr="00545F16">
        <w:t>s</w:t>
      </w:r>
      <w:r>
        <w:t xml:space="preserve"> information must be made by filing or amending the applicant’s long-</w:t>
      </w:r>
      <w:r w:rsidRPr="0081691F">
        <w:t xml:space="preserve">form application(s) (FCC Form </w:t>
      </w:r>
      <w:r>
        <w:t>349</w:t>
      </w:r>
      <w:r w:rsidRPr="0081691F">
        <w:t>).  With</w:t>
      </w:r>
      <w:r>
        <w:t xml:space="preserve"> the release of this Public Notice, </w:t>
      </w:r>
      <w:r>
        <w:t xml:space="preserve">an Auction 100 </w:t>
      </w:r>
      <w:r>
        <w:t>a</w:t>
      </w:r>
      <w:r w:rsidRPr="00545F16">
        <w:t>pplicant</w:t>
      </w:r>
      <w:r>
        <w:t xml:space="preserve"> i</w:t>
      </w:r>
      <w:r w:rsidRPr="00545F16">
        <w:t xml:space="preserve">s no longer required to maintain </w:t>
      </w:r>
      <w:r>
        <w:t xml:space="preserve">the </w:t>
      </w:r>
      <w:r w:rsidRPr="00545F16">
        <w:t xml:space="preserve">accuracy and completeness of information furnished on </w:t>
      </w:r>
      <w:r>
        <w:t>its Auction 100</w:t>
      </w:r>
      <w:r w:rsidRPr="00A96909">
        <w:t xml:space="preserve"> short-form application </w:t>
      </w:r>
      <w:r>
        <w:t xml:space="preserve">(FCC Form 175) </w:t>
      </w:r>
      <w:r w:rsidRPr="00A96909">
        <w:t>and exhibits.</w:t>
      </w:r>
      <w:r>
        <w:rPr>
          <w:rStyle w:val="FootnoteReference"/>
        </w:rPr>
        <w:footnoteReference w:id="37"/>
      </w:r>
    </w:p>
    <w:p w:rsidR="008B41DA" w:rsidRPr="00236B89" w:rsidP="008B41DA" w14:paraId="26EAC2AA" w14:textId="77777777">
      <w:pPr>
        <w:pStyle w:val="Heading2"/>
        <w:keepLines/>
        <w:widowControl/>
      </w:pPr>
      <w:r w:rsidRPr="00236B89">
        <w:t>Application Processing</w:t>
      </w:r>
      <w:r>
        <w:t>, Petitions to Deny,</w:t>
      </w:r>
      <w:r w:rsidRPr="00236B89">
        <w:t xml:space="preserve"> and Construction Permit Grant</w:t>
      </w:r>
    </w:p>
    <w:p w:rsidR="008B41DA" w:rsidRPr="00195F4D" w:rsidP="008B41DA" w14:paraId="173AC3A2" w14:textId="319E0AA5">
      <w:pPr>
        <w:pStyle w:val="ParaNum"/>
        <w:widowControl/>
      </w:pPr>
      <w:r w:rsidRPr="00236B89">
        <w:t>After its initial review of the long-</w:t>
      </w:r>
      <w:r w:rsidRPr="00D74CB2">
        <w:t>form applications, the</w:t>
      </w:r>
      <w:r w:rsidRPr="00236B89">
        <w:t xml:space="preserve"> Media Bureau will issue public </w:t>
      </w:r>
      <w:r w:rsidRPr="008C1E06">
        <w:t>notice</w:t>
      </w:r>
      <w:r>
        <w:t>s</w:t>
      </w:r>
      <w:r w:rsidRPr="008C1E06">
        <w:t xml:space="preserve"> listing </w:t>
      </w:r>
      <w:r w:rsidRPr="00D74CB2">
        <w:t xml:space="preserve">the applications </w:t>
      </w:r>
      <w:r>
        <w:t>as they</w:t>
      </w:r>
      <w:r w:rsidRPr="00D74CB2">
        <w:t xml:space="preserve"> are accept</w:t>
      </w:r>
      <w:r>
        <w:t xml:space="preserve">ed </w:t>
      </w:r>
      <w:r w:rsidRPr="00D74CB2">
        <w:t>for filing.  Pursuant to section 73.5006 of the Commission’s rules,</w:t>
      </w:r>
      <w:r>
        <w:rPr>
          <w:rStyle w:val="FootnoteReference"/>
        </w:rPr>
        <w:footnoteReference w:id="38"/>
      </w:r>
      <w:r w:rsidRPr="00D74CB2">
        <w:t xml:space="preserve"> interested parties will have </w:t>
      </w:r>
      <w:r>
        <w:t>15</w:t>
      </w:r>
      <w:r w:rsidRPr="00D74CB2">
        <w:t xml:space="preserve"> days from release of that public notice to file </w:t>
      </w:r>
      <w:r w:rsidR="009870E8">
        <w:t xml:space="preserve">any </w:t>
      </w:r>
      <w:r w:rsidRPr="00D74CB2">
        <w:t xml:space="preserve">petitions to deny </w:t>
      </w:r>
      <w:r>
        <w:t>the</w:t>
      </w:r>
      <w:r w:rsidRPr="00D74CB2">
        <w:t xml:space="preserve"> application</w:t>
      </w:r>
      <w:r w:rsidR="009870E8">
        <w:t>s</w:t>
      </w:r>
      <w:r w:rsidRPr="00D74CB2">
        <w:t>.</w:t>
      </w:r>
      <w:r>
        <w:rPr>
          <w:rStyle w:val="FootnoteReference"/>
        </w:rPr>
        <w:footnoteReference w:id="39"/>
      </w:r>
      <w:r w:rsidRPr="00D74CB2">
        <w:t xml:space="preserve">  The Media Bureau will use public notices generated by CDBS to start the </w:t>
      </w:r>
      <w:r>
        <w:t>15</w:t>
      </w:r>
      <w:r w:rsidRPr="00D74CB2">
        <w:t xml:space="preserve">-day period for filing petitions to deny.  </w:t>
      </w:r>
      <w:r>
        <w:t>A</w:t>
      </w:r>
      <w:r w:rsidRPr="00D74CB2">
        <w:t xml:space="preserve"> public notice entitled “Broadcast Applications” will list such applications as “Accepted for Filing.”  An applicant may file an opposition to any petition to deny within</w:t>
      </w:r>
      <w:r>
        <w:t xml:space="preserve"> 15</w:t>
      </w:r>
      <w:r w:rsidRPr="00D74CB2">
        <w:t xml:space="preserve"> days </w:t>
      </w:r>
      <w:r>
        <w:t>after</w:t>
      </w:r>
      <w:r w:rsidRPr="00D74CB2">
        <w:t xml:space="preserve"> the</w:t>
      </w:r>
      <w:r w:rsidRPr="008C1E06">
        <w:t xml:space="preserve"> filing deadline for petitions to deny its long-form application.</w:t>
      </w:r>
      <w:r>
        <w:rPr>
          <w:rStyle w:val="FootnoteReference"/>
        </w:rPr>
        <w:footnoteReference w:id="40"/>
      </w:r>
      <w:r w:rsidRPr="008C1E06">
        <w:t xml:space="preserve"> </w:t>
      </w:r>
      <w:r w:rsidRPr="008C1E06">
        <w:rPr>
          <w:i/>
        </w:rPr>
        <w:t xml:space="preserve"> </w:t>
      </w:r>
      <w:r w:rsidRPr="008C1E06">
        <w:t xml:space="preserve">Replies must be filed within </w:t>
      </w:r>
      <w:r>
        <w:t>10</w:t>
      </w:r>
      <w:r w:rsidRPr="008C1E06">
        <w:t xml:space="preserve"> days </w:t>
      </w:r>
      <w:r>
        <w:t>after</w:t>
      </w:r>
      <w:r w:rsidRPr="008C1E06">
        <w:t xml:space="preserve"> the filing deadline for oppositions to a petition to deny a long-form application.</w:t>
      </w:r>
      <w:r>
        <w:rPr>
          <w:rStyle w:val="FootnoteReference"/>
        </w:rPr>
        <w:footnoteReference w:id="41"/>
      </w:r>
      <w:r w:rsidRPr="008C1E06">
        <w:t xml:space="preserve">  The Commission reminds all parties and their counsel that the Commission intends to use its authority</w:t>
      </w:r>
      <w:r w:rsidRPr="00195F4D">
        <w:t xml:space="preserve"> fully to deter the filing of frivolous pleadings.</w:t>
      </w:r>
      <w:r>
        <w:rPr>
          <w:rStyle w:val="FootnoteReference"/>
        </w:rPr>
        <w:footnoteReference w:id="42"/>
      </w:r>
      <w:r w:rsidRPr="00195F4D">
        <w:t xml:space="preserve">  </w:t>
      </w:r>
    </w:p>
    <w:p w:rsidR="008B41DA" w:rsidRPr="00E66A9A" w:rsidP="008B41DA" w14:paraId="446FE974" w14:textId="13ED4731">
      <w:pPr>
        <w:pStyle w:val="ParaNum"/>
        <w:widowControl/>
      </w:pPr>
      <w:r w:rsidRPr="00E66A9A">
        <w:t xml:space="preserve">After the long-form </w:t>
      </w:r>
      <w:r>
        <w:t xml:space="preserve">application </w:t>
      </w:r>
      <w:r w:rsidRPr="00E66A9A">
        <w:t xml:space="preserve">review process, if the Commission determines that </w:t>
      </w:r>
      <w:r>
        <w:t>additional payment from an applicant is due, the Media Bureau will provide further instructions in a future public notice or by demand letter.</w:t>
      </w:r>
      <w:r>
        <w:rPr>
          <w:rStyle w:val="FootnoteReference"/>
        </w:rPr>
        <w:footnoteReference w:id="43"/>
      </w:r>
      <w:r>
        <w:t xml:space="preserve">  If the Commission determines that </w:t>
      </w:r>
      <w:r w:rsidRPr="00E66A9A">
        <w:t>an applicant is otherwise qualified, that there are no substantial and material issues of fact</w:t>
      </w:r>
      <w:r w:rsidRPr="000D0E2A">
        <w:t xml:space="preserve"> </w:t>
      </w:r>
      <w:r>
        <w:t>regarding the applicant’s qualifications to be a Commission licensee</w:t>
      </w:r>
      <w:r w:rsidRPr="00E66A9A">
        <w:t xml:space="preserve">, and that no additional payments are due, </w:t>
      </w:r>
      <w:r>
        <w:t>the Commission will grant the construction permit</w:t>
      </w:r>
      <w:r w:rsidRPr="00E66A9A">
        <w:t>.</w:t>
      </w:r>
      <w:r>
        <w:rPr>
          <w:rStyle w:val="FootnoteReference"/>
        </w:rPr>
        <w:footnoteReference w:id="44"/>
      </w:r>
    </w:p>
    <w:p w:rsidR="008B41DA" w:rsidRPr="00545F16" w:rsidP="008B41DA" w14:paraId="145BEB8C" w14:textId="77777777">
      <w:pPr>
        <w:pStyle w:val="Heading1"/>
        <w:widowControl/>
        <w:tabs>
          <w:tab w:val="num" w:pos="720"/>
        </w:tabs>
      </w:pPr>
      <w:r>
        <w:t>OTHER IMPORTANT INFORMATION</w:t>
      </w:r>
    </w:p>
    <w:p w:rsidR="008B41DA" w:rsidRPr="00545F16" w:rsidP="008B41DA" w14:paraId="25681C9F" w14:textId="77777777">
      <w:pPr>
        <w:pStyle w:val="Heading2"/>
        <w:keepLines/>
        <w:widowControl/>
      </w:pPr>
      <w:r>
        <w:t>Maintaining Prohibition on Certain Communications</w:t>
      </w:r>
    </w:p>
    <w:p w:rsidR="008B41DA" w:rsidRPr="00465638" w:rsidP="008B41DA" w14:paraId="261ED389" w14:textId="37A4E8DC">
      <w:pPr>
        <w:pStyle w:val="ParaNum"/>
        <w:widowControl/>
      </w:pPr>
      <w:r>
        <w:t>For Auction 100, s</w:t>
      </w:r>
      <w:r>
        <w:t>ection 1.2105(c)(1) of the Commission’s rules provides that, subject to specified exceptions, after the deadline for filing a short-form application, all applicants are prohibited from cooperating or collaborating with respect to, communicating with or disclosing, to each other in any manner the substance of their own, or each other’s, or any other applicant</w:t>
      </w:r>
      <w:r>
        <w:t>’</w:t>
      </w:r>
      <w:r>
        <w:t xml:space="preserve">s bids or bidding strategies </w:t>
      </w:r>
      <w:r>
        <w:t>(including post-auction market structure), or discussing or negotiating settlement agreements, until after the down payment deadline.</w:t>
      </w:r>
      <w:r>
        <w:rPr>
          <w:rStyle w:val="FootnoteReference"/>
        </w:rPr>
        <w:footnoteReference w:id="45"/>
      </w:r>
      <w:r>
        <w:t xml:space="preserve">  As explained </w:t>
      </w:r>
      <w:r w:rsidRPr="00226613">
        <w:t xml:space="preserve">more fully in the </w:t>
      </w:r>
      <w:r w:rsidRPr="00226613">
        <w:rPr>
          <w:i/>
        </w:rPr>
        <w:t xml:space="preserve">Auction </w:t>
      </w:r>
      <w:r w:rsidR="00406EF0">
        <w:rPr>
          <w:i/>
        </w:rPr>
        <w:t>100</w:t>
      </w:r>
      <w:r w:rsidRPr="00226613" w:rsidR="00406EF0">
        <w:rPr>
          <w:i/>
        </w:rPr>
        <w:t xml:space="preserve"> </w:t>
      </w:r>
      <w:r w:rsidRPr="00226613">
        <w:rPr>
          <w:i/>
        </w:rPr>
        <w:t>Procedures Public Notice,</w:t>
      </w:r>
      <w:r w:rsidRPr="00226613">
        <w:t xml:space="preserve"> this prohibition began at the short-form application filing deadline at 6:00 p.m. ET on </w:t>
      </w:r>
      <w:r w:rsidR="00D65DB1">
        <w:t>January 31</w:t>
      </w:r>
      <w:r>
        <w:t>, 201</w:t>
      </w:r>
      <w:r w:rsidR="00D65DB1">
        <w:t>8</w:t>
      </w:r>
      <w:r w:rsidRPr="00226613">
        <w:t xml:space="preserve">, and continues until the down payment deadline, which is </w:t>
      </w:r>
      <w:r w:rsidRPr="00717CE1">
        <w:rPr>
          <w:b/>
        </w:rPr>
        <w:t>6:00 p</w:t>
      </w:r>
      <w:r w:rsidRPr="0081691F">
        <w:rPr>
          <w:b/>
        </w:rPr>
        <w:t xml:space="preserve">.m. ET </w:t>
      </w:r>
      <w:r w:rsidRPr="00465638">
        <w:rPr>
          <w:b/>
        </w:rPr>
        <w:t xml:space="preserve">on </w:t>
      </w:r>
      <w:r w:rsidR="00555843">
        <w:rPr>
          <w:b/>
          <w:szCs w:val="22"/>
        </w:rPr>
        <w:t>July 18</w:t>
      </w:r>
      <w:r>
        <w:rPr>
          <w:b/>
          <w:szCs w:val="22"/>
        </w:rPr>
        <w:t>, 201</w:t>
      </w:r>
      <w:r w:rsidR="002E7640">
        <w:rPr>
          <w:b/>
          <w:szCs w:val="22"/>
        </w:rPr>
        <w:t>9</w:t>
      </w:r>
      <w:r w:rsidRPr="00465638">
        <w:t>.</w:t>
      </w:r>
      <w:r>
        <w:rPr>
          <w:rStyle w:val="FootnoteReference"/>
        </w:rPr>
        <w:footnoteReference w:id="46"/>
      </w:r>
    </w:p>
    <w:p w:rsidR="008B41DA" w:rsidRPr="0081691F" w:rsidP="008B41DA" w14:paraId="07A5E519" w14:textId="62670132">
      <w:pPr>
        <w:pStyle w:val="ParaNum"/>
        <w:widowControl/>
      </w:pPr>
      <w:r w:rsidRPr="0081691F">
        <w:t>The prohibition on certain communications applies to all applicants in Auction</w:t>
      </w:r>
      <w:r>
        <w:t xml:space="preserve"> </w:t>
      </w:r>
      <w:r w:rsidR="00406EF0">
        <w:t>100</w:t>
      </w:r>
      <w:r w:rsidRPr="0081691F">
        <w:t>, regardless of whether an applicant became a qualified bidder or actually participated in the bidding.</w:t>
      </w:r>
      <w:r>
        <w:rPr>
          <w:rStyle w:val="FootnoteReference"/>
        </w:rPr>
        <w:footnoteReference w:id="47"/>
      </w:r>
      <w:r w:rsidRPr="0081691F">
        <w:t xml:space="preserve">  </w:t>
      </w:r>
      <w:r w:rsidRPr="00226613">
        <w:t>Each applicant in this auction certified its compliance with section 1.2105</w:t>
      </w:r>
      <w:r w:rsidRPr="0081691F">
        <w:t>(c) when it filed its short-form application.</w:t>
      </w:r>
      <w:r>
        <w:rPr>
          <w:rStyle w:val="FootnoteReference"/>
        </w:rPr>
        <w:footnoteReference w:id="48"/>
      </w:r>
    </w:p>
    <w:p w:rsidR="008B41DA" w:rsidRPr="0081691F" w:rsidP="008B41DA" w14:paraId="025297A6" w14:textId="77777777">
      <w:pPr>
        <w:pStyle w:val="Heading2"/>
        <w:keepLines/>
        <w:widowControl/>
      </w:pPr>
      <w:r w:rsidRPr="0081691F">
        <w:t>Return of SecurID</w:t>
      </w:r>
      <w:r w:rsidRPr="0081691F">
        <w:rPr>
          <w:rFonts w:ascii="Times New Roman Bold" w:hAnsi="Times New Roman Bold"/>
          <w:vertAlign w:val="superscript"/>
        </w:rPr>
        <w:t>®</w:t>
      </w:r>
      <w:r w:rsidRPr="0081691F">
        <w:t xml:space="preserve"> Tokens</w:t>
      </w:r>
    </w:p>
    <w:p w:rsidR="008B41DA" w:rsidRPr="00465638" w:rsidP="008B41DA" w14:paraId="35906B2F" w14:textId="509F939D">
      <w:pPr>
        <w:pStyle w:val="ParaNum"/>
        <w:widowControl/>
      </w:pPr>
      <w:r w:rsidRPr="0081691F">
        <w:t xml:space="preserve">The </w:t>
      </w:r>
      <w:r w:rsidRPr="0081691F">
        <w:rPr>
          <w:szCs w:val="22"/>
        </w:rPr>
        <w:t>SecurID</w:t>
      </w:r>
      <w:r w:rsidRPr="0081691F">
        <w:rPr>
          <w:szCs w:val="22"/>
          <w:vertAlign w:val="superscript"/>
        </w:rPr>
        <w:t xml:space="preserve">® </w:t>
      </w:r>
      <w:r w:rsidRPr="0081691F">
        <w:t xml:space="preserve">tokens distributed to qualified bidders are tailored to this auction and will not work for future auctions.  The Commission will send each bidder, along with a copy of this Public Notice, a pre-addressed, stamped envelope to return its </w:t>
      </w:r>
      <w:r w:rsidRPr="0081691F">
        <w:rPr>
          <w:szCs w:val="22"/>
        </w:rPr>
        <w:t>SecurID</w:t>
      </w:r>
      <w:r w:rsidRPr="0081691F">
        <w:rPr>
          <w:szCs w:val="22"/>
          <w:vertAlign w:val="superscript"/>
        </w:rPr>
        <w:t xml:space="preserve">® </w:t>
      </w:r>
      <w:r w:rsidRPr="0081691F">
        <w:t xml:space="preserve">tokens.  Each bidder should return its </w:t>
      </w:r>
      <w:r w:rsidRPr="0081691F">
        <w:rPr>
          <w:szCs w:val="22"/>
        </w:rPr>
        <w:t>SecurID</w:t>
      </w:r>
      <w:r w:rsidRPr="0081691F">
        <w:rPr>
          <w:szCs w:val="22"/>
          <w:vertAlign w:val="superscript"/>
        </w:rPr>
        <w:t xml:space="preserve">® </w:t>
      </w:r>
      <w:r w:rsidRPr="0081691F">
        <w:t>tokens to the Commission for recycling</w:t>
      </w:r>
      <w:r>
        <w:t xml:space="preserve"> </w:t>
      </w:r>
      <w:r w:rsidRPr="00465638">
        <w:t xml:space="preserve">by </w:t>
      </w:r>
      <w:r w:rsidR="00555843">
        <w:rPr>
          <w:b/>
          <w:szCs w:val="22"/>
        </w:rPr>
        <w:t>July 18</w:t>
      </w:r>
      <w:r>
        <w:rPr>
          <w:b/>
          <w:szCs w:val="22"/>
        </w:rPr>
        <w:t>, 201</w:t>
      </w:r>
      <w:r w:rsidR="002E7640">
        <w:rPr>
          <w:b/>
          <w:szCs w:val="22"/>
        </w:rPr>
        <w:t>9</w:t>
      </w:r>
      <w:r w:rsidRPr="00465638">
        <w:rPr>
          <w:szCs w:val="22"/>
        </w:rPr>
        <w:t>.</w:t>
      </w:r>
    </w:p>
    <w:p w:rsidR="008B41DA" w:rsidRPr="00226613" w:rsidP="008B41DA" w14:paraId="006CC68B" w14:textId="77777777">
      <w:pPr>
        <w:pStyle w:val="Heading2"/>
        <w:keepLines/>
        <w:widowControl/>
      </w:pPr>
      <w:r w:rsidRPr="00226613">
        <w:t>Contact Information</w:t>
      </w:r>
    </w:p>
    <w:p w:rsidR="008B41DA" w:rsidRPr="00226613" w:rsidP="008B41DA" w14:paraId="68096C27" w14:textId="77777777">
      <w:pPr>
        <w:pStyle w:val="ParaNum"/>
        <w:keepNext/>
        <w:keepLines/>
        <w:widowControl/>
      </w:pPr>
      <w:r w:rsidRPr="00226613">
        <w:t>For further information, contact:</w:t>
      </w:r>
    </w:p>
    <w:tbl>
      <w:tblPr>
        <w:tblW w:w="9828" w:type="dxa"/>
        <w:tblLayout w:type="fixed"/>
        <w:tblLook w:val="0000"/>
      </w:tblPr>
      <w:tblGrid>
        <w:gridCol w:w="4968"/>
        <w:gridCol w:w="4860"/>
      </w:tblGrid>
      <w:tr w14:paraId="18CD96D8" w14:textId="77777777" w:rsidTr="00D12A19">
        <w:tblPrEx>
          <w:tblW w:w="9828" w:type="dxa"/>
          <w:tblLayout w:type="fixed"/>
          <w:tblLook w:val="0000"/>
        </w:tblPrEx>
        <w:trPr>
          <w:cantSplit/>
          <w:trHeight w:val="788"/>
        </w:trPr>
        <w:tc>
          <w:tcPr>
            <w:tcW w:w="4968" w:type="dxa"/>
          </w:tcPr>
          <w:p w:rsidR="008B41DA" w:rsidRPr="003314CD" w:rsidP="00D12A19" w14:paraId="4C871412" w14:textId="36C85599">
            <w:pPr>
              <w:widowControl/>
              <w:rPr>
                <w:b/>
                <w:szCs w:val="22"/>
              </w:rPr>
            </w:pPr>
            <w:r w:rsidRPr="003314CD">
              <w:rPr>
                <w:b/>
                <w:szCs w:val="22"/>
              </w:rPr>
              <w:t>News Media</w:t>
            </w:r>
          </w:p>
        </w:tc>
        <w:tc>
          <w:tcPr>
            <w:tcW w:w="4860" w:type="dxa"/>
          </w:tcPr>
          <w:p w:rsidR="008B41DA" w:rsidP="00D12A19" w14:paraId="1208F484" w14:textId="19059C55">
            <w:pPr>
              <w:widowControl/>
              <w:rPr>
                <w:szCs w:val="22"/>
              </w:rPr>
            </w:pPr>
            <w:r>
              <w:rPr>
                <w:szCs w:val="22"/>
              </w:rPr>
              <w:t>Janice</w:t>
            </w:r>
            <w:r w:rsidRPr="00051E4F">
              <w:rPr>
                <w:szCs w:val="22"/>
              </w:rPr>
              <w:t xml:space="preserve"> </w:t>
            </w:r>
            <w:r>
              <w:rPr>
                <w:szCs w:val="22"/>
              </w:rPr>
              <w:t>Wise</w:t>
            </w:r>
            <w:r w:rsidRPr="00051E4F">
              <w:rPr>
                <w:szCs w:val="22"/>
              </w:rPr>
              <w:t xml:space="preserve"> </w:t>
            </w:r>
            <w:r w:rsidRPr="00051E4F">
              <w:rPr>
                <w:szCs w:val="22"/>
              </w:rPr>
              <w:t>at (202) 418-</w:t>
            </w:r>
            <w:r>
              <w:rPr>
                <w:szCs w:val="22"/>
              </w:rPr>
              <w:t>8165</w:t>
            </w:r>
          </w:p>
          <w:p w:rsidR="008B41DA" w:rsidRPr="003314CD" w:rsidP="00D12A19" w14:paraId="7C991BD4" w14:textId="77777777">
            <w:pPr>
              <w:widowControl/>
              <w:rPr>
                <w:szCs w:val="22"/>
              </w:rPr>
            </w:pPr>
          </w:p>
        </w:tc>
      </w:tr>
      <w:tr w14:paraId="63F05B2E" w14:textId="77777777" w:rsidTr="00D12A19">
        <w:tblPrEx>
          <w:tblW w:w="9828" w:type="dxa"/>
          <w:tblLayout w:type="fixed"/>
          <w:tblLook w:val="0000"/>
        </w:tblPrEx>
        <w:trPr>
          <w:cantSplit/>
          <w:trHeight w:val="1303"/>
        </w:trPr>
        <w:tc>
          <w:tcPr>
            <w:tcW w:w="4968" w:type="dxa"/>
          </w:tcPr>
          <w:p w:rsidR="008B41DA" w:rsidRPr="005F7DCE" w:rsidP="00D12A19" w14:paraId="222095A4" w14:textId="77777777">
            <w:pPr>
              <w:widowControl/>
              <w:rPr>
                <w:b/>
                <w:i/>
                <w:szCs w:val="22"/>
              </w:rPr>
            </w:pPr>
            <w:r w:rsidRPr="005F7DCE">
              <w:rPr>
                <w:b/>
                <w:szCs w:val="22"/>
              </w:rPr>
              <w:t xml:space="preserve">Licensing Information </w:t>
            </w:r>
          </w:p>
          <w:p w:rsidR="008B41DA" w:rsidRPr="005F7DCE" w:rsidP="00D12A19" w14:paraId="57197EC2" w14:textId="77777777">
            <w:pPr>
              <w:widowControl/>
              <w:ind w:left="360"/>
              <w:rPr>
                <w:szCs w:val="22"/>
              </w:rPr>
            </w:pPr>
            <w:r w:rsidRPr="005F7DCE">
              <w:rPr>
                <w:szCs w:val="22"/>
              </w:rPr>
              <w:t xml:space="preserve">Service Rules, Policies, Regulations </w:t>
            </w:r>
          </w:p>
          <w:p w:rsidR="008B41DA" w:rsidRPr="005F7DCE" w:rsidP="00D12A19" w14:paraId="0820AB93" w14:textId="77777777">
            <w:pPr>
              <w:widowControl/>
              <w:ind w:left="360"/>
              <w:rPr>
                <w:szCs w:val="22"/>
              </w:rPr>
            </w:pPr>
            <w:r w:rsidRPr="005F7DCE">
              <w:rPr>
                <w:szCs w:val="22"/>
              </w:rPr>
              <w:t xml:space="preserve">Licensing Issues, Engineering Issues </w:t>
            </w:r>
          </w:p>
          <w:p w:rsidR="008B41DA" w:rsidP="00D12A19" w14:paraId="6862EABC" w14:textId="77777777">
            <w:pPr>
              <w:widowControl/>
              <w:ind w:left="360"/>
              <w:rPr>
                <w:szCs w:val="22"/>
              </w:rPr>
            </w:pPr>
            <w:r w:rsidRPr="005F7DCE">
              <w:rPr>
                <w:szCs w:val="22"/>
              </w:rPr>
              <w:t>Due Diligence, Incumbency Issues</w:t>
            </w:r>
            <w:r>
              <w:rPr>
                <w:szCs w:val="22"/>
              </w:rPr>
              <w:t xml:space="preserve">, </w:t>
            </w:r>
          </w:p>
          <w:p w:rsidR="008B41DA" w:rsidRPr="005F7DCE" w:rsidP="00D12A19" w14:paraId="35D42150" w14:textId="77777777">
            <w:pPr>
              <w:widowControl/>
              <w:ind w:left="360"/>
              <w:rPr>
                <w:szCs w:val="22"/>
              </w:rPr>
            </w:pPr>
            <w:r>
              <w:rPr>
                <w:szCs w:val="22"/>
              </w:rPr>
              <w:t>FCC Form 349 questions</w:t>
            </w:r>
          </w:p>
          <w:p w:rsidR="008B41DA" w:rsidRPr="005F7DCE" w:rsidP="00D12A19" w14:paraId="260ECCEF" w14:textId="77777777">
            <w:pPr>
              <w:widowControl/>
              <w:rPr>
                <w:b/>
                <w:i/>
                <w:szCs w:val="22"/>
              </w:rPr>
            </w:pPr>
          </w:p>
        </w:tc>
        <w:tc>
          <w:tcPr>
            <w:tcW w:w="4860" w:type="dxa"/>
          </w:tcPr>
          <w:p w:rsidR="008B41DA" w:rsidRPr="005F7DCE" w:rsidP="00D12A19" w14:paraId="20D8C29F" w14:textId="251012CE">
            <w:pPr>
              <w:widowControl/>
              <w:rPr>
                <w:b/>
                <w:szCs w:val="22"/>
              </w:rPr>
            </w:pPr>
            <w:r>
              <w:rPr>
                <w:b/>
                <w:szCs w:val="22"/>
              </w:rPr>
              <w:t>Audio</w:t>
            </w:r>
            <w:r w:rsidRPr="005F7DCE">
              <w:rPr>
                <w:b/>
                <w:szCs w:val="22"/>
              </w:rPr>
              <w:t xml:space="preserve"> Division</w:t>
            </w:r>
            <w:r w:rsidR="002E7640">
              <w:rPr>
                <w:b/>
                <w:szCs w:val="22"/>
              </w:rPr>
              <w:t>, MB</w:t>
            </w:r>
          </w:p>
          <w:p w:rsidR="008B41DA" w:rsidP="00D12A19" w14:paraId="36AF006A" w14:textId="77777777">
            <w:pPr>
              <w:widowControl/>
              <w:rPr>
                <w:szCs w:val="22"/>
              </w:rPr>
            </w:pPr>
            <w:r>
              <w:rPr>
                <w:szCs w:val="22"/>
              </w:rPr>
              <w:t xml:space="preserve">Lisa Scanlan (Attorney) or </w:t>
            </w:r>
          </w:p>
          <w:p w:rsidR="008B41DA" w:rsidP="00D12A19" w14:paraId="72AFB440" w14:textId="77777777">
            <w:pPr>
              <w:widowControl/>
              <w:rPr>
                <w:szCs w:val="22"/>
              </w:rPr>
            </w:pPr>
            <w:r>
              <w:rPr>
                <w:szCs w:val="22"/>
              </w:rPr>
              <w:t xml:space="preserve">Tom Nessinger (Attorney), at </w:t>
            </w:r>
          </w:p>
          <w:p w:rsidR="008B41DA" w:rsidRPr="005F7DCE" w:rsidP="00D12A19" w14:paraId="59A301F8" w14:textId="77777777">
            <w:pPr>
              <w:widowControl/>
              <w:rPr>
                <w:szCs w:val="22"/>
              </w:rPr>
            </w:pPr>
            <w:r>
              <w:rPr>
                <w:szCs w:val="22"/>
              </w:rPr>
              <w:t>(202) 418-2700</w:t>
            </w:r>
          </w:p>
          <w:p w:rsidR="008B41DA" w:rsidRPr="005F7DCE" w:rsidP="00D12A19" w14:paraId="5D8F77B6" w14:textId="77777777">
            <w:pPr>
              <w:widowControl/>
              <w:rPr>
                <w:b/>
                <w:szCs w:val="22"/>
              </w:rPr>
            </w:pPr>
          </w:p>
        </w:tc>
      </w:tr>
      <w:tr w14:paraId="1AA13359" w14:textId="77777777" w:rsidTr="00D12A19">
        <w:tblPrEx>
          <w:tblW w:w="9828" w:type="dxa"/>
          <w:tblLayout w:type="fixed"/>
          <w:tblLook w:val="0000"/>
        </w:tblPrEx>
        <w:trPr>
          <w:cantSplit/>
        </w:trPr>
        <w:tc>
          <w:tcPr>
            <w:tcW w:w="4968" w:type="dxa"/>
          </w:tcPr>
          <w:p w:rsidR="008B41DA" w:rsidRPr="005F7DCE" w:rsidP="00D12A19" w14:paraId="16E6DA4A" w14:textId="77777777">
            <w:pPr>
              <w:widowControl/>
              <w:rPr>
                <w:b/>
                <w:szCs w:val="22"/>
              </w:rPr>
            </w:pPr>
            <w:r w:rsidRPr="005F7DCE">
              <w:rPr>
                <w:b/>
                <w:szCs w:val="22"/>
              </w:rPr>
              <w:t>Auction Payment Information</w:t>
            </w:r>
          </w:p>
          <w:p w:rsidR="008B41DA" w:rsidRPr="005F7DCE" w:rsidP="00D12A19" w14:paraId="315115E9" w14:textId="77777777">
            <w:pPr>
              <w:widowControl/>
              <w:ind w:left="360"/>
              <w:rPr>
                <w:szCs w:val="22"/>
              </w:rPr>
            </w:pPr>
            <w:r w:rsidRPr="005F7DCE">
              <w:rPr>
                <w:szCs w:val="22"/>
              </w:rPr>
              <w:t>Wire Transfers</w:t>
            </w:r>
          </w:p>
          <w:p w:rsidR="008B41DA" w:rsidRPr="005F7DCE" w:rsidP="00D12A19" w14:paraId="0EC25AFF" w14:textId="77777777">
            <w:pPr>
              <w:widowControl/>
              <w:ind w:left="360"/>
              <w:rPr>
                <w:b/>
                <w:szCs w:val="22"/>
              </w:rPr>
            </w:pPr>
            <w:r w:rsidRPr="005F7DCE">
              <w:rPr>
                <w:szCs w:val="22"/>
              </w:rPr>
              <w:t>Refunds</w:t>
            </w:r>
          </w:p>
        </w:tc>
        <w:tc>
          <w:tcPr>
            <w:tcW w:w="4860" w:type="dxa"/>
          </w:tcPr>
          <w:p w:rsidR="008B41DA" w:rsidRPr="005F7DCE" w:rsidP="00D12A19" w14:paraId="5129A9D3" w14:textId="77777777">
            <w:pPr>
              <w:widowControl/>
              <w:rPr>
                <w:b/>
                <w:szCs w:val="22"/>
              </w:rPr>
            </w:pPr>
            <w:r w:rsidRPr="005F7DCE">
              <w:rPr>
                <w:b/>
                <w:szCs w:val="22"/>
              </w:rPr>
              <w:t xml:space="preserve">FCC </w:t>
            </w:r>
            <w:r>
              <w:rPr>
                <w:b/>
                <w:szCs w:val="22"/>
              </w:rPr>
              <w:t>Revenue &amp; Receivables Operations Group/Auctions</w:t>
            </w:r>
          </w:p>
          <w:p w:rsidR="002E7640" w:rsidP="00D12A19" w14:paraId="6B8E9280" w14:textId="182023E3">
            <w:pPr>
              <w:widowControl/>
              <w:rPr>
                <w:szCs w:val="22"/>
              </w:rPr>
            </w:pPr>
            <w:r>
              <w:rPr>
                <w:szCs w:val="22"/>
              </w:rPr>
              <w:t>Scott Radcliffe at (202) 418-7518</w:t>
            </w:r>
          </w:p>
          <w:p w:rsidR="002E7640" w:rsidP="00D12A19" w14:paraId="552383DA" w14:textId="358A8864">
            <w:pPr>
              <w:widowControl/>
              <w:rPr>
                <w:szCs w:val="22"/>
              </w:rPr>
            </w:pPr>
            <w:r>
              <w:t>Theresa Meeks at (202) 418-2945</w:t>
            </w:r>
            <w:r w:rsidR="008B41DA">
              <w:rPr>
                <w:szCs w:val="22"/>
              </w:rPr>
              <w:t xml:space="preserve">, or </w:t>
            </w:r>
          </w:p>
          <w:p w:rsidR="002E7640" w:rsidP="00D12A19" w14:paraId="4D7E16DB" w14:textId="5B3B2AA8">
            <w:pPr>
              <w:widowControl/>
              <w:rPr>
                <w:szCs w:val="22"/>
              </w:rPr>
            </w:pPr>
            <w:r w:rsidRPr="005F7DCE">
              <w:rPr>
                <w:szCs w:val="22"/>
              </w:rPr>
              <w:t>Gail Glasser</w:t>
            </w:r>
            <w:r>
              <w:rPr>
                <w:szCs w:val="22"/>
              </w:rPr>
              <w:t xml:space="preserve"> at </w:t>
            </w:r>
            <w:r w:rsidRPr="005F7DCE">
              <w:rPr>
                <w:szCs w:val="22"/>
              </w:rPr>
              <w:t>(202) 418-0578</w:t>
            </w:r>
            <w:r w:rsidR="008B41DA">
              <w:t>,</w:t>
            </w:r>
            <w:r w:rsidRPr="005F7DCE" w:rsidR="008B41DA">
              <w:rPr>
                <w:szCs w:val="22"/>
              </w:rPr>
              <w:t xml:space="preserve"> </w:t>
            </w:r>
          </w:p>
          <w:p w:rsidR="008B41DA" w:rsidP="00D12A19" w14:paraId="26BA3AA3" w14:textId="71CBBB0C">
            <w:pPr>
              <w:widowControl/>
              <w:rPr>
                <w:szCs w:val="22"/>
              </w:rPr>
            </w:pPr>
            <w:r>
              <w:rPr>
                <w:szCs w:val="22"/>
              </w:rPr>
              <w:t xml:space="preserve">or </w:t>
            </w:r>
            <w:r w:rsidRPr="005F7DCE">
              <w:rPr>
                <w:szCs w:val="22"/>
              </w:rPr>
              <w:t>(202)</w:t>
            </w:r>
            <w:r>
              <w:rPr>
                <w:szCs w:val="22"/>
              </w:rPr>
              <w:t> </w:t>
            </w:r>
            <w:r w:rsidRPr="005F7DCE">
              <w:rPr>
                <w:szCs w:val="22"/>
              </w:rPr>
              <w:t>418</w:t>
            </w:r>
            <w:r>
              <w:rPr>
                <w:szCs w:val="22"/>
              </w:rPr>
              <w:noBreakHyphen/>
            </w:r>
            <w:r w:rsidRPr="005F7DCE">
              <w:rPr>
                <w:szCs w:val="22"/>
              </w:rPr>
              <w:t>2843 (fax)</w:t>
            </w:r>
            <w:r>
              <w:rPr>
                <w:szCs w:val="22"/>
              </w:rPr>
              <w:t xml:space="preserve"> </w:t>
            </w:r>
            <w:r w:rsidR="002E7640">
              <w:rPr>
                <w:szCs w:val="22"/>
              </w:rPr>
              <w:t xml:space="preserve">or email to </w:t>
            </w:r>
            <w:hyperlink r:id="rId8" w:history="1">
              <w:r w:rsidRPr="002E7640" w:rsidR="002E7640">
                <w:rPr>
                  <w:rStyle w:val="Hyperlink"/>
                  <w:szCs w:val="22"/>
                </w:rPr>
                <w:t>RROGWireFaxes@fcc.gov</w:t>
              </w:r>
            </w:hyperlink>
          </w:p>
          <w:p w:rsidR="008B41DA" w:rsidP="00D12A19" w14:paraId="51684546" w14:textId="77777777">
            <w:pPr>
              <w:widowControl/>
              <w:rPr>
                <w:b/>
                <w:szCs w:val="22"/>
              </w:rPr>
            </w:pPr>
          </w:p>
          <w:p w:rsidR="008B41DA" w:rsidP="00D12A19" w14:paraId="283661E7" w14:textId="77777777">
            <w:pPr>
              <w:widowControl/>
              <w:rPr>
                <w:b/>
                <w:szCs w:val="22"/>
              </w:rPr>
            </w:pPr>
            <w:r>
              <w:rPr>
                <w:b/>
                <w:szCs w:val="22"/>
              </w:rPr>
              <w:t xml:space="preserve">FCC Auctions Hotline at (888) 225-5322, option two; or (717) 338-2868 </w:t>
            </w:r>
          </w:p>
          <w:p w:rsidR="008B41DA" w:rsidRPr="005F7DCE" w:rsidP="00D12A19" w14:paraId="49569BBB" w14:textId="77777777">
            <w:pPr>
              <w:widowControl/>
              <w:rPr>
                <w:b/>
                <w:szCs w:val="22"/>
              </w:rPr>
            </w:pPr>
          </w:p>
        </w:tc>
      </w:tr>
      <w:tr w14:paraId="6EF1A16B" w14:textId="77777777" w:rsidTr="00D12A19">
        <w:tblPrEx>
          <w:tblW w:w="9828" w:type="dxa"/>
          <w:tblLayout w:type="fixed"/>
          <w:tblLook w:val="0000"/>
        </w:tblPrEx>
        <w:trPr>
          <w:cantSplit/>
        </w:trPr>
        <w:tc>
          <w:tcPr>
            <w:tcW w:w="4968" w:type="dxa"/>
          </w:tcPr>
          <w:p w:rsidR="008B41DA" w:rsidRPr="005F7DCE" w:rsidP="00D12A19" w14:paraId="353B8BB7" w14:textId="46633620">
            <w:pPr>
              <w:widowControl/>
              <w:rPr>
                <w:b/>
                <w:szCs w:val="22"/>
              </w:rPr>
            </w:pPr>
            <w:r w:rsidRPr="005F7DCE">
              <w:rPr>
                <w:b/>
                <w:szCs w:val="22"/>
              </w:rPr>
              <w:t xml:space="preserve">Auction </w:t>
            </w:r>
            <w:r w:rsidR="00406EF0">
              <w:rPr>
                <w:b/>
                <w:szCs w:val="22"/>
              </w:rPr>
              <w:t>100</w:t>
            </w:r>
            <w:r w:rsidRPr="005F7DCE" w:rsidR="00406EF0">
              <w:rPr>
                <w:b/>
                <w:szCs w:val="22"/>
              </w:rPr>
              <w:t xml:space="preserve"> </w:t>
            </w:r>
            <w:r w:rsidRPr="005F7DCE">
              <w:rPr>
                <w:b/>
                <w:szCs w:val="22"/>
              </w:rPr>
              <w:t>Information</w:t>
            </w:r>
          </w:p>
          <w:p w:rsidR="008B41DA" w:rsidRPr="005F7DCE" w:rsidP="00D12A19" w14:paraId="486BAFAA" w14:textId="77777777">
            <w:pPr>
              <w:widowControl/>
              <w:ind w:left="360"/>
              <w:rPr>
                <w:szCs w:val="22"/>
              </w:rPr>
            </w:pPr>
            <w:r w:rsidRPr="005F7DCE">
              <w:rPr>
                <w:szCs w:val="22"/>
              </w:rPr>
              <w:t>General Auction Information, Process and Procedures</w:t>
            </w:r>
          </w:p>
          <w:p w:rsidR="008B41DA" w:rsidP="00D12A19" w14:paraId="663EF1D6" w14:textId="77777777">
            <w:pPr>
              <w:widowControl/>
              <w:ind w:left="360"/>
              <w:rPr>
                <w:szCs w:val="22"/>
              </w:rPr>
            </w:pPr>
          </w:p>
          <w:p w:rsidR="008B41DA" w:rsidP="00827375" w14:paraId="4A0FDD10" w14:textId="77777777">
            <w:pPr>
              <w:widowControl/>
              <w:ind w:left="360"/>
              <w:rPr>
                <w:szCs w:val="22"/>
              </w:rPr>
            </w:pPr>
            <w:r w:rsidRPr="005F7DCE">
              <w:rPr>
                <w:szCs w:val="22"/>
              </w:rPr>
              <w:t>Auction Rules, Policies, and Regulations</w:t>
            </w:r>
          </w:p>
          <w:p w:rsidR="00407789" w:rsidRPr="005F7DCE" w:rsidP="00827375" w14:paraId="33DF9B9A" w14:textId="1EA20E6B">
            <w:pPr>
              <w:widowControl/>
              <w:ind w:left="360"/>
              <w:rPr>
                <w:b/>
                <w:szCs w:val="22"/>
              </w:rPr>
            </w:pPr>
          </w:p>
        </w:tc>
        <w:tc>
          <w:tcPr>
            <w:tcW w:w="4860" w:type="dxa"/>
          </w:tcPr>
          <w:p w:rsidR="008B41DA" w:rsidRPr="005F7DCE" w:rsidP="00D12A19" w14:paraId="24614301" w14:textId="67204F9A">
            <w:pPr>
              <w:widowControl/>
              <w:rPr>
                <w:b/>
                <w:szCs w:val="22"/>
              </w:rPr>
            </w:pPr>
            <w:r w:rsidRPr="005F7DCE">
              <w:rPr>
                <w:b/>
                <w:szCs w:val="22"/>
              </w:rPr>
              <w:t>Auctions Division</w:t>
            </w:r>
            <w:r w:rsidR="002E7640">
              <w:rPr>
                <w:b/>
                <w:szCs w:val="22"/>
              </w:rPr>
              <w:t>, OEA</w:t>
            </w:r>
            <w:r w:rsidRPr="005F7DCE">
              <w:rPr>
                <w:b/>
                <w:szCs w:val="22"/>
              </w:rPr>
              <w:t xml:space="preserve"> </w:t>
            </w:r>
          </w:p>
          <w:p w:rsidR="008B41DA" w:rsidRPr="005F7DCE" w:rsidP="00D12A19" w14:paraId="425451F5" w14:textId="76E58C61">
            <w:pPr>
              <w:widowControl/>
              <w:rPr>
                <w:szCs w:val="22"/>
              </w:rPr>
            </w:pPr>
            <w:r>
              <w:rPr>
                <w:szCs w:val="22"/>
              </w:rPr>
              <w:t>Auctions Hotline, at (717) 338-</w:t>
            </w:r>
            <w:r w:rsidR="00827375">
              <w:rPr>
                <w:szCs w:val="22"/>
              </w:rPr>
              <w:t>2868</w:t>
            </w:r>
          </w:p>
          <w:p w:rsidR="00827375" w:rsidP="00D12A19" w14:paraId="289E634E" w14:textId="77777777">
            <w:pPr>
              <w:widowControl/>
              <w:rPr>
                <w:szCs w:val="22"/>
              </w:rPr>
            </w:pPr>
          </w:p>
          <w:p w:rsidR="00827375" w:rsidP="00D12A19" w14:paraId="4742D4A6" w14:textId="77777777">
            <w:pPr>
              <w:widowControl/>
              <w:rPr>
                <w:szCs w:val="22"/>
              </w:rPr>
            </w:pPr>
          </w:p>
          <w:p w:rsidR="008B41DA" w:rsidP="00827375" w14:paraId="37AA62EE" w14:textId="77777777">
            <w:pPr>
              <w:widowControl/>
              <w:rPr>
                <w:szCs w:val="22"/>
              </w:rPr>
            </w:pPr>
            <w:r>
              <w:rPr>
                <w:szCs w:val="22"/>
              </w:rPr>
              <w:t>Lynne Milne, Attorney, at (202) 418-0660</w:t>
            </w:r>
          </w:p>
          <w:p w:rsidR="00407789" w:rsidRPr="005F7DCE" w:rsidP="00827375" w14:paraId="1AF9745C" w14:textId="2E741DDD">
            <w:pPr>
              <w:widowControl/>
              <w:rPr>
                <w:b/>
                <w:szCs w:val="22"/>
              </w:rPr>
            </w:pPr>
          </w:p>
        </w:tc>
      </w:tr>
      <w:tr w14:paraId="03580DD1" w14:textId="77777777" w:rsidTr="00D12A19">
        <w:tblPrEx>
          <w:tblW w:w="9828" w:type="dxa"/>
          <w:tblLayout w:type="fixed"/>
          <w:tblLook w:val="0000"/>
        </w:tblPrEx>
        <w:trPr>
          <w:cantSplit/>
          <w:trHeight w:val="1104"/>
        </w:trPr>
        <w:tc>
          <w:tcPr>
            <w:tcW w:w="4968" w:type="dxa"/>
          </w:tcPr>
          <w:p w:rsidR="008B41DA" w:rsidRPr="005F7DCE" w:rsidP="00D12A19" w14:paraId="46CA8852" w14:textId="277E2F0E">
            <w:pPr>
              <w:widowControl/>
              <w:rPr>
                <w:b/>
                <w:szCs w:val="22"/>
              </w:rPr>
            </w:pPr>
            <w:r w:rsidRPr="005F7DCE">
              <w:rPr>
                <w:b/>
                <w:szCs w:val="22"/>
              </w:rPr>
              <w:t>Accessible Formats</w:t>
            </w:r>
          </w:p>
          <w:p w:rsidR="008B41DA" w:rsidRPr="005F7DCE" w:rsidP="00D12A19" w14:paraId="62DC94C4" w14:textId="77777777">
            <w:pPr>
              <w:widowControl/>
              <w:ind w:left="360"/>
              <w:rPr>
                <w:szCs w:val="22"/>
              </w:rPr>
            </w:pPr>
            <w:r w:rsidRPr="005F7DCE">
              <w:rPr>
                <w:szCs w:val="22"/>
              </w:rPr>
              <w:t xml:space="preserve">Braille, large print, electronic files, or </w:t>
            </w:r>
          </w:p>
          <w:p w:rsidR="008B41DA" w:rsidRPr="005F7DCE" w:rsidP="00D12A19" w14:paraId="43442162" w14:textId="77777777">
            <w:pPr>
              <w:widowControl/>
              <w:ind w:left="360"/>
              <w:rPr>
                <w:b/>
                <w:szCs w:val="22"/>
              </w:rPr>
            </w:pPr>
            <w:r w:rsidRPr="005F7DCE">
              <w:rPr>
                <w:szCs w:val="22"/>
              </w:rPr>
              <w:t>audio format for people with disabilities</w:t>
            </w:r>
          </w:p>
        </w:tc>
        <w:tc>
          <w:tcPr>
            <w:tcW w:w="4860" w:type="dxa"/>
          </w:tcPr>
          <w:p w:rsidR="008B41DA" w:rsidRPr="005F7DCE" w:rsidP="00D12A19" w14:paraId="27C181F2" w14:textId="77777777">
            <w:pPr>
              <w:widowControl/>
              <w:rPr>
                <w:b/>
                <w:szCs w:val="22"/>
              </w:rPr>
            </w:pPr>
            <w:r w:rsidRPr="005F7DCE">
              <w:rPr>
                <w:b/>
                <w:szCs w:val="22"/>
              </w:rPr>
              <w:t>Consumer and Governmental Affairs Bureau</w:t>
            </w:r>
          </w:p>
          <w:p w:rsidR="008B41DA" w:rsidRPr="005F7DCE" w:rsidP="00D12A19" w14:paraId="45A2F67B" w14:textId="77777777">
            <w:pPr>
              <w:widowControl/>
              <w:rPr>
                <w:szCs w:val="22"/>
              </w:rPr>
            </w:pPr>
            <w:r w:rsidRPr="005F7DCE">
              <w:rPr>
                <w:szCs w:val="22"/>
              </w:rPr>
              <w:t>(202) 418-0530</w:t>
            </w:r>
            <w:r>
              <w:rPr>
                <w:szCs w:val="22"/>
              </w:rPr>
              <w:t>,</w:t>
            </w:r>
            <w:r w:rsidRPr="005F7DCE">
              <w:rPr>
                <w:szCs w:val="22"/>
              </w:rPr>
              <w:t xml:space="preserve"> or (202) 418-0432 (TTY)</w:t>
            </w:r>
          </w:p>
          <w:p w:rsidR="008B41DA" w:rsidRPr="005F7DCE" w:rsidP="00D12A19" w14:paraId="17D6B729" w14:textId="77777777">
            <w:pPr>
              <w:widowControl/>
              <w:rPr>
                <w:szCs w:val="22"/>
              </w:rPr>
            </w:pPr>
            <w:hyperlink r:id="rId9" w:history="1">
              <w:r w:rsidRPr="005F7DCE">
                <w:rPr>
                  <w:rStyle w:val="Hyperlink"/>
                  <w:szCs w:val="22"/>
                </w:rPr>
                <w:t>fcc504@fcc.gov</w:t>
              </w:r>
            </w:hyperlink>
          </w:p>
          <w:p w:rsidR="008B41DA" w:rsidRPr="005F7DCE" w:rsidP="00D12A19" w14:paraId="233D57A5" w14:textId="77777777">
            <w:pPr>
              <w:widowControl/>
              <w:rPr>
                <w:b/>
                <w:szCs w:val="22"/>
              </w:rPr>
            </w:pPr>
          </w:p>
        </w:tc>
      </w:tr>
      <w:tr w14:paraId="315D1B8F" w14:textId="77777777" w:rsidTr="00D12A19">
        <w:tblPrEx>
          <w:tblW w:w="9828" w:type="dxa"/>
          <w:tblLayout w:type="fixed"/>
          <w:tblLook w:val="0000"/>
        </w:tblPrEx>
        <w:trPr>
          <w:cantSplit/>
        </w:trPr>
        <w:tc>
          <w:tcPr>
            <w:tcW w:w="4968" w:type="dxa"/>
          </w:tcPr>
          <w:p w:rsidR="008B41DA" w:rsidRPr="005F7DCE" w:rsidP="00D12A19" w14:paraId="6416B93B" w14:textId="77777777">
            <w:pPr>
              <w:widowControl/>
              <w:rPr>
                <w:b/>
                <w:szCs w:val="22"/>
              </w:rPr>
            </w:pPr>
            <w:r w:rsidRPr="005F7DCE">
              <w:rPr>
                <w:b/>
                <w:szCs w:val="22"/>
              </w:rPr>
              <w:t>FCC Internet Sites</w:t>
            </w:r>
          </w:p>
          <w:p w:rsidR="008B41DA" w:rsidRPr="005F7DCE" w:rsidP="00D12A19" w14:paraId="56CCF003" w14:textId="77777777">
            <w:pPr>
              <w:widowControl/>
              <w:rPr>
                <w:szCs w:val="22"/>
              </w:rPr>
            </w:pPr>
          </w:p>
        </w:tc>
        <w:tc>
          <w:tcPr>
            <w:tcW w:w="4860" w:type="dxa"/>
          </w:tcPr>
          <w:p w:rsidR="008B41DA" w:rsidP="00D12A19" w14:paraId="0F208C4B" w14:textId="11506299">
            <w:pPr>
              <w:widowControl/>
            </w:pPr>
            <w:hyperlink r:id="rId10" w:history="1">
              <w:r w:rsidR="00406EF0">
                <w:rPr>
                  <w:rStyle w:val="Hyperlink"/>
                </w:rPr>
                <w:t>www.fcc.gov/auction/100</w:t>
              </w:r>
            </w:hyperlink>
            <w:r>
              <w:t xml:space="preserve"> </w:t>
            </w:r>
          </w:p>
          <w:p w:rsidR="008B41DA" w:rsidP="00D12A19" w14:paraId="6EB2CD9E" w14:textId="77777777">
            <w:pPr>
              <w:widowControl/>
            </w:pPr>
            <w:hyperlink r:id="rId11" w:history="1">
              <w:r w:rsidRPr="000E07DD">
                <w:rPr>
                  <w:rStyle w:val="Hyperlink"/>
                </w:rPr>
                <w:t>www.fcc.gov/mb</w:t>
              </w:r>
            </w:hyperlink>
            <w:r>
              <w:t xml:space="preserve">  </w:t>
            </w:r>
          </w:p>
          <w:p w:rsidR="008B41DA" w:rsidP="00D12A19" w14:paraId="5C872553" w14:textId="77777777">
            <w:pPr>
              <w:widowControl/>
            </w:pPr>
            <w:hyperlink r:id="rId12" w:history="1">
              <w:r w:rsidRPr="000E07DD">
                <w:rPr>
                  <w:rStyle w:val="Hyperlink"/>
                </w:rPr>
                <w:t>http://licensing.fcc.gov/prod/cdbs/pubacc/prod/cdbs_pa.htm</w:t>
              </w:r>
            </w:hyperlink>
          </w:p>
          <w:p w:rsidR="008B41DA" w:rsidP="00D12A19" w14:paraId="47AFD5F7" w14:textId="6A5E2504">
            <w:pPr>
              <w:widowControl/>
              <w:rPr>
                <w:szCs w:val="22"/>
              </w:rPr>
            </w:pPr>
            <w:hyperlink r:id="rId13" w:history="1">
              <w:r w:rsidR="002E7640">
                <w:rPr>
                  <w:rStyle w:val="Hyperlink"/>
                  <w:szCs w:val="22"/>
                </w:rPr>
                <w:t>auctiondata.fcc.gov</w:t>
              </w:r>
            </w:hyperlink>
            <w:r>
              <w:rPr>
                <w:szCs w:val="22"/>
              </w:rPr>
              <w:t xml:space="preserve"> </w:t>
            </w:r>
          </w:p>
          <w:p w:rsidR="008B41DA" w:rsidRPr="005F7DCE" w:rsidP="00D12A19" w14:paraId="3FB04563" w14:textId="77777777">
            <w:pPr>
              <w:widowControl/>
              <w:rPr>
                <w:szCs w:val="22"/>
              </w:rPr>
            </w:pPr>
            <w:hyperlink r:id="rId14" w:history="1">
              <w:r>
                <w:rPr>
                  <w:rStyle w:val="Hyperlink"/>
                  <w:szCs w:val="22"/>
                </w:rPr>
                <w:t>www.fcc.gov</w:t>
              </w:r>
            </w:hyperlink>
            <w:r>
              <w:rPr>
                <w:szCs w:val="22"/>
              </w:rPr>
              <w:t xml:space="preserve"> </w:t>
            </w:r>
          </w:p>
          <w:p w:rsidR="008B41DA" w:rsidRPr="005F7DCE" w:rsidP="00D12A19" w14:paraId="6862CCF1" w14:textId="77777777">
            <w:pPr>
              <w:widowControl/>
              <w:rPr>
                <w:szCs w:val="22"/>
              </w:rPr>
            </w:pPr>
          </w:p>
        </w:tc>
      </w:tr>
    </w:tbl>
    <w:p w:rsidR="00412FC5" w:rsidRPr="00E1457A" w:rsidP="00E1457A" w14:paraId="5BF706E7" w14:textId="77777777">
      <w:pPr>
        <w:jc w:val="center"/>
        <w:rPr>
          <w:b/>
        </w:rPr>
      </w:pPr>
      <w:r w:rsidRPr="00F413DC">
        <w:t xml:space="preserve">- </w:t>
      </w:r>
      <w:r w:rsidRPr="00E1457A">
        <w:rPr>
          <w:b/>
        </w:rPr>
        <w:t>FCC -</w:t>
      </w:r>
    </w:p>
    <w:sectPr w:rsidSect="000E5884">
      <w:headerReference w:type="default" r:id="rId15"/>
      <w:footerReference w:type="even" r:id="rId16"/>
      <w:footerReference w:type="default" r:id="rId17"/>
      <w:headerReference w:type="first" r:id="rId18"/>
      <w:footerReference w:type="first" r:id="rId1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0D5F8333"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2438EBB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31A0BE79" w14:textId="77777777">
    <w:pPr>
      <w:pStyle w:val="Footer"/>
      <w:framePr w:wrap="around" w:vAnchor="text" w:hAnchor="margin" w:xAlign="center" w:y="1"/>
    </w:pPr>
    <w:r>
      <w:fldChar w:fldCharType="begin"/>
    </w:r>
    <w:r>
      <w:instrText xml:space="preserve">PAGE  </w:instrText>
    </w:r>
    <w:r>
      <w:fldChar w:fldCharType="separate"/>
    </w:r>
    <w:r>
      <w:rPr>
        <w:noProof/>
      </w:rPr>
      <w:t>2</w:t>
    </w:r>
    <w:r>
      <w:fldChar w:fldCharType="end"/>
    </w:r>
  </w:p>
  <w:p w:rsidR="006F7393" w14:paraId="7EB7E5B2" w14:textId="77777777">
    <w:pPr>
      <w:spacing w:before="140" w:line="100" w:lineRule="exact"/>
      <w:rPr>
        <w:sz w:val="1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4F3B41F7"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7544E" w14:paraId="5046D562" w14:textId="77777777">
      <w:r>
        <w:separator/>
      </w:r>
    </w:p>
  </w:footnote>
  <w:footnote w:type="continuationSeparator" w:id="1">
    <w:p w:rsidR="0037544E" w14:paraId="4B3B413A" w14:textId="77777777">
      <w:pPr>
        <w:rPr>
          <w:sz w:val="20"/>
        </w:rPr>
      </w:pPr>
      <w:r>
        <w:rPr>
          <w:sz w:val="20"/>
        </w:rPr>
        <w:t xml:space="preserve">(Continued from previous page)  </w:t>
      </w:r>
      <w:r>
        <w:rPr>
          <w:sz w:val="20"/>
        </w:rPr>
        <w:separator/>
      </w:r>
    </w:p>
  </w:footnote>
  <w:footnote w:type="continuationNotice" w:id="2">
    <w:p w:rsidR="0037544E" w14:paraId="74F63C52" w14:textId="77777777">
      <w:pPr>
        <w:rPr>
          <w:sz w:val="20"/>
        </w:rPr>
      </w:pPr>
      <w:r>
        <w:rPr>
          <w:sz w:val="20"/>
        </w:rPr>
        <w:t>(continued….)</w:t>
      </w:r>
    </w:p>
  </w:footnote>
  <w:footnote w:id="3">
    <w:p w:rsidR="00377607" w:rsidRPr="001C4574" w:rsidP="00377607" w14:paraId="303B60DF" w14:textId="42984928">
      <w:pPr>
        <w:pStyle w:val="FootnoteText"/>
      </w:pPr>
      <w:r w:rsidRPr="001C4574">
        <w:rPr>
          <w:rStyle w:val="FootnoteReference"/>
          <w:sz w:val="20"/>
        </w:rPr>
        <w:footnoteRef/>
      </w:r>
      <w:r w:rsidRPr="001C4574">
        <w:t xml:space="preserve"> </w:t>
      </w:r>
      <w:r w:rsidRPr="001C4574" w:rsidR="002F02D5">
        <w:t xml:space="preserve">Attachment A lists both a </w:t>
      </w:r>
      <w:r w:rsidRPr="001C4574">
        <w:t>gross</w:t>
      </w:r>
      <w:r w:rsidRPr="001C4574" w:rsidR="002F02D5">
        <w:t xml:space="preserve"> winning</w:t>
      </w:r>
      <w:r w:rsidRPr="001C4574">
        <w:t xml:space="preserve"> bid amount and </w:t>
      </w:r>
      <w:r w:rsidRPr="001C4574" w:rsidR="002F02D5">
        <w:t xml:space="preserve">a </w:t>
      </w:r>
      <w:r w:rsidRPr="001C4574">
        <w:t>net bid amount</w:t>
      </w:r>
      <w:r w:rsidRPr="001C4574" w:rsidR="002F02D5">
        <w:t>.  These amounts</w:t>
      </w:r>
      <w:r w:rsidRPr="001C4574">
        <w:t xml:space="preserve"> are identical </w:t>
      </w:r>
      <w:r w:rsidRPr="001C4574" w:rsidR="00407789">
        <w:t xml:space="preserve">in Auction 100 </w:t>
      </w:r>
      <w:r w:rsidRPr="001C4574">
        <w:t>because none of the winning bidders is seeking a bidding credit.</w:t>
      </w:r>
      <w:r w:rsidRPr="001C4574" w:rsidR="001C036A">
        <w:t xml:space="preserve">  </w:t>
      </w:r>
      <w:r w:rsidRPr="001C4574" w:rsidR="001C036A">
        <w:rPr>
          <w:i/>
        </w:rPr>
        <w:t>See Auction of Cross-Service FM Translator Construction Permits Scheduled for June 25, 2019; Notice and Filing Requirements, Minimum Opening Bids, Upfront Payments, and Other Procedures for Auction 100</w:t>
      </w:r>
      <w:r w:rsidRPr="001C4574" w:rsidR="001C036A">
        <w:t>,</w:t>
      </w:r>
      <w:r w:rsidRPr="001C4574" w:rsidR="001C036A">
        <w:rPr>
          <w:i/>
        </w:rPr>
        <w:t xml:space="preserve"> </w:t>
      </w:r>
      <w:r w:rsidRPr="001C4574" w:rsidR="001C036A">
        <w:t>Public Notice, DA 19-273,</w:t>
      </w:r>
      <w:r w:rsidRPr="001C4574" w:rsidR="001C036A">
        <w:rPr>
          <w:i/>
        </w:rPr>
        <w:t xml:space="preserve"> </w:t>
      </w:r>
      <w:r w:rsidRPr="001C4574" w:rsidR="00A720CD">
        <w:t>para. 113 n.119</w:t>
      </w:r>
      <w:r w:rsidRPr="001C4574" w:rsidR="000C4DB5">
        <w:t xml:space="preserve"> </w:t>
      </w:r>
      <w:r w:rsidRPr="001C4574" w:rsidR="001C036A">
        <w:t>(OEA/MB Apr. 17, 2019) (</w:t>
      </w:r>
      <w:r w:rsidRPr="001C4574" w:rsidR="001C036A">
        <w:rPr>
          <w:i/>
        </w:rPr>
        <w:t>Auction 100</w:t>
      </w:r>
      <w:r w:rsidRPr="001C4574" w:rsidR="001C036A">
        <w:t xml:space="preserve"> </w:t>
      </w:r>
      <w:r w:rsidRPr="001C4574" w:rsidR="001C036A">
        <w:rPr>
          <w:i/>
        </w:rPr>
        <w:t>Procedures Public Notice</w:t>
      </w:r>
      <w:r w:rsidRPr="001C4574" w:rsidR="001C036A">
        <w:t>).</w:t>
      </w:r>
    </w:p>
  </w:footnote>
  <w:footnote w:id="4">
    <w:p w:rsidR="001C036A" w:rsidRPr="001C4574" w:rsidP="001C036A" w14:paraId="42AB2719" w14:textId="3B15CF32">
      <w:pPr>
        <w:pStyle w:val="FootnoteText"/>
      </w:pPr>
      <w:r w:rsidRPr="001C4574">
        <w:rPr>
          <w:rStyle w:val="FootnoteReference"/>
          <w:sz w:val="20"/>
        </w:rPr>
        <w:footnoteRef/>
      </w:r>
      <w:r w:rsidRPr="001C4574">
        <w:t xml:space="preserve"> </w:t>
      </w:r>
      <w:r w:rsidRPr="001C4574" w:rsidR="002F02D5">
        <w:t>Bid w</w:t>
      </w:r>
      <w:r w:rsidRPr="001C4574">
        <w:t xml:space="preserve">ithdrawals were </w:t>
      </w:r>
      <w:r w:rsidRPr="001C4574" w:rsidR="002F02D5">
        <w:t xml:space="preserve">not permitted </w:t>
      </w:r>
      <w:r w:rsidRPr="001C4574">
        <w:t xml:space="preserve">in Auction 100, so the Total Withdrawal Payment Amount is zero in all cases.  </w:t>
      </w:r>
      <w:r w:rsidRPr="001C4574">
        <w:rPr>
          <w:i/>
        </w:rPr>
        <w:t>Auction 100 Procedures Public Notice</w:t>
      </w:r>
      <w:r w:rsidRPr="001C4574">
        <w:t>, DA 19-273, at 30, para. 125.</w:t>
      </w:r>
    </w:p>
  </w:footnote>
  <w:footnote w:id="5">
    <w:p w:rsidR="008B41DA" w:rsidRPr="001C4574" w:rsidP="008B41DA" w14:paraId="706BC60F" w14:textId="4EBA7EF0">
      <w:pPr>
        <w:pStyle w:val="FootnoteText"/>
      </w:pPr>
      <w:r w:rsidRPr="001C4574">
        <w:rPr>
          <w:rStyle w:val="FootnoteReference"/>
          <w:sz w:val="20"/>
        </w:rPr>
        <w:footnoteRef/>
      </w:r>
      <w:r w:rsidRPr="001C4574">
        <w:t xml:space="preserve"> For a non-winning bidder, this Final Balance</w:t>
      </w:r>
      <w:r w:rsidRPr="001C4574" w:rsidR="000C4DB5">
        <w:t xml:space="preserve"> Due</w:t>
      </w:r>
      <w:r w:rsidRPr="001C4574">
        <w:t xml:space="preserve"> amount, which is equal to its Upfront Payment Amount, is shown in parentheses and is available for refund.  For a winning bidder, this amount may equal the Final Payment Amount.  However, if the Upfront Payment Amount exceeds the Down Payment Amount, </w:t>
      </w:r>
      <w:r w:rsidRPr="001C4574" w:rsidR="002F02D5">
        <w:t xml:space="preserve">any </w:t>
      </w:r>
      <w:r w:rsidRPr="001C4574">
        <w:t>excess will reduce the Final Balance</w:t>
      </w:r>
      <w:r w:rsidRPr="001C4574" w:rsidR="002F02D5">
        <w:t xml:space="preserve"> Due</w:t>
      </w:r>
      <w:r w:rsidRPr="001C4574">
        <w:t xml:space="preserve">. </w:t>
      </w:r>
    </w:p>
  </w:footnote>
  <w:footnote w:id="6">
    <w:p w:rsidR="008B41DA" w:rsidRPr="001C4574" w:rsidP="008B41DA" w14:paraId="719A1440" w14:textId="4305751C">
      <w:pPr>
        <w:pStyle w:val="FootnoteText"/>
      </w:pPr>
      <w:r w:rsidRPr="001C4574">
        <w:rPr>
          <w:rStyle w:val="FootnoteReference"/>
          <w:sz w:val="20"/>
        </w:rPr>
        <w:footnoteRef/>
      </w:r>
      <w:r w:rsidRPr="001C4574">
        <w:rPr>
          <w:i/>
          <w:lang w:val="de-DE"/>
        </w:rPr>
        <w:t xml:space="preserve"> </w:t>
      </w:r>
      <w:r w:rsidRPr="001C4574">
        <w:rPr>
          <w:lang w:val="de-DE"/>
        </w:rPr>
        <w:t>47 CFR § 1.2107(b)</w:t>
      </w:r>
      <w:r w:rsidRPr="001C4574" w:rsidR="001C036A">
        <w:rPr>
          <w:lang w:val="de-DE"/>
        </w:rPr>
        <w:t xml:space="preserve">; </w:t>
      </w:r>
      <w:r w:rsidRPr="001C4574" w:rsidR="001C036A">
        <w:rPr>
          <w:i/>
          <w:lang w:val="de-DE"/>
        </w:rPr>
        <w:t>see</w:t>
      </w:r>
      <w:r w:rsidRPr="001C4574" w:rsidR="001C036A">
        <w:rPr>
          <w:lang w:val="de-DE"/>
        </w:rPr>
        <w:t xml:space="preserve"> </w:t>
      </w:r>
      <w:r w:rsidRPr="001C4574" w:rsidR="001C036A">
        <w:rPr>
          <w:i/>
        </w:rPr>
        <w:t>Auction 100 Procedures Public Notice</w:t>
      </w:r>
      <w:r w:rsidRPr="001C4574" w:rsidR="001C036A">
        <w:t>, DA 19-273, at 27, para. 113</w:t>
      </w:r>
      <w:r w:rsidRPr="001C4574">
        <w:rPr>
          <w:lang w:val="de-DE"/>
        </w:rPr>
        <w:t xml:space="preserve">.  </w:t>
      </w:r>
    </w:p>
  </w:footnote>
  <w:footnote w:id="7">
    <w:p w:rsidR="008B41DA" w:rsidRPr="001C4574" w:rsidP="008B41DA" w14:paraId="3F07BD2F" w14:textId="2A5FFCE4">
      <w:pPr>
        <w:pStyle w:val="FootnoteText"/>
      </w:pPr>
      <w:r w:rsidRPr="001C4574">
        <w:rPr>
          <w:rStyle w:val="FootnoteReference"/>
          <w:sz w:val="20"/>
        </w:rPr>
        <w:footnoteRef/>
      </w:r>
      <w:r w:rsidRPr="001C4574">
        <w:t xml:space="preserve"> </w:t>
      </w:r>
      <w:r w:rsidRPr="001C4574" w:rsidR="00A8692E">
        <w:rPr>
          <w:lang w:val="de-DE"/>
        </w:rPr>
        <w:t>47 CFR § 1.2107(b)</w:t>
      </w:r>
      <w:r w:rsidRPr="001C4574">
        <w:t xml:space="preserve">.  </w:t>
      </w:r>
    </w:p>
  </w:footnote>
  <w:footnote w:id="8">
    <w:p w:rsidR="002F02D5" w:rsidRPr="001C4574" w:rsidP="002F02D5" w14:paraId="0584A403" w14:textId="1CD85994">
      <w:pPr>
        <w:pStyle w:val="FootnoteText"/>
      </w:pPr>
      <w:r w:rsidRPr="001C4574">
        <w:rPr>
          <w:rStyle w:val="FootnoteReference"/>
          <w:sz w:val="20"/>
        </w:rPr>
        <w:footnoteRef/>
      </w:r>
      <w:r w:rsidRPr="001C4574">
        <w:t xml:space="preserve"> </w:t>
      </w:r>
      <w:r w:rsidRPr="001C4574">
        <w:rPr>
          <w:i/>
        </w:rPr>
        <w:t>See</w:t>
      </w:r>
      <w:r w:rsidRPr="001C4574">
        <w:t xml:space="preserve"> Section III.C., “Payment </w:t>
      </w:r>
      <w:r w:rsidRPr="001C4574" w:rsidR="00F402B5">
        <w:t xml:space="preserve">Instructions </w:t>
      </w:r>
      <w:r w:rsidRPr="001C4574">
        <w:t xml:space="preserve">for Down </w:t>
      </w:r>
      <w:r w:rsidRPr="001C4574" w:rsidR="00F402B5">
        <w:t xml:space="preserve">Payments </w:t>
      </w:r>
      <w:r w:rsidRPr="001C4574">
        <w:t>and Final Payments,” below.</w:t>
      </w:r>
    </w:p>
  </w:footnote>
  <w:footnote w:id="9">
    <w:p w:rsidR="008B41DA" w:rsidRPr="001C4574" w:rsidP="008B41DA" w14:paraId="26F17723" w14:textId="77777777">
      <w:pPr>
        <w:pStyle w:val="FootnoteText"/>
      </w:pPr>
      <w:r w:rsidRPr="001C4574">
        <w:rPr>
          <w:rStyle w:val="FootnoteReference"/>
          <w:sz w:val="20"/>
        </w:rPr>
        <w:footnoteRef/>
      </w:r>
      <w:r w:rsidRPr="001C4574">
        <w:t xml:space="preserve"> </w:t>
      </w:r>
      <w:r w:rsidRPr="001C4574">
        <w:rPr>
          <w:i/>
        </w:rPr>
        <w:t>See</w:t>
      </w:r>
      <w:r w:rsidRPr="001C4574">
        <w:t xml:space="preserve"> Section III.D., “Default and Disqualification Payments,” below.</w:t>
      </w:r>
    </w:p>
  </w:footnote>
  <w:footnote w:id="10">
    <w:p w:rsidR="008B41DA" w:rsidRPr="001C4574" w:rsidP="008B41DA" w14:paraId="187442FF" w14:textId="77777777">
      <w:pPr>
        <w:pStyle w:val="FootnoteText"/>
      </w:pPr>
      <w:r w:rsidRPr="001C4574">
        <w:rPr>
          <w:rStyle w:val="FootnoteReference"/>
          <w:sz w:val="20"/>
        </w:rPr>
        <w:footnoteRef/>
      </w:r>
      <w:r w:rsidRPr="001C4574">
        <w:t xml:space="preserve"> 47 CFR § 1.2109(a).</w:t>
      </w:r>
    </w:p>
  </w:footnote>
  <w:footnote w:id="11">
    <w:p w:rsidR="00F402B5" w:rsidRPr="001C4574" w:rsidP="00F402B5" w14:paraId="7B9E9219" w14:textId="77777777">
      <w:pPr>
        <w:pStyle w:val="FootnoteText"/>
      </w:pPr>
      <w:r w:rsidRPr="001C4574">
        <w:rPr>
          <w:rStyle w:val="FootnoteReference"/>
          <w:sz w:val="20"/>
        </w:rPr>
        <w:footnoteRef/>
      </w:r>
      <w:r w:rsidRPr="001C4574">
        <w:t xml:space="preserve"> </w:t>
      </w:r>
      <w:r w:rsidRPr="001C4574">
        <w:rPr>
          <w:i/>
        </w:rPr>
        <w:t>Id.</w:t>
      </w:r>
    </w:p>
  </w:footnote>
  <w:footnote w:id="12">
    <w:p w:rsidR="008B41DA" w:rsidRPr="001C4574" w:rsidP="008B41DA" w14:paraId="46A5D524" w14:textId="77777777">
      <w:pPr>
        <w:pStyle w:val="FootnoteText"/>
      </w:pPr>
      <w:r w:rsidRPr="001C4574">
        <w:rPr>
          <w:rStyle w:val="FootnoteReference"/>
          <w:sz w:val="20"/>
        </w:rPr>
        <w:footnoteRef/>
      </w:r>
      <w:r w:rsidRPr="001C4574">
        <w:t xml:space="preserve"> </w:t>
      </w:r>
      <w:r w:rsidRPr="001C4574">
        <w:rPr>
          <w:i/>
        </w:rPr>
        <w:t>See</w:t>
      </w:r>
      <w:r w:rsidRPr="001C4574">
        <w:t xml:space="preserve"> Section III.D., “Default and Disqualification Payments,” below.</w:t>
      </w:r>
    </w:p>
  </w:footnote>
  <w:footnote w:id="13">
    <w:p w:rsidR="00327BE5" w:rsidRPr="001C4574" w:rsidP="00327BE5" w14:paraId="0A9A79F7" w14:textId="77777777">
      <w:pPr>
        <w:pStyle w:val="FootnoteText"/>
      </w:pPr>
      <w:r w:rsidRPr="001C4574">
        <w:rPr>
          <w:rStyle w:val="FootnoteReference"/>
          <w:sz w:val="20"/>
        </w:rPr>
        <w:footnoteRef/>
      </w:r>
      <w:r w:rsidRPr="001C4574">
        <w:t xml:space="preserve"> A winning bidder must initiate the wire transfer through its bank, authorizing the bank to wire funds from the winning bidder’s account to the Commission’s account at the U.S. Treasury.</w:t>
      </w:r>
    </w:p>
  </w:footnote>
  <w:footnote w:id="14">
    <w:p w:rsidR="008B41DA" w:rsidRPr="001C4574" w:rsidP="008B41DA" w14:paraId="62EEAEFA" w14:textId="66832CA0">
      <w:pPr>
        <w:pStyle w:val="FootnoteText"/>
      </w:pPr>
      <w:r w:rsidRPr="001C4574">
        <w:rPr>
          <w:rStyle w:val="FootnoteReference"/>
          <w:sz w:val="20"/>
        </w:rPr>
        <w:footnoteRef/>
      </w:r>
      <w:r w:rsidRPr="001C4574">
        <w:t xml:space="preserve"> </w:t>
      </w:r>
      <w:r w:rsidRPr="001C4574">
        <w:rPr>
          <w:i/>
        </w:rPr>
        <w:t>See, e.g</w:t>
      </w:r>
      <w:r w:rsidRPr="001C4574">
        <w:t>.</w:t>
      </w:r>
      <w:r w:rsidRPr="001C4574">
        <w:rPr>
          <w:i/>
        </w:rPr>
        <w:t>, Four Corners Broadcasting, LLC</w:t>
      </w:r>
      <w:r w:rsidRPr="001C4574">
        <w:t xml:space="preserve">, </w:t>
      </w:r>
      <w:r w:rsidRPr="001C4574" w:rsidR="00377607">
        <w:t>Letter Decision</w:t>
      </w:r>
      <w:r w:rsidRPr="001C4574">
        <w:t xml:space="preserve">, 25 FCC </w:t>
      </w:r>
      <w:r w:rsidRPr="001C4574">
        <w:t>Rcd</w:t>
      </w:r>
      <w:r w:rsidRPr="001C4574">
        <w:t xml:space="preserve"> 9046 (WTB 2010); </w:t>
      </w:r>
      <w:r w:rsidRPr="001C4574">
        <w:rPr>
          <w:i/>
        </w:rPr>
        <w:t>Spectrum Acquisitions, Inc</w:t>
      </w:r>
      <w:r w:rsidRPr="001C4574">
        <w:t xml:space="preserve">., </w:t>
      </w:r>
      <w:r w:rsidRPr="001C4574" w:rsidR="009515E0">
        <w:t>Letter Decision</w:t>
      </w:r>
      <w:r w:rsidRPr="001C4574">
        <w:t xml:space="preserve">, 23 FCC </w:t>
      </w:r>
      <w:r w:rsidRPr="001C4574">
        <w:t>Rcd</w:t>
      </w:r>
      <w:r w:rsidRPr="001C4574">
        <w:t xml:space="preserve"> 4765 (WTB 2008); </w:t>
      </w:r>
      <w:r w:rsidRPr="001C4574">
        <w:rPr>
          <w:i/>
        </w:rPr>
        <w:t>Lynch 3G Communications Corp</w:t>
      </w:r>
      <w:r w:rsidRPr="001C4574">
        <w:t xml:space="preserve">., </w:t>
      </w:r>
      <w:r w:rsidRPr="001C4574" w:rsidR="009515E0">
        <w:t>Letter Decision</w:t>
      </w:r>
      <w:r w:rsidRPr="001C4574">
        <w:t xml:space="preserve">, 18 FCC </w:t>
      </w:r>
      <w:r w:rsidRPr="001C4574">
        <w:t>Rcd</w:t>
      </w:r>
      <w:r w:rsidRPr="001C4574">
        <w:t xml:space="preserve"> 11552 (WTB 2003).  </w:t>
      </w:r>
    </w:p>
  </w:footnote>
  <w:footnote w:id="15">
    <w:p w:rsidR="008B41DA" w:rsidRPr="001C4574" w:rsidP="008B41DA" w14:paraId="79BB920C" w14:textId="673B4B3C">
      <w:pPr>
        <w:pStyle w:val="FootnoteText"/>
      </w:pPr>
      <w:r w:rsidRPr="001C4574">
        <w:rPr>
          <w:rStyle w:val="FootnoteReference"/>
          <w:sz w:val="20"/>
        </w:rPr>
        <w:footnoteRef/>
      </w:r>
      <w:r w:rsidRPr="001C4574">
        <w:t xml:space="preserve"> The Form 159 will continue to be used for upfront payments</w:t>
      </w:r>
      <w:r w:rsidRPr="001C4574" w:rsidR="00407789">
        <w:t xml:space="preserve"> in future auctions</w:t>
      </w:r>
      <w:r w:rsidRPr="001C4574">
        <w:t>.</w:t>
      </w:r>
    </w:p>
  </w:footnote>
  <w:footnote w:id="16">
    <w:p w:rsidR="009515E0" w:rsidRPr="001C4574" w:rsidP="009515E0" w14:paraId="7E95ED4D" w14:textId="63A4ABDB">
      <w:pPr>
        <w:pStyle w:val="FootnoteText"/>
      </w:pPr>
      <w:r w:rsidRPr="001C4574">
        <w:rPr>
          <w:rStyle w:val="FootnoteReference"/>
          <w:sz w:val="20"/>
        </w:rPr>
        <w:footnoteRef/>
      </w:r>
      <w:r w:rsidRPr="001C4574">
        <w:t xml:space="preserve"> 47 CFR §</w:t>
      </w:r>
      <w:r w:rsidRPr="001C4574" w:rsidR="00DC1F01">
        <w:t>§</w:t>
      </w:r>
      <w:r w:rsidRPr="001C4574">
        <w:t xml:space="preserve"> 1.2104(g)</w:t>
      </w:r>
      <w:r w:rsidRPr="001C4574" w:rsidR="00DC1F01">
        <w:t>, 1.2109</w:t>
      </w:r>
      <w:r w:rsidRPr="001C4574">
        <w:t xml:space="preserve">. </w:t>
      </w:r>
    </w:p>
  </w:footnote>
  <w:footnote w:id="17">
    <w:p w:rsidR="008B41DA" w:rsidRPr="001C4574" w:rsidP="008B41DA" w14:paraId="1B61EC19" w14:textId="77777777">
      <w:pPr>
        <w:pStyle w:val="FootnoteText"/>
      </w:pPr>
      <w:r w:rsidRPr="001C4574">
        <w:rPr>
          <w:rStyle w:val="FootnoteReference"/>
          <w:sz w:val="20"/>
        </w:rPr>
        <w:footnoteRef/>
      </w:r>
      <w:r w:rsidRPr="001C4574">
        <w:t xml:space="preserve"> </w:t>
      </w:r>
      <w:r w:rsidRPr="001C4574">
        <w:rPr>
          <w:i/>
        </w:rPr>
        <w:t>Id</w:t>
      </w:r>
      <w:r w:rsidRPr="001C4574">
        <w:t>.</w:t>
      </w:r>
      <w:r w:rsidRPr="001C4574">
        <w:rPr>
          <w:i/>
        </w:rPr>
        <w:t xml:space="preserve"> </w:t>
      </w:r>
    </w:p>
  </w:footnote>
  <w:footnote w:id="18">
    <w:p w:rsidR="00DC1F01" w:rsidRPr="001C4574" w:rsidP="00DC1F01" w14:paraId="60C7E855" w14:textId="77777777">
      <w:pPr>
        <w:pStyle w:val="FootnoteText"/>
      </w:pPr>
      <w:r w:rsidRPr="001C4574">
        <w:rPr>
          <w:rStyle w:val="FootnoteReference"/>
          <w:sz w:val="20"/>
        </w:rPr>
        <w:footnoteRef/>
      </w:r>
      <w:r w:rsidRPr="001C4574">
        <w:t xml:space="preserve"> </w:t>
      </w:r>
      <w:bookmarkStart w:id="20" w:name="_Hlk12283043"/>
      <w:r w:rsidRPr="001C4574">
        <w:t>47 CFR § 1.2104(g)(2)(</w:t>
      </w:r>
      <w:r w:rsidRPr="001C4574">
        <w:t>i</w:t>
      </w:r>
      <w:r w:rsidRPr="001C4574">
        <w:t>).</w:t>
      </w:r>
      <w:bookmarkEnd w:id="20"/>
    </w:p>
  </w:footnote>
  <w:footnote w:id="19">
    <w:p w:rsidR="008B41DA" w:rsidRPr="001C4574" w:rsidP="008B41DA" w14:paraId="16AB4377" w14:textId="322069AC">
      <w:pPr>
        <w:pStyle w:val="FootnoteText"/>
      </w:pPr>
      <w:r w:rsidRPr="001C4574">
        <w:rPr>
          <w:rStyle w:val="FootnoteReference"/>
          <w:sz w:val="20"/>
        </w:rPr>
        <w:footnoteRef/>
      </w:r>
      <w:r w:rsidRPr="001C4574">
        <w:t xml:space="preserve"> </w:t>
      </w:r>
      <w:r w:rsidRPr="001C4574">
        <w:rPr>
          <w:i/>
        </w:rPr>
        <w:t>Id</w:t>
      </w:r>
      <w:r w:rsidRPr="001C4574">
        <w:t xml:space="preserve">.  </w:t>
      </w:r>
    </w:p>
  </w:footnote>
  <w:footnote w:id="20">
    <w:p w:rsidR="008B41DA" w:rsidRPr="001C4574" w:rsidP="008B41DA" w14:paraId="4347F18A" w14:textId="545D0CE0">
      <w:pPr>
        <w:pStyle w:val="FootnoteText"/>
      </w:pPr>
      <w:r w:rsidRPr="001C4574">
        <w:rPr>
          <w:rStyle w:val="FootnoteReference"/>
          <w:sz w:val="20"/>
        </w:rPr>
        <w:footnoteRef/>
      </w:r>
      <w:r w:rsidRPr="001C4574">
        <w:t xml:space="preserve"> </w:t>
      </w:r>
      <w:r w:rsidRPr="001C4574">
        <w:rPr>
          <w:i/>
        </w:rPr>
        <w:t xml:space="preserve">Auction </w:t>
      </w:r>
      <w:r w:rsidRPr="001C4574" w:rsidR="00406EF0">
        <w:rPr>
          <w:i/>
        </w:rPr>
        <w:t xml:space="preserve">100 </w:t>
      </w:r>
      <w:r w:rsidRPr="001C4574">
        <w:rPr>
          <w:i/>
        </w:rPr>
        <w:t>Procedures Public Notice</w:t>
      </w:r>
      <w:r w:rsidRPr="001C4574">
        <w:t xml:space="preserve">, DA </w:t>
      </w:r>
      <w:r w:rsidRPr="001C4574" w:rsidR="00BB2CFF">
        <w:t>19</w:t>
      </w:r>
      <w:r w:rsidRPr="001C4574">
        <w:t>-</w:t>
      </w:r>
      <w:r w:rsidRPr="001C4574" w:rsidR="00BB2CFF">
        <w:t>273</w:t>
      </w:r>
      <w:r w:rsidRPr="001C4574" w:rsidR="009C3001">
        <w:t>, at 27-28,</w:t>
      </w:r>
      <w:r w:rsidRPr="001C4574">
        <w:t xml:space="preserve"> paras. </w:t>
      </w:r>
      <w:r w:rsidRPr="001C4574" w:rsidR="00BB2CFF">
        <w:t>116</w:t>
      </w:r>
      <w:r w:rsidRPr="001C4574">
        <w:t>-</w:t>
      </w:r>
      <w:r w:rsidRPr="001C4574" w:rsidR="00BB2CFF">
        <w:t>1</w:t>
      </w:r>
      <w:r w:rsidRPr="001C4574" w:rsidR="00A277B8">
        <w:t>7</w:t>
      </w:r>
      <w:r w:rsidRPr="001C4574" w:rsidR="009C3001">
        <w:t xml:space="preserve">.  </w:t>
      </w:r>
      <w:r w:rsidRPr="001C4574" w:rsidR="009C3001">
        <w:rPr>
          <w:i/>
        </w:rPr>
        <w:t xml:space="preserve">See also </w:t>
      </w:r>
      <w:r w:rsidRPr="001C4574" w:rsidR="009C3001">
        <w:t>47 CFR § 1.2104(g)(2)(ii).</w:t>
      </w:r>
      <w:r w:rsidRPr="001C4574" w:rsidR="00BB2CFF">
        <w:t xml:space="preserve"> </w:t>
      </w:r>
    </w:p>
  </w:footnote>
  <w:footnote w:id="21">
    <w:p w:rsidR="008B41DA" w:rsidRPr="001C4574" w:rsidP="008B41DA" w14:paraId="3A0A15A6" w14:textId="15427F70">
      <w:pPr>
        <w:pStyle w:val="FootnoteText"/>
      </w:pPr>
      <w:r w:rsidRPr="001C4574">
        <w:rPr>
          <w:rStyle w:val="FootnoteReference"/>
          <w:sz w:val="20"/>
        </w:rPr>
        <w:footnoteRef/>
      </w:r>
      <w:r w:rsidRPr="001C4574">
        <w:t xml:space="preserve"> 47 CFR § 1.2109(c)</w:t>
      </w:r>
      <w:r w:rsidRPr="001C4574" w:rsidR="009C3001">
        <w:t xml:space="preserve">; </w:t>
      </w:r>
      <w:r w:rsidRPr="001C4574" w:rsidR="009C3001">
        <w:rPr>
          <w:i/>
        </w:rPr>
        <w:t xml:space="preserve">see also </w:t>
      </w:r>
      <w:r w:rsidRPr="001C4574" w:rsidR="009C3001">
        <w:t>47 CFR § 1.2104(g)(2).</w:t>
      </w:r>
    </w:p>
  </w:footnote>
  <w:footnote w:id="22">
    <w:p w:rsidR="008B41DA" w:rsidRPr="001C4574" w:rsidP="008B41DA" w14:paraId="2FED44F7" w14:textId="77777777">
      <w:pPr>
        <w:pStyle w:val="FootnoteText"/>
      </w:pPr>
      <w:r w:rsidRPr="001C4574">
        <w:rPr>
          <w:rStyle w:val="FootnoteReference"/>
          <w:sz w:val="20"/>
        </w:rPr>
        <w:footnoteRef/>
      </w:r>
      <w:r w:rsidRPr="001C4574">
        <w:rPr>
          <w:i/>
        </w:rPr>
        <w:t xml:space="preserve"> Id.</w:t>
      </w:r>
      <w:r w:rsidRPr="001C4574">
        <w:t xml:space="preserve"> §§ 1.2109(a), 73.5003.</w:t>
      </w:r>
    </w:p>
  </w:footnote>
  <w:footnote w:id="23">
    <w:p w:rsidR="008B41DA" w:rsidRPr="001C4574" w:rsidP="008B41DA" w14:paraId="3C7B9265" w14:textId="77777777">
      <w:pPr>
        <w:pStyle w:val="FootnoteText"/>
      </w:pPr>
      <w:r w:rsidRPr="001C4574">
        <w:rPr>
          <w:rStyle w:val="FootnoteReference"/>
          <w:sz w:val="20"/>
        </w:rPr>
        <w:footnoteRef/>
      </w:r>
      <w:r w:rsidRPr="001C4574">
        <w:t xml:space="preserve"> </w:t>
      </w:r>
      <w:r w:rsidRPr="001C4574">
        <w:rPr>
          <w:i/>
        </w:rPr>
        <w:t xml:space="preserve">Id. </w:t>
      </w:r>
      <w:r w:rsidRPr="001C4574">
        <w:t>§§ 1.2104(g)(2), 1.2109(a), 1.2109(c).</w:t>
      </w:r>
    </w:p>
  </w:footnote>
  <w:footnote w:id="24">
    <w:p w:rsidR="008B41DA" w:rsidRPr="001C4574" w:rsidP="008B41DA" w14:paraId="6BABFE49" w14:textId="77777777">
      <w:pPr>
        <w:pStyle w:val="FootnoteText"/>
      </w:pPr>
      <w:r w:rsidRPr="001C4574">
        <w:rPr>
          <w:rStyle w:val="FootnoteReference"/>
          <w:sz w:val="20"/>
        </w:rPr>
        <w:footnoteRef/>
      </w:r>
      <w:r w:rsidRPr="001C4574">
        <w:t xml:space="preserve"> </w:t>
      </w:r>
      <w:r w:rsidRPr="001C4574">
        <w:rPr>
          <w:i/>
        </w:rPr>
        <w:t xml:space="preserve">Id. </w:t>
      </w:r>
      <w:r w:rsidRPr="001C4574">
        <w:t>§§ 1.2109(a), 73.5003, 73.5006(d).</w:t>
      </w:r>
    </w:p>
  </w:footnote>
  <w:footnote w:id="25">
    <w:p w:rsidR="008B41DA" w:rsidRPr="001C4574" w:rsidP="008B41DA" w14:paraId="40472F4E" w14:textId="77777777">
      <w:pPr>
        <w:pStyle w:val="FootnoteText"/>
      </w:pPr>
      <w:r w:rsidRPr="001C4574">
        <w:rPr>
          <w:rStyle w:val="FootnoteReference"/>
          <w:sz w:val="20"/>
        </w:rPr>
        <w:footnoteRef/>
      </w:r>
      <w:r w:rsidRPr="001C4574">
        <w:t xml:space="preserve"> </w:t>
      </w:r>
      <w:r w:rsidRPr="001C4574">
        <w:rPr>
          <w:i/>
        </w:rPr>
        <w:t>Id.</w:t>
      </w:r>
      <w:r w:rsidRPr="001C4574">
        <w:t xml:space="preserve"> § 1.2109(d).</w:t>
      </w:r>
    </w:p>
  </w:footnote>
  <w:footnote w:id="26">
    <w:p w:rsidR="008B41DA" w:rsidRPr="001C4574" w:rsidP="008B41DA" w14:paraId="05EE95B0" w14:textId="1451078C">
      <w:pPr>
        <w:pStyle w:val="FootnoteText"/>
      </w:pPr>
      <w:r w:rsidRPr="001C4574">
        <w:rPr>
          <w:rStyle w:val="FootnoteReference"/>
          <w:sz w:val="20"/>
        </w:rPr>
        <w:footnoteRef/>
      </w:r>
      <w:r w:rsidRPr="001C4574">
        <w:t xml:space="preserve"> </w:t>
      </w:r>
      <w:r w:rsidRPr="001C4574" w:rsidR="00A277B8">
        <w:t xml:space="preserve">Section 73.5005(a) of the Commission’s rules, </w:t>
      </w:r>
      <w:r w:rsidRPr="001C4574">
        <w:t>47 CFR § 73.5005(a)</w:t>
      </w:r>
      <w:r w:rsidRPr="001C4574" w:rsidR="004441E8">
        <w:t>,</w:t>
      </w:r>
      <w:r w:rsidRPr="001C4574">
        <w:t xml:space="preserve"> </w:t>
      </w:r>
      <w:r w:rsidRPr="001C4574" w:rsidR="00A277B8">
        <w:t>provides that</w:t>
      </w:r>
      <w:r w:rsidRPr="001C4574">
        <w:t xml:space="preserve"> the filing deadline for the submission of post-auction long-form applications</w:t>
      </w:r>
      <w:r w:rsidRPr="001C4574" w:rsidR="00A277B8">
        <w:t xml:space="preserve"> may be specified by public notice at a date later tha</w:t>
      </w:r>
      <w:r w:rsidRPr="001C4574" w:rsidR="00B62705">
        <w:t>n</w:t>
      </w:r>
      <w:r w:rsidRPr="001C4574" w:rsidR="00A277B8">
        <w:t xml:space="preserve"> 30 days</w:t>
      </w:r>
      <w:r w:rsidRPr="001C4574">
        <w:t xml:space="preserve">.  </w:t>
      </w:r>
      <w:r w:rsidRPr="001C4574">
        <w:rPr>
          <w:i/>
        </w:rPr>
        <w:t>See Policies to Promote Rural Radio Service and to Streamline Allotment and Assignment Procedures</w:t>
      </w:r>
      <w:r w:rsidRPr="001C4574">
        <w:t xml:space="preserve">, First Report and Order and Further Notice of Proposed Rule Making, 25 FCC </w:t>
      </w:r>
      <w:r w:rsidRPr="001C4574">
        <w:t>Rcd</w:t>
      </w:r>
      <w:r w:rsidRPr="001C4574">
        <w:t xml:space="preserve"> 1583, 1607-08, paras. 47-48 (2010). </w:t>
      </w:r>
    </w:p>
  </w:footnote>
  <w:footnote w:id="27">
    <w:p w:rsidR="008B41DA" w:rsidRPr="001C4574" w:rsidP="008B41DA" w14:paraId="3A49D124" w14:textId="77777777">
      <w:pPr>
        <w:pStyle w:val="FootnoteText"/>
      </w:pPr>
      <w:r w:rsidRPr="001C4574">
        <w:rPr>
          <w:rStyle w:val="FootnoteReference"/>
          <w:sz w:val="20"/>
        </w:rPr>
        <w:footnoteRef/>
      </w:r>
      <w:r w:rsidRPr="001C4574">
        <w:t xml:space="preserve"> For information regarding electronic application filing, refer to </w:t>
      </w:r>
      <w:r w:rsidRPr="001C4574">
        <w:rPr>
          <w:i/>
        </w:rPr>
        <w:t>Media Bureau Implements Mandatory Electronic Filing of FCC Forms 301-CA, 346, 349 and 350</w:t>
      </w:r>
      <w:r w:rsidRPr="001C4574">
        <w:t xml:space="preserve">, Public Notice, 17 FCC </w:t>
      </w:r>
      <w:r w:rsidRPr="001C4574">
        <w:t>Rcd</w:t>
      </w:r>
      <w:r w:rsidRPr="001C4574">
        <w:t xml:space="preserve"> 8575 (MB 2002).</w:t>
      </w:r>
    </w:p>
  </w:footnote>
  <w:footnote w:id="28">
    <w:p w:rsidR="008B41DA" w:rsidRPr="001C4574" w:rsidP="008B41DA" w14:paraId="3CE92134" w14:textId="29222324">
      <w:pPr>
        <w:pStyle w:val="FootnoteText"/>
      </w:pPr>
      <w:r w:rsidRPr="001C4574">
        <w:rPr>
          <w:rStyle w:val="FootnoteReference"/>
          <w:sz w:val="20"/>
        </w:rPr>
        <w:footnoteRef/>
      </w:r>
      <w:r w:rsidRPr="001C4574">
        <w:t xml:space="preserve"> </w:t>
      </w:r>
      <w:r w:rsidRPr="001C4574">
        <w:rPr>
          <w:i/>
        </w:rPr>
        <w:t>Implementation of Section 309(j) of the Communications Act – Competitive Bidding for Commercial Broadcast and Instructional Television Fixed Service Licenses,</w:t>
      </w:r>
      <w:r w:rsidRPr="001C4574">
        <w:t xml:space="preserve"> First Report and Order, 13 FCC </w:t>
      </w:r>
      <w:r w:rsidRPr="001C4574">
        <w:t>Rcd</w:t>
      </w:r>
      <w:r w:rsidRPr="001C4574">
        <w:t xml:space="preserve"> 15920, 15984-85, para. 164 (1998) (</w:t>
      </w:r>
      <w:r w:rsidRPr="001C4574">
        <w:rPr>
          <w:i/>
        </w:rPr>
        <w:t>Broadcast First Report and Order</w:t>
      </w:r>
      <w:r w:rsidRPr="001C4574">
        <w:t xml:space="preserve">).  </w:t>
      </w:r>
      <w:r w:rsidRPr="001C4574">
        <w:rPr>
          <w:i/>
        </w:rPr>
        <w:t>See</w:t>
      </w:r>
      <w:r w:rsidRPr="001C4574" w:rsidR="00A277B8">
        <w:t xml:space="preserve"> </w:t>
      </w:r>
      <w:r w:rsidRPr="001C4574">
        <w:t>47 CFR §§ 1.1104, 1.2107(c).</w:t>
      </w:r>
      <w:r w:rsidRPr="001C4574" w:rsidR="00A277B8">
        <w:t xml:space="preserve">  </w:t>
      </w:r>
      <w:r w:rsidRPr="001C4574" w:rsidR="00A277B8">
        <w:rPr>
          <w:i/>
        </w:rPr>
        <w:t>See also</w:t>
      </w:r>
      <w:r w:rsidRPr="001C4574" w:rsidR="00A277B8">
        <w:t xml:space="preserve"> Application Fee Filing </w:t>
      </w:r>
      <w:r w:rsidRPr="001C4574" w:rsidR="00496FC4">
        <w:t>G</w:t>
      </w:r>
      <w:r w:rsidRPr="001C4574" w:rsidR="00A277B8">
        <w:t>uide for Media Bureau (Sept. 4, 2018).</w:t>
      </w:r>
    </w:p>
  </w:footnote>
  <w:footnote w:id="29">
    <w:p w:rsidR="008B41DA" w:rsidRPr="001C4574" w:rsidP="008B41DA" w14:paraId="56AB9A89" w14:textId="1DAADC25">
      <w:pPr>
        <w:pStyle w:val="FootnoteText"/>
      </w:pPr>
      <w:r w:rsidRPr="001C4574">
        <w:rPr>
          <w:rStyle w:val="FootnoteReference"/>
          <w:sz w:val="20"/>
        </w:rPr>
        <w:footnoteRef/>
      </w:r>
      <w:r w:rsidRPr="001C4574">
        <w:t xml:space="preserve"> </w:t>
      </w:r>
      <w:r w:rsidRPr="001C4574">
        <w:rPr>
          <w:i/>
        </w:rPr>
        <w:t>See</w:t>
      </w:r>
      <w:r w:rsidRPr="001C4574">
        <w:t xml:space="preserve"> 47 CFR §§ 1.2109(c), 73.3522(a)(3), 74.1233(d)(</w:t>
      </w:r>
      <w:r w:rsidRPr="001C4574" w:rsidR="00A277B8">
        <w:t>5</w:t>
      </w:r>
      <w:r w:rsidRPr="001C4574">
        <w:t xml:space="preserve">)(iii).  </w:t>
      </w:r>
    </w:p>
  </w:footnote>
  <w:footnote w:id="30">
    <w:p w:rsidR="008B41DA" w:rsidRPr="001C4574" w:rsidP="008B41DA" w14:paraId="10546106" w14:textId="5589B557">
      <w:pPr>
        <w:pStyle w:val="FootnoteText"/>
      </w:pPr>
      <w:r w:rsidRPr="001C4574">
        <w:rPr>
          <w:rStyle w:val="FootnoteReference"/>
          <w:sz w:val="20"/>
        </w:rPr>
        <w:footnoteRef/>
      </w:r>
      <w:r w:rsidRPr="001C4574">
        <w:rPr>
          <w:snapToGrid w:val="0"/>
        </w:rPr>
        <w:t xml:space="preserve"> To obtain the short form application file number, go to CDBS Public Access (</w:t>
      </w:r>
      <w:hyperlink r:id="rId1" w:history="1">
        <w:r w:rsidRPr="001C4574">
          <w:rPr>
            <w:rStyle w:val="Hyperlink"/>
            <w:snapToGrid w:val="0"/>
          </w:rPr>
          <w:t>http://licensing.fcc.gov/prod/cdbs/pubacc/prod/cdbs_pa.htm</w:t>
        </w:r>
      </w:hyperlink>
      <w:r w:rsidRPr="001C4574">
        <w:rPr>
          <w:snapToGrid w:val="0"/>
        </w:rPr>
        <w:t>) and select “Search for Application Information.”  In the Application Search page, in “File Number,” enter “BNPFT” in the first box and “201</w:t>
      </w:r>
      <w:r w:rsidRPr="001C4574" w:rsidR="00D65DB1">
        <w:rPr>
          <w:snapToGrid w:val="0"/>
        </w:rPr>
        <w:t>8</w:t>
      </w:r>
      <w:r w:rsidRPr="001C4574">
        <w:rPr>
          <w:snapToGrid w:val="0"/>
        </w:rPr>
        <w:t xml:space="preserve">0%” in the second box.  Enter the appropriate “Community of License City” and “State.”  Then, click on “Submit Application Search” at the bottom of the page.  This will provide all of the Auction </w:t>
      </w:r>
      <w:r w:rsidRPr="001C4574" w:rsidR="00406EF0">
        <w:rPr>
          <w:snapToGrid w:val="0"/>
        </w:rPr>
        <w:t xml:space="preserve">100 </w:t>
      </w:r>
      <w:r w:rsidRPr="001C4574">
        <w:rPr>
          <w:snapToGrid w:val="0"/>
        </w:rPr>
        <w:t>FM translator applications filed in 201</w:t>
      </w:r>
      <w:r w:rsidRPr="001C4574" w:rsidR="00725EE5">
        <w:rPr>
          <w:snapToGrid w:val="0"/>
        </w:rPr>
        <w:t>8</w:t>
      </w:r>
      <w:r w:rsidRPr="001C4574">
        <w:rPr>
          <w:snapToGrid w:val="0"/>
        </w:rPr>
        <w:t xml:space="preserve"> for that community of license.  In the few instances with multiple allotments in the same community, an applicant can click on the “Info” hyperlinks in the results page to determine which short-form application is applicable to which applicant</w:t>
      </w:r>
      <w:r w:rsidRPr="001C4574">
        <w:t>.</w:t>
      </w:r>
    </w:p>
  </w:footnote>
  <w:footnote w:id="31">
    <w:p w:rsidR="000C7642" w:rsidRPr="001C4574" w:rsidP="000C7642" w14:paraId="022B7871" w14:textId="77777777">
      <w:pPr>
        <w:pStyle w:val="FootnoteText"/>
      </w:pPr>
      <w:r w:rsidRPr="001C4574">
        <w:rPr>
          <w:rStyle w:val="FootnoteReference"/>
          <w:sz w:val="20"/>
        </w:rPr>
        <w:footnoteRef/>
      </w:r>
      <w:r w:rsidRPr="001C4574">
        <w:t xml:space="preserve"> </w:t>
      </w:r>
      <w:r w:rsidRPr="001C4574">
        <w:rPr>
          <w:i/>
        </w:rPr>
        <w:t>See</w:t>
      </w:r>
      <w:r w:rsidRPr="001C4574">
        <w:t xml:space="preserve"> 47 CFR §§ 1.2104(g), 1.2107(c), 73.5005(c).</w:t>
      </w:r>
    </w:p>
  </w:footnote>
  <w:footnote w:id="32">
    <w:p w:rsidR="009870E8" w:rsidRPr="001C4574" w:rsidP="009870E8" w14:paraId="1F0496A2" w14:textId="273F49FA">
      <w:pPr>
        <w:pStyle w:val="FootnoteText"/>
        <w:rPr>
          <w:b/>
        </w:rPr>
      </w:pPr>
      <w:r w:rsidRPr="001C4574">
        <w:rPr>
          <w:rStyle w:val="FootnoteReference"/>
          <w:sz w:val="20"/>
        </w:rPr>
        <w:footnoteRef/>
      </w:r>
      <w:r w:rsidRPr="001C4574">
        <w:t xml:space="preserve"> </w:t>
      </w:r>
      <w:r w:rsidRPr="001C4574">
        <w:rPr>
          <w:color w:val="000000"/>
        </w:rPr>
        <w:t xml:space="preserve">47 CFR § 73.5005(a).  </w:t>
      </w:r>
      <w:r w:rsidRPr="001C4574">
        <w:rPr>
          <w:i/>
          <w:color w:val="000000"/>
        </w:rPr>
        <w:t>See also</w:t>
      </w:r>
      <w:r w:rsidRPr="001C4574">
        <w:rPr>
          <w:color w:val="000000"/>
        </w:rPr>
        <w:t xml:space="preserve"> Instructions for Form 349, </w:t>
      </w:r>
      <w:r w:rsidRPr="001C4574">
        <w:rPr>
          <w:color w:val="000000"/>
          <w:shd w:val="clear" w:color="auto" w:fill="FFFFFF"/>
        </w:rPr>
        <w:t>Application for Authority to Construct or Make Changes in an FM Translator or FM Booster Station</w:t>
      </w:r>
      <w:r w:rsidRPr="001C4574">
        <w:rPr>
          <w:color w:val="000000"/>
        </w:rPr>
        <w:t>, Instructions for Section II</w:t>
      </w:r>
      <w:r w:rsidRPr="001C4574" w:rsidR="00BE47C5">
        <w:rPr>
          <w:color w:val="000000"/>
        </w:rPr>
        <w:t xml:space="preserve"> –</w:t>
      </w:r>
      <w:r w:rsidRPr="001C4574">
        <w:rPr>
          <w:color w:val="000000"/>
        </w:rPr>
        <w:t xml:space="preserve"> Legal Information, paragraph J. Item 11: Auction Authorization, for auction-related exhibit filing requirements.</w:t>
      </w:r>
      <w:r w:rsidRPr="001C4574">
        <w:t xml:space="preserve">  </w:t>
      </w:r>
    </w:p>
  </w:footnote>
  <w:footnote w:id="33">
    <w:p w:rsidR="008B41DA" w:rsidRPr="001C4574" w:rsidP="008B41DA" w14:paraId="726468C9" w14:textId="77777777">
      <w:pPr>
        <w:pStyle w:val="FootnoteText"/>
      </w:pPr>
      <w:r w:rsidRPr="001C4574">
        <w:rPr>
          <w:rStyle w:val="FootnoteReference"/>
          <w:sz w:val="20"/>
        </w:rPr>
        <w:footnoteRef/>
      </w:r>
      <w:r w:rsidRPr="001C4574">
        <w:t xml:space="preserve"> 47 CFR § 1.2107(d).</w:t>
      </w:r>
    </w:p>
  </w:footnote>
  <w:footnote w:id="34">
    <w:p w:rsidR="008B41DA" w:rsidRPr="001C4574" w:rsidP="008B41DA" w14:paraId="1114D1F2" w14:textId="77777777">
      <w:pPr>
        <w:pStyle w:val="FootnoteText"/>
      </w:pPr>
      <w:r w:rsidRPr="001C4574">
        <w:rPr>
          <w:rStyle w:val="FootnoteReference"/>
          <w:sz w:val="20"/>
        </w:rPr>
        <w:footnoteRef/>
      </w:r>
      <w:r w:rsidRPr="001C4574">
        <w:t xml:space="preserve"> </w:t>
      </w:r>
      <w:r w:rsidRPr="001C4574">
        <w:rPr>
          <w:i/>
        </w:rPr>
        <w:t>Id.</w:t>
      </w:r>
      <w:r w:rsidRPr="001C4574">
        <w:t xml:space="preserve"> § 1.2112(a).</w:t>
      </w:r>
    </w:p>
  </w:footnote>
  <w:footnote w:id="35">
    <w:p w:rsidR="008B41DA" w:rsidRPr="001C4574" w:rsidP="008B41DA" w14:paraId="66C6EC2E" w14:textId="77777777">
      <w:pPr>
        <w:pStyle w:val="FootnoteText"/>
      </w:pPr>
      <w:r w:rsidRPr="001C4574">
        <w:rPr>
          <w:rStyle w:val="FootnoteReference"/>
          <w:sz w:val="20"/>
        </w:rPr>
        <w:footnoteRef/>
      </w:r>
      <w:r w:rsidRPr="001C4574">
        <w:t xml:space="preserve"> </w:t>
      </w:r>
      <w:r w:rsidRPr="001C4574">
        <w:rPr>
          <w:i/>
        </w:rPr>
        <w:t>Id</w:t>
      </w:r>
      <w:r w:rsidRPr="001C4574">
        <w:t>. § 1.1910.</w:t>
      </w:r>
    </w:p>
  </w:footnote>
  <w:footnote w:id="36">
    <w:p w:rsidR="008B41DA" w:rsidRPr="001C4574" w:rsidP="008B41DA" w14:paraId="785F948C" w14:textId="77777777">
      <w:pPr>
        <w:pStyle w:val="FootnoteText"/>
      </w:pPr>
      <w:r w:rsidRPr="001C4574">
        <w:rPr>
          <w:rStyle w:val="FootnoteReference"/>
          <w:sz w:val="20"/>
        </w:rPr>
        <w:footnoteRef/>
      </w:r>
      <w:r w:rsidRPr="001C4574">
        <w:t xml:space="preserve"> </w:t>
      </w:r>
      <w:r w:rsidRPr="001C4574">
        <w:rPr>
          <w:i/>
        </w:rPr>
        <w:t>Id.</w:t>
      </w:r>
      <w:r w:rsidRPr="001C4574">
        <w:t xml:space="preserve">; </w:t>
      </w:r>
      <w:r w:rsidRPr="001C4574">
        <w:rPr>
          <w:i/>
        </w:rPr>
        <w:t>see also</w:t>
      </w:r>
      <w:r w:rsidRPr="001C4574">
        <w:t xml:space="preserve"> </w:t>
      </w:r>
      <w:r w:rsidRPr="001C4574">
        <w:rPr>
          <w:i/>
        </w:rPr>
        <w:t xml:space="preserve">id. </w:t>
      </w:r>
      <w:r w:rsidRPr="001C4574">
        <w:t xml:space="preserve">§ 1.2109(c) (post-auction defaults).  </w:t>
      </w:r>
    </w:p>
  </w:footnote>
  <w:footnote w:id="37">
    <w:p w:rsidR="008B41DA" w:rsidRPr="001C4574" w:rsidP="008B41DA" w14:paraId="05D2B806" w14:textId="77777777">
      <w:pPr>
        <w:pStyle w:val="FootnoteText"/>
      </w:pPr>
      <w:r w:rsidRPr="001C4574">
        <w:rPr>
          <w:rStyle w:val="FootnoteReference"/>
          <w:sz w:val="20"/>
        </w:rPr>
        <w:footnoteRef/>
      </w:r>
      <w:r w:rsidRPr="001C4574">
        <w:t xml:space="preserve"> </w:t>
      </w:r>
      <w:r w:rsidRPr="001C4574">
        <w:rPr>
          <w:i/>
        </w:rPr>
        <w:t>See</w:t>
      </w:r>
      <w:r w:rsidRPr="001C4574">
        <w:t xml:space="preserve"> </w:t>
      </w:r>
      <w:r w:rsidRPr="001C4574">
        <w:rPr>
          <w:i/>
        </w:rPr>
        <w:t xml:space="preserve">id. </w:t>
      </w:r>
      <w:r w:rsidRPr="001C4574">
        <w:t>§ 1.65.</w:t>
      </w:r>
    </w:p>
  </w:footnote>
  <w:footnote w:id="38">
    <w:p w:rsidR="008B41DA" w:rsidRPr="001C4574" w:rsidP="008B41DA" w14:paraId="7FEA66B6" w14:textId="3B54D6FF">
      <w:pPr>
        <w:pStyle w:val="FootnoteText"/>
      </w:pPr>
      <w:r w:rsidRPr="001C4574">
        <w:rPr>
          <w:rStyle w:val="FootnoteReference"/>
          <w:sz w:val="20"/>
        </w:rPr>
        <w:footnoteRef/>
      </w:r>
      <w:r w:rsidRPr="001C4574">
        <w:t xml:space="preserve"> </w:t>
      </w:r>
      <w:r w:rsidRPr="001C4574">
        <w:rPr>
          <w:i/>
        </w:rPr>
        <w:t xml:space="preserve">Id. </w:t>
      </w:r>
      <w:r w:rsidRPr="001C4574">
        <w:t xml:space="preserve">§ 73.5006(b). </w:t>
      </w:r>
    </w:p>
  </w:footnote>
  <w:footnote w:id="39">
    <w:p w:rsidR="008B41DA" w:rsidRPr="001C4574" w:rsidP="008B41DA" w14:paraId="5E735E95" w14:textId="77777777">
      <w:pPr>
        <w:pStyle w:val="FootnoteText"/>
      </w:pPr>
      <w:r w:rsidRPr="001C4574">
        <w:rPr>
          <w:rStyle w:val="FootnoteReference"/>
          <w:sz w:val="20"/>
        </w:rPr>
        <w:footnoteRef/>
      </w:r>
      <w:r w:rsidRPr="001C4574">
        <w:t xml:space="preserve"> </w:t>
      </w:r>
      <w:r w:rsidRPr="001C4574">
        <w:rPr>
          <w:i/>
        </w:rPr>
        <w:t xml:space="preserve">Id. </w:t>
      </w:r>
      <w:r w:rsidRPr="001C4574">
        <w:t>§ 73.5006.</w:t>
      </w:r>
    </w:p>
  </w:footnote>
  <w:footnote w:id="40">
    <w:p w:rsidR="008B41DA" w:rsidRPr="001C4574" w:rsidP="008B41DA" w14:paraId="0B006DBF" w14:textId="77777777">
      <w:pPr>
        <w:pStyle w:val="FootnoteText"/>
      </w:pPr>
      <w:r w:rsidRPr="001C4574">
        <w:rPr>
          <w:rStyle w:val="FootnoteReference"/>
          <w:sz w:val="20"/>
        </w:rPr>
        <w:footnoteRef/>
      </w:r>
      <w:r w:rsidRPr="001C4574">
        <w:t xml:space="preserve"> </w:t>
      </w:r>
      <w:r w:rsidRPr="001C4574">
        <w:rPr>
          <w:i/>
        </w:rPr>
        <w:t>Id.</w:t>
      </w:r>
      <w:r w:rsidRPr="001C4574">
        <w:t xml:space="preserve"> § 73.5006(c).</w:t>
      </w:r>
    </w:p>
  </w:footnote>
  <w:footnote w:id="41">
    <w:p w:rsidR="008B41DA" w:rsidRPr="001C4574" w:rsidP="008B41DA" w14:paraId="2A7EF647" w14:textId="77777777">
      <w:pPr>
        <w:pStyle w:val="FootnoteText"/>
      </w:pPr>
      <w:r w:rsidRPr="001C4574">
        <w:rPr>
          <w:rStyle w:val="FootnoteReference"/>
          <w:sz w:val="20"/>
        </w:rPr>
        <w:footnoteRef/>
      </w:r>
      <w:r w:rsidRPr="001C4574">
        <w:t xml:space="preserve"> </w:t>
      </w:r>
      <w:r w:rsidRPr="001C4574">
        <w:rPr>
          <w:i/>
        </w:rPr>
        <w:t>Id.</w:t>
      </w:r>
    </w:p>
  </w:footnote>
  <w:footnote w:id="42">
    <w:p w:rsidR="008B41DA" w:rsidRPr="001C4574" w:rsidP="008B41DA" w14:paraId="63BADCFB" w14:textId="77777777">
      <w:pPr>
        <w:pStyle w:val="FootnoteText"/>
      </w:pPr>
      <w:r w:rsidRPr="001C4574">
        <w:rPr>
          <w:rStyle w:val="FootnoteReference"/>
          <w:sz w:val="20"/>
        </w:rPr>
        <w:footnoteRef/>
      </w:r>
      <w:r w:rsidRPr="001C4574">
        <w:t xml:space="preserve"> </w:t>
      </w:r>
      <w:r w:rsidRPr="001C4574">
        <w:rPr>
          <w:i/>
        </w:rPr>
        <w:t>See</w:t>
      </w:r>
      <w:r w:rsidRPr="001C4574">
        <w:t xml:space="preserve"> </w:t>
      </w:r>
      <w:r w:rsidRPr="001C4574">
        <w:rPr>
          <w:i/>
        </w:rPr>
        <w:t>Commission Taking Tough Measures Against Frivolous Pleadings</w:t>
      </w:r>
      <w:r w:rsidRPr="001C4574">
        <w:t xml:space="preserve">, Public Notice, 11 FCC </w:t>
      </w:r>
      <w:r w:rsidRPr="001C4574">
        <w:t>Rcd</w:t>
      </w:r>
      <w:r w:rsidRPr="001C4574">
        <w:t xml:space="preserve"> 3030 (1996).</w:t>
      </w:r>
    </w:p>
  </w:footnote>
  <w:footnote w:id="43">
    <w:p w:rsidR="008B41DA" w:rsidRPr="001C4574" w:rsidP="008B41DA" w14:paraId="12BC6533" w14:textId="77777777">
      <w:pPr>
        <w:pStyle w:val="FootnoteText"/>
      </w:pPr>
      <w:r w:rsidRPr="001C4574">
        <w:rPr>
          <w:rStyle w:val="FootnoteReference"/>
          <w:sz w:val="20"/>
        </w:rPr>
        <w:footnoteRef/>
      </w:r>
      <w:r w:rsidRPr="001C4574">
        <w:t xml:space="preserve"> For example, in an auction where winning bidders have claimed eligibility for the new entrant bidding credit, Commission staff may determine that a winning bidder is not entitled to the level of bidding credit that it has claimed and may require an additional payment to cover the amount of any percentage discount for which it was not eligible.  </w:t>
      </w:r>
      <w:r w:rsidRPr="001C4574">
        <w:rPr>
          <w:i/>
        </w:rPr>
        <w:t>See</w:t>
      </w:r>
      <w:r w:rsidRPr="001C4574">
        <w:t xml:space="preserve"> 47 CFR § 73.5007(a).  </w:t>
      </w:r>
    </w:p>
  </w:footnote>
  <w:footnote w:id="44">
    <w:p w:rsidR="008B41DA" w:rsidRPr="001C4574" w:rsidP="008B41DA" w14:paraId="60830B19" w14:textId="7497399E">
      <w:pPr>
        <w:pStyle w:val="FootnoteText"/>
      </w:pPr>
      <w:r w:rsidRPr="001C4574">
        <w:rPr>
          <w:rStyle w:val="FootnoteReference"/>
          <w:sz w:val="20"/>
        </w:rPr>
        <w:footnoteRef/>
      </w:r>
      <w:r w:rsidRPr="001C4574">
        <w:t xml:space="preserve"> </w:t>
      </w:r>
      <w:r w:rsidRPr="001C4574">
        <w:rPr>
          <w:i/>
        </w:rPr>
        <w:t>See</w:t>
      </w:r>
      <w:r w:rsidRPr="001C4574">
        <w:t xml:space="preserve"> 47 CFR §§ 1.2108(d), 1.2109(a).  </w:t>
      </w:r>
      <w:r w:rsidRPr="001C4574">
        <w:rPr>
          <w:i/>
        </w:rPr>
        <w:t>See also</w:t>
      </w:r>
      <w:r w:rsidRPr="001C4574">
        <w:t xml:space="preserve"> 47 CFR § 73.5006(d).  Although we expect applicants to provide complete and accurate information in all filings with the Commission, under our liberal amendment policy we will permit winning bidders to </w:t>
      </w:r>
      <w:r w:rsidRPr="001C4574" w:rsidR="009870E8">
        <w:t xml:space="preserve">file </w:t>
      </w:r>
      <w:r w:rsidRPr="001C4574">
        <w:t>amend</w:t>
      </w:r>
      <w:r w:rsidRPr="001C4574" w:rsidR="009870E8">
        <w:t>ments to</w:t>
      </w:r>
      <w:r w:rsidRPr="001C4574">
        <w:t xml:space="preserve"> their long-form applications</w:t>
      </w:r>
      <w:r w:rsidRPr="001C4574" w:rsidR="009870E8">
        <w:t xml:space="preserve"> </w:t>
      </w:r>
      <w:r w:rsidRPr="001C4574">
        <w:t xml:space="preserve">including, as necessary, amendments to resolve site availability issues.  </w:t>
      </w:r>
      <w:r w:rsidRPr="001C4574">
        <w:rPr>
          <w:i/>
        </w:rPr>
        <w:t>See</w:t>
      </w:r>
      <w:r w:rsidRPr="001C4574">
        <w:t xml:space="preserve"> </w:t>
      </w:r>
      <w:r w:rsidRPr="001C4574">
        <w:rPr>
          <w:i/>
        </w:rPr>
        <w:t>Broadcast First Report and Order</w:t>
      </w:r>
      <w:r w:rsidRPr="001C4574">
        <w:t xml:space="preserve">, 13 FCC </w:t>
      </w:r>
      <w:r w:rsidRPr="001C4574">
        <w:t>Rcd</w:t>
      </w:r>
      <w:r w:rsidRPr="001C4574">
        <w:t xml:space="preserve"> at 15986-89, paras. 167-76; </w:t>
      </w:r>
      <w:r w:rsidRPr="001C4574" w:rsidR="00F379D1">
        <w:rPr>
          <w:i/>
        </w:rPr>
        <w:t>Entravision Holdings, LLC</w:t>
      </w:r>
      <w:r w:rsidRPr="001C4574">
        <w:t xml:space="preserve">., Letter Decision, 27 FCC </w:t>
      </w:r>
      <w:r w:rsidRPr="001C4574">
        <w:t>Rcd</w:t>
      </w:r>
      <w:r w:rsidRPr="001C4574">
        <w:t xml:space="preserve"> 15190, 15193 (MB 2012); </w:t>
      </w:r>
      <w:r w:rsidRPr="001C4574" w:rsidR="00F379D1">
        <w:rPr>
          <w:i/>
        </w:rPr>
        <w:t>Robert D. Yates, Jr</w:t>
      </w:r>
      <w:r w:rsidRPr="001C4574">
        <w:rPr>
          <w:i/>
        </w:rPr>
        <w:t>.</w:t>
      </w:r>
      <w:r w:rsidRPr="001C4574">
        <w:t xml:space="preserve">, Letter Decision, 28 FCC </w:t>
      </w:r>
      <w:r w:rsidRPr="001C4574">
        <w:t>Rcd</w:t>
      </w:r>
      <w:r w:rsidRPr="001C4574">
        <w:t xml:space="preserve"> 6269</w:t>
      </w:r>
      <w:r w:rsidRPr="001C4574" w:rsidR="00F379D1">
        <w:t>, 6271</w:t>
      </w:r>
      <w:r w:rsidRPr="001C4574">
        <w:t xml:space="preserve"> (MB 2013).</w:t>
      </w:r>
    </w:p>
  </w:footnote>
  <w:footnote w:id="45">
    <w:p w:rsidR="008B41DA" w:rsidRPr="001C4574" w:rsidP="008B41DA" w14:paraId="1E4DB96B" w14:textId="77777777">
      <w:pPr>
        <w:pStyle w:val="FootnoteText"/>
      </w:pPr>
      <w:r w:rsidRPr="001C4574">
        <w:rPr>
          <w:rStyle w:val="FootnoteReference"/>
          <w:sz w:val="20"/>
        </w:rPr>
        <w:footnoteRef/>
      </w:r>
      <w:r w:rsidRPr="001C4574">
        <w:t xml:space="preserve"> 47 CFR § 1.2105(c)(1).  </w:t>
      </w:r>
      <w:r w:rsidRPr="001C4574">
        <w:rPr>
          <w:i/>
        </w:rPr>
        <w:t xml:space="preserve">See also </w:t>
      </w:r>
      <w:r w:rsidRPr="001C4574">
        <w:rPr>
          <w:i/>
          <w:spacing w:val="-2"/>
        </w:rPr>
        <w:t>Updating Part 1 Competitive Bidding Rules</w:t>
      </w:r>
      <w:r w:rsidRPr="001C4574">
        <w:rPr>
          <w:spacing w:val="-2"/>
        </w:rPr>
        <w:t xml:space="preserve">, Report and Order, Order on Reconsideration </w:t>
      </w:r>
      <w:r w:rsidRPr="001C4574">
        <w:t>of the First Report and Order, Third Order on Reconsideration of the Second Report and Order, Third Report and Order,</w:t>
      </w:r>
      <w:r w:rsidRPr="001C4574">
        <w:rPr>
          <w:i/>
        </w:rPr>
        <w:t xml:space="preserve"> </w:t>
      </w:r>
      <w:r w:rsidRPr="001C4574">
        <w:t xml:space="preserve">30 FCC </w:t>
      </w:r>
      <w:r w:rsidRPr="001C4574">
        <w:t>Rcd</w:t>
      </w:r>
      <w:r w:rsidRPr="001C4574">
        <w:t xml:space="preserve"> 7493 (2015)(modified by Erratum, 30 FCC </w:t>
      </w:r>
      <w:r w:rsidRPr="001C4574">
        <w:t>Rcd</w:t>
      </w:r>
      <w:r w:rsidRPr="001C4574">
        <w:t xml:space="preserve"> 8518 (WTB 2015)).</w:t>
      </w:r>
    </w:p>
  </w:footnote>
  <w:footnote w:id="46">
    <w:p w:rsidR="008B41DA" w:rsidRPr="001C4574" w:rsidP="008B41DA" w14:paraId="26CEF099" w14:textId="2F30C24D">
      <w:pPr>
        <w:pStyle w:val="FootnoteText"/>
        <w:tabs>
          <w:tab w:val="left" w:pos="-720"/>
        </w:tabs>
        <w:suppressAutoHyphens/>
      </w:pPr>
      <w:r w:rsidRPr="001C4574">
        <w:rPr>
          <w:rStyle w:val="FootnoteReference"/>
          <w:color w:val="000000"/>
          <w:sz w:val="20"/>
        </w:rPr>
        <w:footnoteRef/>
      </w:r>
      <w:r w:rsidRPr="001C4574">
        <w:rPr>
          <w:color w:val="000000"/>
        </w:rPr>
        <w:t xml:space="preserve"> </w:t>
      </w:r>
      <w:r w:rsidRPr="001C4574">
        <w:rPr>
          <w:i/>
          <w:color w:val="000000"/>
        </w:rPr>
        <w:t>See</w:t>
      </w:r>
      <w:r w:rsidRPr="001C4574">
        <w:rPr>
          <w:color w:val="000000"/>
        </w:rPr>
        <w:t xml:space="preserve"> </w:t>
      </w:r>
      <w:r w:rsidRPr="001C4574">
        <w:rPr>
          <w:i/>
        </w:rPr>
        <w:t xml:space="preserve">Auction </w:t>
      </w:r>
      <w:r w:rsidRPr="001C4574" w:rsidR="00406EF0">
        <w:rPr>
          <w:i/>
        </w:rPr>
        <w:t xml:space="preserve">100 </w:t>
      </w:r>
      <w:r w:rsidRPr="001C4574">
        <w:rPr>
          <w:i/>
        </w:rPr>
        <w:t>Procedures Public Notice</w:t>
      </w:r>
      <w:r w:rsidRPr="001C4574">
        <w:t xml:space="preserve">, DA </w:t>
      </w:r>
      <w:r w:rsidRPr="001C4574" w:rsidR="002E7640">
        <w:t>19</w:t>
      </w:r>
      <w:r w:rsidRPr="001C4574">
        <w:t>-</w:t>
      </w:r>
      <w:r w:rsidRPr="001C4574" w:rsidR="002E7640">
        <w:t>273</w:t>
      </w:r>
      <w:r w:rsidRPr="001C4574">
        <w:t>, paras. 9-1</w:t>
      </w:r>
      <w:r w:rsidRPr="001C4574" w:rsidR="002E7640">
        <w:t>9</w:t>
      </w:r>
      <w:r w:rsidRPr="001C4574">
        <w:t xml:space="preserve">. </w:t>
      </w:r>
      <w:r w:rsidRPr="001C4574">
        <w:rPr>
          <w:color w:val="000000"/>
        </w:rPr>
        <w:t xml:space="preserve"> </w:t>
      </w:r>
    </w:p>
  </w:footnote>
  <w:footnote w:id="47">
    <w:p w:rsidR="008B41DA" w:rsidRPr="001C4574" w:rsidP="008B41DA" w14:paraId="6BF0F64B" w14:textId="70872785">
      <w:pPr>
        <w:pStyle w:val="FootnoteText"/>
      </w:pPr>
      <w:r w:rsidRPr="001C4574">
        <w:rPr>
          <w:rStyle w:val="FootnoteReference"/>
          <w:sz w:val="20"/>
        </w:rPr>
        <w:footnoteRef/>
      </w:r>
      <w:r w:rsidRPr="001C4574">
        <w:t xml:space="preserve"> </w:t>
      </w:r>
      <w:r w:rsidRPr="001C4574">
        <w:rPr>
          <w:i/>
          <w:color w:val="000000"/>
        </w:rPr>
        <w:t>See id.</w:t>
      </w:r>
      <w:r w:rsidRPr="001C4574">
        <w:t>, paras. 9-1</w:t>
      </w:r>
      <w:r w:rsidRPr="001C4574" w:rsidR="002E7640">
        <w:t>3</w:t>
      </w:r>
      <w:r w:rsidRPr="001C4574">
        <w:t>.</w:t>
      </w:r>
      <w:r w:rsidRPr="001C4574">
        <w:rPr>
          <w:color w:val="000000"/>
        </w:rPr>
        <w:t xml:space="preserve">  </w:t>
      </w:r>
    </w:p>
  </w:footnote>
  <w:footnote w:id="48">
    <w:p w:rsidR="008B41DA" w:rsidRPr="001C4574" w:rsidP="008B41DA" w14:paraId="16259DD9" w14:textId="77777777">
      <w:pPr>
        <w:pStyle w:val="FootnoteText"/>
      </w:pPr>
      <w:r w:rsidRPr="001C4574">
        <w:rPr>
          <w:rStyle w:val="FootnoteReference"/>
          <w:sz w:val="20"/>
        </w:rPr>
        <w:footnoteRef/>
      </w:r>
      <w:r w:rsidRPr="001C4574">
        <w:t xml:space="preserve"> </w:t>
      </w:r>
      <w:r w:rsidRPr="001C4574">
        <w:rPr>
          <w:i/>
        </w:rPr>
        <w:t>See</w:t>
      </w:r>
      <w:r w:rsidRPr="001C4574">
        <w:t xml:space="preserve"> 47 CFR § 1.2105(a)(2)(ix).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02AFC" w:rsidRPr="008B41DA" w:rsidP="008B41DA" w14:paraId="791178AF" w14:textId="27914ADA">
    <w:pPr>
      <w:pStyle w:val="Header"/>
      <w:rPr>
        <w:sz w:val="22"/>
        <w:szCs w:val="22"/>
      </w:rPr>
    </w:pPr>
    <w:r w:rsidRPr="008B41DA">
      <w:rPr>
        <w:sz w:val="22"/>
        <w:szCs w:val="22"/>
      </w:rPr>
      <w:tab/>
      <w:t>Federal Communications Commission</w:t>
    </w:r>
    <w:r w:rsidRPr="008B41DA">
      <w:rPr>
        <w:sz w:val="22"/>
        <w:szCs w:val="22"/>
      </w:rPr>
      <w:tab/>
    </w:r>
    <w:r w:rsidR="003712CF">
      <w:rPr>
        <w:sz w:val="22"/>
        <w:szCs w:val="22"/>
      </w:rPr>
      <w:t>DA 19-</w:t>
    </w:r>
    <w:r>
      <w:rPr>
        <w:sz w:val="22"/>
        <w:szCs w:val="22"/>
      </w:rPr>
      <w:t>613</w:t>
    </w:r>
  </w:p>
  <w:p w:rsidR="006F7393" w14:paraId="559E3411" w14:textId="77777777">
    <w:pPr>
      <w:tabs>
        <w:tab w:val="left" w:pos="-720"/>
      </w:tabs>
      <w:suppressAutoHyphens/>
      <w:spacing w:line="19" w:lineRule="exact"/>
      <w:rPr>
        <w:spacing w:val="-2"/>
      </w:rPr>
    </w:pPr>
    <w:r>
      <w:rPr>
        <w:noProof/>
        <w:snapToGrid/>
      </w:rPr>
      <w:pict>
        <v:rect id="_x0000_s2049" style="width:468pt;height:0.95pt;margin-top:0;margin-left:0;mso-position-horizontal-relative:margin;position:absolute;z-index:-251658240" o:allowincell="f" fillcolor="black" stroked="f" strokeweight="0.05pt">
          <v:fill color2="black"/>
          <w10:wrap anchorx="margin"/>
        </v:rect>
      </w:pict>
    </w:r>
  </w:p>
  <w:p w:rsidR="006F7393" w14:paraId="31405B06"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82B6B" w:rsidRPr="008B41DA" w:rsidP="008B41DA" w14:paraId="1574A8B6" w14:textId="77777777">
    <w:pPr>
      <w:pStyle w:val="Header"/>
      <w:rPr>
        <w:rFonts w:ascii="Arial" w:hAnsi="Arial" w:cs="Arial"/>
      </w:rPr>
    </w:pPr>
    <w:r>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1.75pt;height:41.75pt;margin-top:8.5pt;margin-left:2.4pt;position:absolute;z-index:251662336" o:allowincell="f">
          <v:imagedata r:id="rId1" o:title="fcc_logo"/>
          <w10:wrap type="topAndBottom"/>
        </v:shape>
      </w:pict>
    </w:r>
    <w:r w:rsidRPr="008B41DA">
      <w:rPr>
        <w:rFonts w:ascii="Arial" w:hAnsi="Arial" w:cs="Arial"/>
      </w:rPr>
      <w:t>PUBLIC NOTICE</w:t>
    </w:r>
  </w:p>
  <w:p w:rsidR="00C82B6B" w:rsidP="008B41DA" w14:paraId="377906EA" w14:textId="77777777">
    <w:pPr>
      <w:pStyle w:val="Header"/>
      <w:rPr>
        <w:sz w:val="28"/>
      </w:rPr>
    </w:pPr>
    <w:r>
      <w:rPr>
        <w:noProof/>
      </w:rPr>
      <w:pict>
        <v:shapetype id="_x0000_t202" coordsize="21600,21600" o:spt="202" path="m,l,21600r21600,l21600,xe">
          <v:stroke joinstyle="miter"/>
          <v:path gradientshapeok="t" o:connecttype="rect"/>
        </v:shapetype>
        <v:shape id="_x0000_s2051" type="#_x0000_t202" style="width:244.8pt;height:50.4pt;margin-top:2.4pt;margin-left:-2.7pt;position:absolute;z-index:251659264" o:allowincell="f" stroked="f">
          <v:textbox>
            <w:txbxContent>
              <w:p w:rsidR="00C82B6B" w:rsidP="00C82B6B" w14:paraId="7FBC9D89" w14:textId="77777777">
                <w:pPr>
                  <w:rPr>
                    <w:rFonts w:ascii="Arial" w:hAnsi="Arial"/>
                    <w:b/>
                  </w:rPr>
                </w:pPr>
                <w:r>
                  <w:rPr>
                    <w:rFonts w:ascii="Arial" w:hAnsi="Arial"/>
                    <w:b/>
                  </w:rPr>
                  <w:t>Federal Communications Commission</w:t>
                </w:r>
              </w:p>
              <w:p w:rsidR="00C82B6B" w:rsidP="00C82B6B" w14:paraId="01F48D3B"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w:t>
                </w:r>
                <w:r w:rsidR="008B41DA">
                  <w:rPr>
                    <w:rFonts w:ascii="Arial" w:hAnsi="Arial"/>
                    <w:b/>
                  </w:rPr>
                  <w:t>reet</w:t>
                </w:r>
                <w:r>
                  <w:rPr>
                    <w:rFonts w:ascii="Arial" w:hAnsi="Arial"/>
                    <w:b/>
                  </w:rPr>
                  <w:t>, SW</w:t>
                </w:r>
              </w:p>
              <w:p w:rsidR="00C82B6B" w:rsidP="00C82B6B" w14:paraId="1DDAB8AC" w14:textId="77777777">
                <w:pPr>
                  <w:rPr>
                    <w:rFonts w:ascii="Arial" w:hAnsi="Arial"/>
                    <w:sz w:val="24"/>
                  </w:rPr>
                </w:pPr>
                <w:r>
                  <w:rPr>
                    <w:rFonts w:ascii="Arial" w:hAnsi="Arial"/>
                    <w:b/>
                  </w:rPr>
                  <w:t>Washington, DC 20554</w:t>
                </w:r>
              </w:p>
            </w:txbxContent>
          </v:textbox>
        </v:shape>
      </w:pict>
    </w:r>
    <w:r>
      <w:rPr>
        <w:noProof/>
        <w:sz w:val="24"/>
      </w:rPr>
      <w:pict>
        <v:shape id="_x0000_s2052" type="#_x0000_t202" style="width:207.95pt;height:43.2pt;margin-top:10.25pt;margin-left:264.8pt;position:absolute;z-index:251661312" o:allowincell="f" stroked="f">
          <v:textbox inset=",0,,0">
            <w:txbxContent>
              <w:p w:rsidR="00C82B6B" w:rsidP="00C82B6B" w14:paraId="63D06F38" w14:textId="77777777">
                <w:pPr>
                  <w:spacing w:before="40"/>
                  <w:jc w:val="right"/>
                  <w:rPr>
                    <w:rFonts w:ascii="Arial" w:hAnsi="Arial"/>
                    <w:b/>
                    <w:sz w:val="16"/>
                  </w:rPr>
                </w:pPr>
                <w:r>
                  <w:rPr>
                    <w:rFonts w:ascii="Arial" w:hAnsi="Arial"/>
                    <w:b/>
                    <w:sz w:val="16"/>
                  </w:rPr>
                  <w:t>News Media Information</w:t>
                </w:r>
                <w:r w:rsidR="008B41DA">
                  <w:rPr>
                    <w:rFonts w:ascii="Arial" w:hAnsi="Arial"/>
                    <w:b/>
                    <w:sz w:val="16"/>
                  </w:rPr>
                  <w:t>:</w:t>
                </w:r>
                <w:r>
                  <w:rPr>
                    <w:rFonts w:ascii="Arial" w:hAnsi="Arial"/>
                    <w:b/>
                    <w:sz w:val="16"/>
                  </w:rPr>
                  <w:t xml:space="preserve"> 202</w:t>
                </w:r>
                <w:r w:rsidR="008B41DA">
                  <w:rPr>
                    <w:rFonts w:ascii="Arial" w:hAnsi="Arial"/>
                    <w:b/>
                    <w:sz w:val="16"/>
                  </w:rPr>
                  <w:t>-</w:t>
                </w:r>
                <w:r>
                  <w:rPr>
                    <w:rFonts w:ascii="Arial" w:hAnsi="Arial"/>
                    <w:b/>
                    <w:sz w:val="16"/>
                  </w:rPr>
                  <w:t>418-0500</w:t>
                </w:r>
              </w:p>
              <w:p w:rsidR="00C82B6B" w:rsidP="00C82B6B" w14:paraId="4E47912F" w14:textId="77777777">
                <w:pPr>
                  <w:jc w:val="right"/>
                  <w:rPr>
                    <w:rFonts w:ascii="Arial" w:hAnsi="Arial"/>
                    <w:b/>
                    <w:sz w:val="16"/>
                  </w:rPr>
                </w:pPr>
                <w:r>
                  <w:rPr>
                    <w:rFonts w:ascii="Arial" w:hAnsi="Arial"/>
                    <w:b/>
                    <w:sz w:val="16"/>
                  </w:rPr>
                  <w:t>Internet: www.fcc.gov</w:t>
                </w:r>
              </w:p>
              <w:p w:rsidR="00C82B6B" w:rsidP="00C82B6B" w14:paraId="2A9989BF" w14:textId="77777777">
                <w:pPr>
                  <w:jc w:val="right"/>
                  <w:rPr>
                    <w:rFonts w:ascii="Arial" w:hAnsi="Arial"/>
                    <w:b/>
                    <w:sz w:val="16"/>
                  </w:rPr>
                </w:pPr>
                <w:r>
                  <w:rPr>
                    <w:rFonts w:ascii="Arial" w:hAnsi="Arial"/>
                    <w:b/>
                    <w:sz w:val="16"/>
                  </w:rPr>
                  <w:t>TTY: 888-835-5322</w:t>
                </w:r>
              </w:p>
              <w:p w:rsidR="00C82B6B" w:rsidP="00C82B6B" w14:paraId="5F463DC6" w14:textId="77777777">
                <w:pPr>
                  <w:jc w:val="right"/>
                </w:pPr>
              </w:p>
            </w:txbxContent>
          </v:textbox>
        </v:shape>
      </w:pict>
    </w:r>
  </w:p>
  <w:p w:rsidR="006F7393" w:rsidRPr="00C82B6B" w:rsidP="008B41DA" w14:paraId="390B0CB6" w14:textId="77777777">
    <w:pPr>
      <w:pStyle w:val="Header"/>
    </w:pPr>
    <w:r>
      <w:rPr>
        <w:noProof/>
      </w:rPr>
      <w:pict>
        <v:line id="_x0000_s2053" style="position:absolute;z-index:251660288" from="2.4pt,38.85pt" to="468pt,38.85pt" o:allowincell="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C5D0B96"/>
    <w:multiLevelType w:val="hybridMultilevel"/>
    <w:tmpl w:val="30208DA0"/>
    <w:lvl w:ilvl="0">
      <w:start w:val="1"/>
      <w:numFmt w:val="bullet"/>
      <w:lvlText w:val=""/>
      <w:lvlJc w:val="left"/>
      <w:pPr>
        <w:ind w:left="780" w:hanging="360"/>
      </w:pPr>
      <w:rPr>
        <w:rFonts w:ascii="Symbol" w:hAnsi="Symbol"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ocumentProtection w:edit="readOnly"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44E"/>
    <w:rsid w:val="00013CF2"/>
    <w:rsid w:val="00021DA0"/>
    <w:rsid w:val="00031F12"/>
    <w:rsid w:val="00036039"/>
    <w:rsid w:val="00037F90"/>
    <w:rsid w:val="00051E4F"/>
    <w:rsid w:val="00062670"/>
    <w:rsid w:val="00066311"/>
    <w:rsid w:val="00067D3E"/>
    <w:rsid w:val="000875BF"/>
    <w:rsid w:val="00087609"/>
    <w:rsid w:val="00096D8C"/>
    <w:rsid w:val="000A60B2"/>
    <w:rsid w:val="000C0B65"/>
    <w:rsid w:val="000C1F18"/>
    <w:rsid w:val="000C4DB5"/>
    <w:rsid w:val="000C7642"/>
    <w:rsid w:val="000D0E2A"/>
    <w:rsid w:val="000D2972"/>
    <w:rsid w:val="000E07DD"/>
    <w:rsid w:val="000E3D42"/>
    <w:rsid w:val="000E5884"/>
    <w:rsid w:val="00104EC3"/>
    <w:rsid w:val="00122BD5"/>
    <w:rsid w:val="00125DEB"/>
    <w:rsid w:val="00134D0C"/>
    <w:rsid w:val="001854F0"/>
    <w:rsid w:val="001900F2"/>
    <w:rsid w:val="00195766"/>
    <w:rsid w:val="00195F4D"/>
    <w:rsid w:val="001C036A"/>
    <w:rsid w:val="001C4574"/>
    <w:rsid w:val="001D6BCF"/>
    <w:rsid w:val="001E01CA"/>
    <w:rsid w:val="001F4A44"/>
    <w:rsid w:val="001F5B31"/>
    <w:rsid w:val="00202FBB"/>
    <w:rsid w:val="00205E83"/>
    <w:rsid w:val="00226613"/>
    <w:rsid w:val="00226822"/>
    <w:rsid w:val="00236B89"/>
    <w:rsid w:val="00240714"/>
    <w:rsid w:val="002438B3"/>
    <w:rsid w:val="002678A8"/>
    <w:rsid w:val="00285017"/>
    <w:rsid w:val="002A2D2E"/>
    <w:rsid w:val="002C290B"/>
    <w:rsid w:val="002C2B5F"/>
    <w:rsid w:val="002C2CF2"/>
    <w:rsid w:val="002C7649"/>
    <w:rsid w:val="002E7640"/>
    <w:rsid w:val="002F02D5"/>
    <w:rsid w:val="00310626"/>
    <w:rsid w:val="0031504D"/>
    <w:rsid w:val="0032265D"/>
    <w:rsid w:val="00327BE5"/>
    <w:rsid w:val="003314CD"/>
    <w:rsid w:val="003344EA"/>
    <w:rsid w:val="00343749"/>
    <w:rsid w:val="00361BEC"/>
    <w:rsid w:val="003712CF"/>
    <w:rsid w:val="0037544E"/>
    <w:rsid w:val="00377607"/>
    <w:rsid w:val="003B0550"/>
    <w:rsid w:val="003B67B0"/>
    <w:rsid w:val="003B694F"/>
    <w:rsid w:val="003E763C"/>
    <w:rsid w:val="003F171C"/>
    <w:rsid w:val="00403653"/>
    <w:rsid w:val="00406EF0"/>
    <w:rsid w:val="00407789"/>
    <w:rsid w:val="0041223B"/>
    <w:rsid w:val="00412FC5"/>
    <w:rsid w:val="00414FD8"/>
    <w:rsid w:val="0041652C"/>
    <w:rsid w:val="004200F4"/>
    <w:rsid w:val="00422276"/>
    <w:rsid w:val="004242F1"/>
    <w:rsid w:val="004345A7"/>
    <w:rsid w:val="00437DF4"/>
    <w:rsid w:val="004415E6"/>
    <w:rsid w:val="004441E8"/>
    <w:rsid w:val="00445A00"/>
    <w:rsid w:val="00451B0F"/>
    <w:rsid w:val="00465638"/>
    <w:rsid w:val="0048101F"/>
    <w:rsid w:val="00490A67"/>
    <w:rsid w:val="00493D27"/>
    <w:rsid w:val="00496106"/>
    <w:rsid w:val="00496FC4"/>
    <w:rsid w:val="0049709B"/>
    <w:rsid w:val="004C12D0"/>
    <w:rsid w:val="004C242C"/>
    <w:rsid w:val="004C2EE3"/>
    <w:rsid w:val="004D37A0"/>
    <w:rsid w:val="004E4A22"/>
    <w:rsid w:val="00511968"/>
    <w:rsid w:val="00530008"/>
    <w:rsid w:val="00545F16"/>
    <w:rsid w:val="0055052B"/>
    <w:rsid w:val="00552DCB"/>
    <w:rsid w:val="0055578A"/>
    <w:rsid w:val="00555843"/>
    <w:rsid w:val="0055614C"/>
    <w:rsid w:val="00587053"/>
    <w:rsid w:val="005B06FD"/>
    <w:rsid w:val="005F7DCE"/>
    <w:rsid w:val="00601160"/>
    <w:rsid w:val="00606B5B"/>
    <w:rsid w:val="00607BA5"/>
    <w:rsid w:val="00626EB6"/>
    <w:rsid w:val="00655D03"/>
    <w:rsid w:val="00683F84"/>
    <w:rsid w:val="006A6A81"/>
    <w:rsid w:val="006C292E"/>
    <w:rsid w:val="006E26AF"/>
    <w:rsid w:val="006E4A0A"/>
    <w:rsid w:val="006F7393"/>
    <w:rsid w:val="0070224F"/>
    <w:rsid w:val="00705BE1"/>
    <w:rsid w:val="007115F7"/>
    <w:rsid w:val="0071192B"/>
    <w:rsid w:val="00714CBB"/>
    <w:rsid w:val="00717CE1"/>
    <w:rsid w:val="00725EE5"/>
    <w:rsid w:val="00753C00"/>
    <w:rsid w:val="0075740E"/>
    <w:rsid w:val="00765F58"/>
    <w:rsid w:val="0077052F"/>
    <w:rsid w:val="00780BB8"/>
    <w:rsid w:val="00785689"/>
    <w:rsid w:val="00787E4C"/>
    <w:rsid w:val="0079754B"/>
    <w:rsid w:val="007A1E6D"/>
    <w:rsid w:val="007B379E"/>
    <w:rsid w:val="007B4C53"/>
    <w:rsid w:val="007D5657"/>
    <w:rsid w:val="007F7458"/>
    <w:rsid w:val="0081691F"/>
    <w:rsid w:val="00822CE0"/>
    <w:rsid w:val="00827375"/>
    <w:rsid w:val="00834FB6"/>
    <w:rsid w:val="00837C62"/>
    <w:rsid w:val="00841AB1"/>
    <w:rsid w:val="008471C8"/>
    <w:rsid w:val="00854B58"/>
    <w:rsid w:val="008576DF"/>
    <w:rsid w:val="008B41DA"/>
    <w:rsid w:val="008C1E06"/>
    <w:rsid w:val="008E0A97"/>
    <w:rsid w:val="00926503"/>
    <w:rsid w:val="009515E0"/>
    <w:rsid w:val="00984D99"/>
    <w:rsid w:val="009870E8"/>
    <w:rsid w:val="0099301E"/>
    <w:rsid w:val="009A5A36"/>
    <w:rsid w:val="009C3001"/>
    <w:rsid w:val="009D1E55"/>
    <w:rsid w:val="009E1928"/>
    <w:rsid w:val="009E7BBA"/>
    <w:rsid w:val="009F57AB"/>
    <w:rsid w:val="00A002A6"/>
    <w:rsid w:val="00A277B8"/>
    <w:rsid w:val="00A45F4F"/>
    <w:rsid w:val="00A51C30"/>
    <w:rsid w:val="00A600A9"/>
    <w:rsid w:val="00A720CD"/>
    <w:rsid w:val="00A80F98"/>
    <w:rsid w:val="00A8692E"/>
    <w:rsid w:val="00A96909"/>
    <w:rsid w:val="00AA55B7"/>
    <w:rsid w:val="00AA5B9E"/>
    <w:rsid w:val="00AB2407"/>
    <w:rsid w:val="00AB3F73"/>
    <w:rsid w:val="00AB53DF"/>
    <w:rsid w:val="00B03E6F"/>
    <w:rsid w:val="00B07E5C"/>
    <w:rsid w:val="00B1519F"/>
    <w:rsid w:val="00B15E43"/>
    <w:rsid w:val="00B52FBB"/>
    <w:rsid w:val="00B54B2D"/>
    <w:rsid w:val="00B62705"/>
    <w:rsid w:val="00B627BE"/>
    <w:rsid w:val="00B811F7"/>
    <w:rsid w:val="00BA5DC6"/>
    <w:rsid w:val="00BA6196"/>
    <w:rsid w:val="00BB2CFF"/>
    <w:rsid w:val="00BC6D8C"/>
    <w:rsid w:val="00BD497D"/>
    <w:rsid w:val="00BE47C5"/>
    <w:rsid w:val="00BF6C25"/>
    <w:rsid w:val="00C02AFC"/>
    <w:rsid w:val="00C07412"/>
    <w:rsid w:val="00C34006"/>
    <w:rsid w:val="00C407DF"/>
    <w:rsid w:val="00C426B1"/>
    <w:rsid w:val="00C533B5"/>
    <w:rsid w:val="00C82B6B"/>
    <w:rsid w:val="00C90D6A"/>
    <w:rsid w:val="00C93BAB"/>
    <w:rsid w:val="00CB7FEA"/>
    <w:rsid w:val="00CC72B6"/>
    <w:rsid w:val="00CD6F14"/>
    <w:rsid w:val="00CE72F1"/>
    <w:rsid w:val="00D0218D"/>
    <w:rsid w:val="00D120B4"/>
    <w:rsid w:val="00D12A19"/>
    <w:rsid w:val="00D35E5D"/>
    <w:rsid w:val="00D44FFB"/>
    <w:rsid w:val="00D47762"/>
    <w:rsid w:val="00D60EDB"/>
    <w:rsid w:val="00D65DB1"/>
    <w:rsid w:val="00D74CB2"/>
    <w:rsid w:val="00D76B3F"/>
    <w:rsid w:val="00D92911"/>
    <w:rsid w:val="00D94B7E"/>
    <w:rsid w:val="00D96CA8"/>
    <w:rsid w:val="00DA2529"/>
    <w:rsid w:val="00DA6FFB"/>
    <w:rsid w:val="00DB130A"/>
    <w:rsid w:val="00DB33C5"/>
    <w:rsid w:val="00DC10A1"/>
    <w:rsid w:val="00DC1F01"/>
    <w:rsid w:val="00DC655F"/>
    <w:rsid w:val="00DD7EBD"/>
    <w:rsid w:val="00DF16F5"/>
    <w:rsid w:val="00DF62B6"/>
    <w:rsid w:val="00E07225"/>
    <w:rsid w:val="00E1457A"/>
    <w:rsid w:val="00E23E35"/>
    <w:rsid w:val="00E5409F"/>
    <w:rsid w:val="00E57D45"/>
    <w:rsid w:val="00E66A9A"/>
    <w:rsid w:val="00E6733C"/>
    <w:rsid w:val="00E93129"/>
    <w:rsid w:val="00E93512"/>
    <w:rsid w:val="00E93717"/>
    <w:rsid w:val="00E958CD"/>
    <w:rsid w:val="00EA5A76"/>
    <w:rsid w:val="00F021FA"/>
    <w:rsid w:val="00F14BE4"/>
    <w:rsid w:val="00F17DC0"/>
    <w:rsid w:val="00F379D1"/>
    <w:rsid w:val="00F402B5"/>
    <w:rsid w:val="00F413DC"/>
    <w:rsid w:val="00F57ACA"/>
    <w:rsid w:val="00F62E97"/>
    <w:rsid w:val="00F64209"/>
    <w:rsid w:val="00F93BF5"/>
    <w:rsid w:val="00FA2CE8"/>
    <w:rsid w:val="00FA3DF4"/>
    <w:rsid w:val="00FA7563"/>
    <w:rsid w:val="00FC0F7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D067D1F-497C-4AE2-BE2F-E35B07421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aliases w:val="Heading 1 Char Char Char,Heading 1 Char Char Char Char Char Char,Heading 1 Char Char1,Heading 1 Char Char1 Char,Heading 1 Char1 Char,Heading 1 Char1 Char Char Char2 Char,Heading 1 Char1 Char1,Heading 1 Char2,Heading 1 Char2 Char Char1 Char"/>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 Char1,Heading 2 Char Char1 Char Char,Heading 2 Char Char2,Heading 2 Char Char3 Char,Heading 2 Char1 Char,Heading 2 Char1 Char Char,Heading 2 Char1 Char Char Char,Heading 2 Char2,UNDERRUBRIK 1-2 Char,h2 Char"/>
    <w:basedOn w:val="Normal"/>
    <w:next w:val="ParaNum"/>
    <w:autoRedefine/>
    <w:qFormat/>
    <w:rsid w:val="007A1E6D"/>
    <w:pPr>
      <w:keepNext/>
      <w:numPr>
        <w:ilvl w:val="1"/>
        <w:numId w:val="3"/>
      </w:numPr>
      <w:spacing w:after="120"/>
      <w:outlineLvl w:val="1"/>
    </w:pPr>
    <w:rPr>
      <w:b/>
    </w:rPr>
  </w:style>
  <w:style w:type="paragraph" w:styleId="Heading3">
    <w:name w:val="heading 3"/>
    <w:aliases w:val="1,1 Char,3,3 Char,31,31 Char,?? 3,?? 3 Char,Heading 3 Char,Heading 3 Char Char Char Char,Heading 3 Char Char Char Char Char,Heading 3 Char1,Heading 3 Char1 Char Char,Heading 3 Char2 Char1 Char Char,Titre 3,Titre 3 Char,Titre 31,Titre 31 Char"/>
    <w:basedOn w:val="Normal"/>
    <w:next w:val="ParaNum"/>
    <w:qFormat/>
    <w:rsid w:val="00BA6196"/>
    <w:pPr>
      <w:keepNext/>
      <w:numPr>
        <w:ilvl w:val="2"/>
        <w:numId w:val="3"/>
      </w:numPr>
      <w:tabs>
        <w:tab w:val="left" w:pos="2160"/>
      </w:tabs>
      <w:spacing w:after="120"/>
      <w:outlineLvl w:val="2"/>
    </w:pPr>
    <w:rPr>
      <w:b/>
    </w:rPr>
  </w:style>
  <w:style w:type="paragraph" w:styleId="Heading4">
    <w:name w:val="heading 4"/>
    <w:aliases w:val="Heading 4 Char,Heading 4 Char Char Char Char Char Char1,Heading 4 Char Char Char1 Char Char1,Heading 4 Char Char1 Char Char1,Heading 4 Char1 Char,Heading 4 Char1 Char Char Char Char1,Heading 4 Char1 Char1 Char Char1,Heading 4 Char2 Char Char1"/>
    <w:basedOn w:val="Normal"/>
    <w:next w:val="ParaNum"/>
    <w:qFormat/>
    <w:rsid w:val="00C426B1"/>
    <w:pPr>
      <w:keepNext/>
      <w:numPr>
        <w:ilvl w:val="3"/>
        <w:numId w:val="3"/>
      </w:numPr>
      <w:tabs>
        <w:tab w:val="left" w:pos="2880"/>
      </w:tabs>
      <w:spacing w:after="120"/>
      <w:outlineLvl w:val="3"/>
    </w:pPr>
    <w:rPr>
      <w:b/>
    </w:rPr>
  </w:style>
  <w:style w:type="paragraph" w:styleId="Heading5">
    <w:name w:val="heading 5"/>
    <w:aliases w:val="Heading 5 Char Char Char Char Char,Heading 5 Char Char Char Char1,Heading 5 Char Char Char1,Heading 5 Char Char1 Char,Heading 5 Char Char2,Heading 5 Char1 Char Char Char,Heading 5 Char1 Char Char1,Heading 5 Char1 Char1,Heading 5 Char2"/>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aliases w:val="Heading 6 Char,Heading 6 Char Char,Heading 6 Char Char Char,Heading 6 Char Char1,Heading 6 Char1,Heading 6 Char1 Char,Heading 6 Char2,h6"/>
    <w:basedOn w:val="Normal"/>
    <w:next w:val="ParaNum"/>
    <w:qFormat/>
    <w:rsid w:val="00036039"/>
    <w:pPr>
      <w:numPr>
        <w:ilvl w:val="5"/>
        <w:numId w:val="3"/>
      </w:numPr>
      <w:tabs>
        <w:tab w:val="left" w:pos="4320"/>
      </w:tabs>
      <w:spacing w:after="120"/>
      <w:outlineLvl w:val="5"/>
    </w:pPr>
    <w:rPr>
      <w:b/>
    </w:rPr>
  </w:style>
  <w:style w:type="paragraph" w:styleId="Heading7">
    <w:name w:val="heading 7"/>
    <w:aliases w:val="Heading 7 Char"/>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9,Heading 9 Char,Heading 9.table,Titre 9,Topic,t,table"/>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 Char,Footnote Text Char Char,Footnote Text Char Char Char Char,Footnote Text Char1,Footnote Text Char1 Char Char,Footnote Text Char1 Char Char Char1 Char,Footnote Text Char1 Char1 Char Char,fn,fn Char Char"/>
    <w:link w:val="FootnoteTextChar"/>
    <w:qFormat/>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Style 7,fr,o"/>
    <w:rPr>
      <w:rFonts w:ascii="Times New Roman" w:hAnsi="Times New Roman"/>
      <w:dstrike w:val="0"/>
      <w:color w:val="auto"/>
      <w:sz w:val="22"/>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B41DA"/>
    <w:pPr>
      <w:tabs>
        <w:tab w:val="center" w:pos="4680"/>
        <w:tab w:val="right" w:pos="9360"/>
      </w:tabs>
      <w:ind w:firstLine="1080"/>
    </w:pPr>
    <w:rPr>
      <w:b/>
      <w:sz w:val="96"/>
      <w:szCs w:val="9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Heading1Char">
    <w:name w:val="Heading 1 Char"/>
    <w:aliases w:val="Heading 1 Char Char Char Char,Heading 1 Char Char Char Char Char Char Char,Heading 1 Char Char1 Char Char,Heading 1 Char Char1 Char1,Heading 1 Char1 Char Char,Heading 1 Char1 Char Char Char2 Char Char,Heading 1 Char1 Char1 Char"/>
    <w:link w:val="Heading1"/>
    <w:rsid w:val="008B41DA"/>
    <w:rPr>
      <w:rFonts w:ascii="Times New Roman Bold" w:hAnsi="Times New Roman Bold"/>
      <w:b/>
      <w:caps/>
      <w:snapToGrid w:val="0"/>
      <w:kern w:val="28"/>
      <w:sz w:val="22"/>
    </w:rPr>
  </w:style>
  <w:style w:type="character" w:customStyle="1" w:styleId="FootnoteTextChar">
    <w:name w:val="Footnote Text Char"/>
    <w:aliases w:val="ALTS FOOTNOTE Char,ALTS FOOTNOTE Char Char Char,Footnote Text Char Char Char,Footnote Text Char Char Char Char Char,Footnote Text Char1 Char,Footnote Text Char1 Char Char Char,Footnote Text Char1 Char Char Char1 Char Char,fn Char"/>
    <w:link w:val="FootnoteText"/>
    <w:rsid w:val="008B41DA"/>
  </w:style>
  <w:style w:type="character" w:customStyle="1" w:styleId="ParaNumChar">
    <w:name w:val="ParaNum Char"/>
    <w:link w:val="ParaNum"/>
    <w:locked/>
    <w:rsid w:val="008B41DA"/>
    <w:rPr>
      <w:snapToGrid w:val="0"/>
      <w:kern w:val="28"/>
      <w:sz w:val="22"/>
    </w:rPr>
  </w:style>
  <w:style w:type="paragraph" w:styleId="BalloonText">
    <w:name w:val="Balloon Text"/>
    <w:basedOn w:val="Normal"/>
    <w:link w:val="BalloonTextChar"/>
    <w:uiPriority w:val="99"/>
    <w:semiHidden/>
    <w:unhideWhenUsed/>
    <w:rsid w:val="00031F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1F12"/>
    <w:rPr>
      <w:rFonts w:ascii="Segoe UI" w:hAnsi="Segoe UI" w:cs="Segoe UI"/>
      <w:snapToGrid w:val="0"/>
      <w:kern w:val="28"/>
      <w:sz w:val="18"/>
      <w:szCs w:val="18"/>
    </w:rPr>
  </w:style>
  <w:style w:type="character" w:styleId="CommentReference">
    <w:name w:val="annotation reference"/>
    <w:basedOn w:val="DefaultParagraphFont"/>
    <w:uiPriority w:val="99"/>
    <w:semiHidden/>
    <w:unhideWhenUsed/>
    <w:rsid w:val="00414FD8"/>
    <w:rPr>
      <w:sz w:val="16"/>
      <w:szCs w:val="16"/>
    </w:rPr>
  </w:style>
  <w:style w:type="paragraph" w:styleId="CommentText">
    <w:name w:val="annotation text"/>
    <w:basedOn w:val="Normal"/>
    <w:link w:val="CommentTextChar"/>
    <w:uiPriority w:val="99"/>
    <w:semiHidden/>
    <w:unhideWhenUsed/>
    <w:rsid w:val="00414FD8"/>
    <w:rPr>
      <w:sz w:val="20"/>
    </w:rPr>
  </w:style>
  <w:style w:type="character" w:customStyle="1" w:styleId="CommentTextChar">
    <w:name w:val="Comment Text Char"/>
    <w:basedOn w:val="DefaultParagraphFont"/>
    <w:link w:val="CommentText"/>
    <w:uiPriority w:val="99"/>
    <w:semiHidden/>
    <w:rsid w:val="00414FD8"/>
    <w:rPr>
      <w:snapToGrid w:val="0"/>
      <w:kern w:val="28"/>
    </w:rPr>
  </w:style>
  <w:style w:type="paragraph" w:styleId="CommentSubject">
    <w:name w:val="annotation subject"/>
    <w:basedOn w:val="CommentText"/>
    <w:next w:val="CommentText"/>
    <w:link w:val="CommentSubjectChar"/>
    <w:uiPriority w:val="99"/>
    <w:semiHidden/>
    <w:unhideWhenUsed/>
    <w:rsid w:val="00414FD8"/>
    <w:rPr>
      <w:b/>
      <w:bCs/>
    </w:rPr>
  </w:style>
  <w:style w:type="character" w:customStyle="1" w:styleId="CommentSubjectChar">
    <w:name w:val="Comment Subject Char"/>
    <w:basedOn w:val="CommentTextChar"/>
    <w:link w:val="CommentSubject"/>
    <w:uiPriority w:val="99"/>
    <w:semiHidden/>
    <w:rsid w:val="00414FD8"/>
    <w:rPr>
      <w:b/>
      <w:bCs/>
      <w:snapToGrid w:val="0"/>
      <w:kern w:val="28"/>
    </w:rPr>
  </w:style>
  <w:style w:type="character" w:customStyle="1" w:styleId="UnresolvedMention">
    <w:name w:val="Unresolved Mention"/>
    <w:basedOn w:val="DefaultParagraphFont"/>
    <w:uiPriority w:val="99"/>
    <w:semiHidden/>
    <w:unhideWhenUsed/>
    <w:rsid w:val="002E7640"/>
    <w:rPr>
      <w:color w:val="605E5C"/>
      <w:shd w:val="clear" w:color="auto" w:fill="E1DFDD"/>
    </w:rPr>
  </w:style>
  <w:style w:type="paragraph" w:styleId="Revision">
    <w:name w:val="Revision"/>
    <w:hidden/>
    <w:uiPriority w:val="99"/>
    <w:semiHidden/>
    <w:rsid w:val="00E93717"/>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fcc.gov/auction/100" TargetMode="External" /><Relationship Id="rId11" Type="http://schemas.openxmlformats.org/officeDocument/2006/relationships/hyperlink" Target="http://www.fcc.gov/mb" TargetMode="External" /><Relationship Id="rId12" Type="http://schemas.openxmlformats.org/officeDocument/2006/relationships/hyperlink" Target="http://licensing.fcc.gov/prod/cdbs/pubacc/prod/cdbs_pa.htm" TargetMode="External" /><Relationship Id="rId13" Type="http://schemas.openxmlformats.org/officeDocument/2006/relationships/hyperlink" Target="https://auctiondata.fcc.gov/" TargetMode="External" /><Relationship Id="rId14" Type="http://schemas.openxmlformats.org/officeDocument/2006/relationships/hyperlink" Target="https://www.fcc.gov" TargetMode="External" /><Relationship Id="rId15" Type="http://schemas.openxmlformats.org/officeDocument/2006/relationships/header" Target="header1.xml" /><Relationship Id="rId16" Type="http://schemas.openxmlformats.org/officeDocument/2006/relationships/footer" Target="footer1.xml" /><Relationship Id="rId17" Type="http://schemas.openxmlformats.org/officeDocument/2006/relationships/footer" Target="footer2.xml" /><Relationship Id="rId18" Type="http://schemas.openxmlformats.org/officeDocument/2006/relationships/header" Target="header2.xml" /><Relationship Id="rId19" Type="http://schemas.openxmlformats.org/officeDocument/2006/relationships/footer" Target="footer3.xml" /><Relationship Id="rId2" Type="http://schemas.openxmlformats.org/officeDocument/2006/relationships/settings" Target="settings.xml" /><Relationship Id="rId20" Type="http://schemas.openxmlformats.org/officeDocument/2006/relationships/theme" Target="theme/theme1.xml" /><Relationship Id="rId21" Type="http://schemas.openxmlformats.org/officeDocument/2006/relationships/numbering" Target="numbering.xml" /><Relationship Id="rId22"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apps.fcc.gov/cores" TargetMode="External" /><Relationship Id="rId6" Type="http://schemas.openxmlformats.org/officeDocument/2006/relationships/hyperlink" Target="https://licensing.fcc.gov/prod/cdbs/forms/prod/cdbs_ef.htm" TargetMode="External" /><Relationship Id="rId7" Type="http://schemas.openxmlformats.org/officeDocument/2006/relationships/hyperlink" Target="http://licensing.fcc.gov/prod/cdbs/forms/prod/cdbs_ug.htm" TargetMode="External" /><Relationship Id="rId8" Type="http://schemas.openxmlformats.org/officeDocument/2006/relationships/hyperlink" Target="mailto:RROGWireFaxes@fcc.gov" TargetMode="External" /><Relationship Id="rId9" Type="http://schemas.openxmlformats.org/officeDocument/2006/relationships/hyperlink" Target="mailto:fcc504@fcc.gov"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licensing.fcc.gov/prod/cdbs/pubacc/prod/cdbs_pa.htm"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aragraph%20TOC.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