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 w:rsidRPr="007443FC" w14:paraId="1A7C7CC0" w14:textId="77777777">
      <w:pPr>
        <w:jc w:val="center"/>
        <w:rPr>
          <w:b/>
          <w:szCs w:val="22"/>
        </w:rPr>
      </w:pPr>
      <w:r w:rsidRPr="007443FC">
        <w:rPr>
          <w:b/>
          <w:szCs w:val="22"/>
        </w:rPr>
        <w:t>Before the</w:t>
      </w:r>
    </w:p>
    <w:p w:rsidR="0060228B" w:rsidRPr="007443FC" w14:paraId="34CA988F" w14:textId="77777777">
      <w:pPr>
        <w:jc w:val="center"/>
        <w:rPr>
          <w:b/>
          <w:szCs w:val="22"/>
        </w:rPr>
      </w:pPr>
      <w:r w:rsidRPr="007443FC">
        <w:rPr>
          <w:b/>
          <w:szCs w:val="22"/>
        </w:rPr>
        <w:t>Federal Communic</w:t>
      </w:r>
      <w:bookmarkStart w:id="0" w:name="_GoBack"/>
      <w:bookmarkEnd w:id="0"/>
      <w:r w:rsidRPr="007443FC">
        <w:rPr>
          <w:b/>
          <w:szCs w:val="22"/>
        </w:rPr>
        <w:t>ations Commission</w:t>
      </w:r>
    </w:p>
    <w:p w:rsidR="0060228B" w:rsidRPr="007443FC" w14:paraId="5B4B7260" w14:textId="77777777">
      <w:pPr>
        <w:jc w:val="center"/>
        <w:rPr>
          <w:b/>
          <w:szCs w:val="22"/>
        </w:rPr>
      </w:pPr>
      <w:r w:rsidRPr="007443FC">
        <w:rPr>
          <w:b/>
          <w:szCs w:val="22"/>
        </w:rPr>
        <w:t>Washington, D.C. 20554</w:t>
      </w:r>
    </w:p>
    <w:p w:rsidR="0060228B" w:rsidRPr="007443FC" w14:paraId="786FB133" w14:textId="77777777">
      <w:pPr>
        <w:rPr>
          <w:szCs w:val="22"/>
        </w:rPr>
      </w:pPr>
    </w:p>
    <w:p w:rsidR="0060228B" w:rsidRPr="007443FC" w14:paraId="6FEDFA0B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783E2305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:rsidRPr="007443FC" w14:paraId="179E7667" w14:textId="77777777">
            <w:pPr>
              <w:ind w:right="-18"/>
              <w:rPr>
                <w:szCs w:val="22"/>
              </w:rPr>
            </w:pPr>
            <w:r w:rsidRPr="007443FC">
              <w:rPr>
                <w:szCs w:val="22"/>
              </w:rPr>
              <w:t xml:space="preserve">In the </w:t>
            </w:r>
            <w:r w:rsidRPr="007443FC" w:rsidR="002A29D2">
              <w:rPr>
                <w:szCs w:val="22"/>
              </w:rPr>
              <w:t>M</w:t>
            </w:r>
            <w:r w:rsidRPr="007443FC">
              <w:rPr>
                <w:szCs w:val="22"/>
              </w:rPr>
              <w:t>atter of</w:t>
            </w:r>
          </w:p>
          <w:p w:rsidR="0060228B" w:rsidRPr="007443FC" w14:paraId="35311161" w14:textId="77777777">
            <w:pPr>
              <w:ind w:right="-18"/>
              <w:rPr>
                <w:szCs w:val="22"/>
              </w:rPr>
            </w:pPr>
          </w:p>
          <w:p w:rsidR="002E1738" w:rsidRPr="002E1738" w:rsidP="002E1738" w14:paraId="3674866A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2E1738">
              <w:rPr>
                <w:snapToGrid/>
                <w:szCs w:val="22"/>
              </w:rPr>
              <w:t xml:space="preserve">Amendment of Part 15 of the Commission’s Rules for Unlicensed White Space Devices </w:t>
            </w:r>
          </w:p>
          <w:p w:rsidR="002E1738" w:rsidRPr="002E1738" w:rsidP="002E1738" w14:paraId="2F55519F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</w:p>
          <w:p w:rsidR="002E1738" w:rsidRPr="002E1738" w:rsidP="002E1738" w14:paraId="772914AE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2E1738">
              <w:rPr>
                <w:snapToGrid/>
                <w:szCs w:val="22"/>
              </w:rPr>
              <w:t>Amendment of Part 15 of the Commission’s Rules for Unlicensed Operations in the Television Bands, Repurposed 600 MHz Band, 600 MHz Guard Bands and Duplex Gap, and Channel 37</w:t>
            </w:r>
          </w:p>
          <w:p w:rsidR="002E1738" w:rsidRPr="002E1738" w:rsidP="002E1738" w14:paraId="7E0B41D5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</w:p>
          <w:p w:rsidR="002E1738" w:rsidRPr="002E1738" w:rsidP="002E1738" w14:paraId="10E97481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2E1738">
              <w:rPr>
                <w:snapToGrid/>
                <w:szCs w:val="22"/>
              </w:rPr>
              <w:t>Expanding the Economic and Innovation Opportunities of Spectrum Through Incentive Auctions</w:t>
            </w:r>
          </w:p>
          <w:p w:rsidR="0060228B" w:rsidRPr="007443FC" w14:paraId="67273088" w14:textId="77777777">
            <w:pPr>
              <w:ind w:right="-18"/>
              <w:rPr>
                <w:szCs w:val="22"/>
              </w:rPr>
            </w:pPr>
          </w:p>
        </w:tc>
        <w:tc>
          <w:tcPr>
            <w:tcW w:w="720" w:type="dxa"/>
          </w:tcPr>
          <w:p w:rsidR="0060228B" w:rsidRPr="007443FC" w14:paraId="657DD008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60228B" w:rsidRPr="007443FC" w14:paraId="26A2C210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60228B" w:rsidRPr="007443FC" w14:paraId="4CFB9CA7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B978E5" w:rsidRPr="007443FC" w14:paraId="6BB59F63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60228B" w:rsidRPr="007443FC" w14:paraId="31B0884F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5C6A158A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6CC93CFA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7F352798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353CFE43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7FF3168B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2BB4DA45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542641A3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  <w:p w:rsidR="002E1738" w:rsidRPr="007443FC" w14:paraId="5AB0E95F" w14:textId="77777777">
            <w:pPr>
              <w:rPr>
                <w:b/>
                <w:szCs w:val="22"/>
              </w:rPr>
            </w:pPr>
            <w:r w:rsidRPr="007443FC">
              <w:rPr>
                <w:b/>
                <w:szCs w:val="22"/>
              </w:rPr>
              <w:t>)</w:t>
            </w:r>
          </w:p>
        </w:tc>
        <w:tc>
          <w:tcPr>
            <w:tcW w:w="4230" w:type="dxa"/>
          </w:tcPr>
          <w:p w:rsidR="0060228B" w:rsidRPr="007443FC" w14:paraId="4FF5D593" w14:textId="77777777">
            <w:pPr>
              <w:rPr>
                <w:szCs w:val="22"/>
              </w:rPr>
            </w:pPr>
          </w:p>
          <w:p w:rsidR="0060228B" w:rsidRPr="007443FC" w14:paraId="250F501B" w14:textId="77777777">
            <w:pPr>
              <w:rPr>
                <w:szCs w:val="22"/>
              </w:rPr>
            </w:pPr>
          </w:p>
          <w:p w:rsidR="002E1738" w:rsidRPr="002E1738" w:rsidP="002E1738" w14:paraId="5780DE45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2E1738">
              <w:rPr>
                <w:snapToGrid/>
                <w:szCs w:val="22"/>
              </w:rPr>
              <w:t>ET Docket No. 16-56</w:t>
            </w:r>
          </w:p>
          <w:p w:rsidR="002E1738" w:rsidRPr="002E1738" w:rsidP="002E1738" w14:paraId="05DBDB54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2E1738">
              <w:rPr>
                <w:snapToGrid/>
                <w:szCs w:val="22"/>
              </w:rPr>
              <w:t>RM-11745</w:t>
            </w:r>
          </w:p>
          <w:p w:rsidR="002E1738" w:rsidRPr="002E1738" w:rsidP="002E1738" w14:paraId="5E79EC52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</w:p>
          <w:p w:rsidR="002E1738" w:rsidRPr="002E1738" w:rsidP="002E1738" w14:paraId="066BF895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2E1738">
              <w:rPr>
                <w:snapToGrid/>
                <w:szCs w:val="22"/>
              </w:rPr>
              <w:t>ET Docket No. 14-165</w:t>
            </w:r>
          </w:p>
          <w:p w:rsidR="002E1738" w:rsidRPr="002E1738" w:rsidP="002E1738" w14:paraId="772C2A17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</w:p>
          <w:p w:rsidR="002E1738" w:rsidRPr="002E1738" w:rsidP="002E1738" w14:paraId="7457BCDF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</w:p>
          <w:p w:rsidR="002E1738" w:rsidRPr="002E1738" w:rsidP="002E1738" w14:paraId="64F5B56A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</w:p>
          <w:p w:rsidR="002E1738" w:rsidRPr="002E1738" w:rsidP="002E1738" w14:paraId="413D8DD5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</w:p>
          <w:p w:rsidR="002E1738" w:rsidRPr="002E1738" w:rsidP="002E1738" w14:paraId="7176F48D" w14:textId="77777777">
            <w:pPr>
              <w:tabs>
                <w:tab w:val="center" w:pos="4680"/>
              </w:tabs>
              <w:suppressAutoHyphens/>
              <w:rPr>
                <w:snapToGrid/>
                <w:szCs w:val="22"/>
              </w:rPr>
            </w:pPr>
            <w:r w:rsidRPr="002E1738">
              <w:rPr>
                <w:snapToGrid/>
                <w:szCs w:val="22"/>
              </w:rPr>
              <w:t>GN Docket No. 12-268</w:t>
            </w:r>
          </w:p>
          <w:p w:rsidR="0060228B" w:rsidRPr="007443FC" w:rsidP="00F25801" w14:paraId="7B90ACB2" w14:textId="77777777">
            <w:pPr>
              <w:rPr>
                <w:szCs w:val="22"/>
              </w:rPr>
            </w:pPr>
          </w:p>
        </w:tc>
      </w:tr>
    </w:tbl>
    <w:p w:rsidR="0060228B" w:rsidRPr="007443FC" w14:paraId="02D2687D" w14:textId="77777777">
      <w:pPr>
        <w:rPr>
          <w:szCs w:val="22"/>
        </w:rPr>
      </w:pPr>
    </w:p>
    <w:p w:rsidR="0060228B" w:rsidRPr="007443FC" w:rsidP="00B52799" w14:paraId="5CFF25A7" w14:textId="77777777">
      <w:pPr>
        <w:spacing w:after="120"/>
        <w:jc w:val="center"/>
        <w:rPr>
          <w:b/>
          <w:spacing w:val="-2"/>
          <w:szCs w:val="22"/>
        </w:rPr>
      </w:pPr>
      <w:r w:rsidRPr="007443FC">
        <w:rPr>
          <w:b/>
          <w:spacing w:val="-2"/>
          <w:szCs w:val="22"/>
        </w:rPr>
        <w:t>ERRATUM</w:t>
      </w:r>
    </w:p>
    <w:p w:rsidR="0060228B" w:rsidRPr="002857DB" w:rsidP="00B52799" w14:paraId="435451E2" w14:textId="4486208B">
      <w:pPr>
        <w:spacing w:after="120"/>
        <w:jc w:val="right"/>
        <w:rPr>
          <w:b/>
          <w:szCs w:val="22"/>
        </w:rPr>
      </w:pPr>
      <w:r w:rsidRPr="002857DB">
        <w:rPr>
          <w:b/>
          <w:szCs w:val="22"/>
        </w:rPr>
        <w:t xml:space="preserve">Released:  </w:t>
      </w:r>
      <w:r w:rsidRPr="002857DB" w:rsidR="00EF47E9">
        <w:rPr>
          <w:b/>
          <w:szCs w:val="22"/>
        </w:rPr>
        <w:t>Ju</w:t>
      </w:r>
      <w:r w:rsidR="00635252">
        <w:rPr>
          <w:b/>
          <w:szCs w:val="22"/>
        </w:rPr>
        <w:t>ly</w:t>
      </w:r>
      <w:r w:rsidRPr="002857DB" w:rsidR="00EF47E9">
        <w:rPr>
          <w:b/>
          <w:szCs w:val="22"/>
        </w:rPr>
        <w:t xml:space="preserve"> </w:t>
      </w:r>
      <w:r w:rsidR="00635252">
        <w:rPr>
          <w:b/>
          <w:szCs w:val="22"/>
        </w:rPr>
        <w:t>1</w:t>
      </w:r>
      <w:r w:rsidRPr="002857DB" w:rsidR="00EF47E9">
        <w:rPr>
          <w:b/>
          <w:szCs w:val="22"/>
        </w:rPr>
        <w:t>, 2019</w:t>
      </w:r>
    </w:p>
    <w:p w:rsidR="0060228B" w:rsidRPr="007443FC" w:rsidP="00B52799" w14:paraId="14D63042" w14:textId="77777777">
      <w:pPr>
        <w:tabs>
          <w:tab w:val="left" w:pos="5760"/>
        </w:tabs>
        <w:spacing w:after="120"/>
        <w:rPr>
          <w:szCs w:val="22"/>
        </w:rPr>
      </w:pPr>
      <w:r w:rsidRPr="007443FC">
        <w:rPr>
          <w:szCs w:val="22"/>
        </w:rPr>
        <w:t xml:space="preserve">By the </w:t>
      </w:r>
      <w:r w:rsidRPr="007443FC" w:rsidR="00B216E9">
        <w:rPr>
          <w:szCs w:val="22"/>
        </w:rPr>
        <w:t>Managing Director</w:t>
      </w:r>
      <w:r w:rsidRPr="007443FC">
        <w:rPr>
          <w:spacing w:val="-2"/>
          <w:szCs w:val="22"/>
        </w:rPr>
        <w:t>:</w:t>
      </w:r>
    </w:p>
    <w:p w:rsidR="008437AF" w:rsidRPr="007443FC" w:rsidP="00635252" w14:paraId="3BDE8AED" w14:textId="600AC5FB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7443FC">
        <w:rPr>
          <w:szCs w:val="22"/>
        </w:rPr>
        <w:t xml:space="preserve">On </w:t>
      </w:r>
      <w:r w:rsidRPr="007443FC">
        <w:rPr>
          <w:szCs w:val="22"/>
        </w:rPr>
        <w:t>March 20</w:t>
      </w:r>
      <w:r w:rsidRPr="007443FC" w:rsidR="00B216E9">
        <w:rPr>
          <w:szCs w:val="22"/>
        </w:rPr>
        <w:t>, 201</w:t>
      </w:r>
      <w:r w:rsidRPr="007443FC">
        <w:rPr>
          <w:szCs w:val="22"/>
        </w:rPr>
        <w:t>9</w:t>
      </w:r>
      <w:r w:rsidRPr="007443FC" w:rsidR="00B216E9">
        <w:rPr>
          <w:szCs w:val="22"/>
        </w:rPr>
        <w:t xml:space="preserve">, the Commission </w:t>
      </w:r>
      <w:r w:rsidRPr="007443FC">
        <w:rPr>
          <w:szCs w:val="22"/>
        </w:rPr>
        <w:t xml:space="preserve">released a </w:t>
      </w:r>
      <w:r w:rsidRPr="007443FC" w:rsidR="00B216E9">
        <w:rPr>
          <w:szCs w:val="22"/>
        </w:rPr>
        <w:t>Report and Order and Order</w:t>
      </w:r>
      <w:r w:rsidRPr="007443FC">
        <w:rPr>
          <w:szCs w:val="22"/>
        </w:rPr>
        <w:t xml:space="preserve"> on Reconsideration</w:t>
      </w:r>
      <w:r w:rsidR="00864FB5">
        <w:rPr>
          <w:szCs w:val="22"/>
        </w:rPr>
        <w:t xml:space="preserve"> (</w:t>
      </w:r>
      <w:bookmarkStart w:id="1" w:name="_Hlk12602697"/>
      <w:r w:rsidRPr="00635252" w:rsidR="00864FB5">
        <w:rPr>
          <w:i/>
          <w:szCs w:val="22"/>
        </w:rPr>
        <w:t xml:space="preserve">R&amp;O and </w:t>
      </w:r>
      <w:r w:rsidRPr="00635252" w:rsidR="00864FB5">
        <w:rPr>
          <w:i/>
          <w:szCs w:val="22"/>
        </w:rPr>
        <w:t>OoR</w:t>
      </w:r>
      <w:bookmarkEnd w:id="1"/>
      <w:r w:rsidR="00864FB5">
        <w:rPr>
          <w:szCs w:val="22"/>
        </w:rPr>
        <w:t>)</w:t>
      </w:r>
      <w:r w:rsidRPr="007443FC" w:rsidR="00B216E9">
        <w:rPr>
          <w:szCs w:val="22"/>
        </w:rPr>
        <w:t>, FCC 1</w:t>
      </w:r>
      <w:r w:rsidRPr="007443FC">
        <w:rPr>
          <w:szCs w:val="22"/>
        </w:rPr>
        <w:t>9</w:t>
      </w:r>
      <w:r w:rsidRPr="007443FC" w:rsidR="00B216E9">
        <w:rPr>
          <w:szCs w:val="22"/>
        </w:rPr>
        <w:t>-</w:t>
      </w:r>
      <w:r w:rsidRPr="007443FC">
        <w:rPr>
          <w:szCs w:val="22"/>
        </w:rPr>
        <w:t>24</w:t>
      </w:r>
      <w:r w:rsidRPr="007443FC" w:rsidR="00B216E9">
        <w:rPr>
          <w:szCs w:val="22"/>
        </w:rPr>
        <w:t>, in the above-</w:t>
      </w:r>
      <w:r w:rsidRPr="007443FC">
        <w:rPr>
          <w:szCs w:val="22"/>
        </w:rPr>
        <w:t xml:space="preserve">captioned proceeding.  </w:t>
      </w:r>
      <w:r w:rsidRPr="007443FC" w:rsidR="00B978E5">
        <w:rPr>
          <w:szCs w:val="22"/>
        </w:rPr>
        <w:t>T</w:t>
      </w:r>
      <w:r w:rsidRPr="007443FC">
        <w:rPr>
          <w:szCs w:val="22"/>
        </w:rPr>
        <w:t xml:space="preserve">his Erratum </w:t>
      </w:r>
      <w:r w:rsidR="00277FE5">
        <w:rPr>
          <w:szCs w:val="22"/>
        </w:rPr>
        <w:t>corrects</w:t>
      </w:r>
      <w:r w:rsidR="00864FB5">
        <w:rPr>
          <w:szCs w:val="22"/>
        </w:rPr>
        <w:t xml:space="preserve"> paragraph 4 in</w:t>
      </w:r>
      <w:r w:rsidRPr="007443FC">
        <w:rPr>
          <w:szCs w:val="22"/>
        </w:rPr>
        <w:t xml:space="preserve"> Appendix A</w:t>
      </w:r>
      <w:r w:rsidR="00864FB5">
        <w:rPr>
          <w:szCs w:val="22"/>
        </w:rPr>
        <w:t xml:space="preserve"> of the</w:t>
      </w:r>
      <w:r w:rsidRPr="007443FC">
        <w:rPr>
          <w:szCs w:val="22"/>
        </w:rPr>
        <w:t xml:space="preserve"> </w:t>
      </w:r>
      <w:r w:rsidRPr="00864FB5" w:rsidR="00864FB5">
        <w:rPr>
          <w:i/>
          <w:szCs w:val="22"/>
        </w:rPr>
        <w:t xml:space="preserve">R&amp;O and </w:t>
      </w:r>
      <w:r w:rsidRPr="00864FB5" w:rsidR="00864FB5">
        <w:rPr>
          <w:i/>
          <w:szCs w:val="22"/>
        </w:rPr>
        <w:t>OoR</w:t>
      </w:r>
      <w:r w:rsidR="00FC5D64">
        <w:rPr>
          <w:szCs w:val="22"/>
        </w:rPr>
        <w:t xml:space="preserve"> </w:t>
      </w:r>
      <w:r w:rsidR="00864FB5">
        <w:rPr>
          <w:szCs w:val="22"/>
        </w:rPr>
        <w:t>to read as follows</w:t>
      </w:r>
      <w:r w:rsidR="00864FB5">
        <w:rPr>
          <w:bCs/>
          <w:iCs/>
          <w:snapToGrid/>
          <w:kern w:val="0"/>
          <w:szCs w:val="22"/>
        </w:rPr>
        <w:t>:</w:t>
      </w:r>
    </w:p>
    <w:p w:rsidR="007443FC" w:rsidP="00635252" w14:paraId="6384772B" w14:textId="51881920">
      <w:pPr>
        <w:widowControl/>
        <w:ind w:left="720" w:firstLine="36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“</w:t>
      </w:r>
      <w:r w:rsidR="00864FB5">
        <w:rPr>
          <w:snapToGrid/>
          <w:kern w:val="0"/>
          <w:szCs w:val="22"/>
        </w:rPr>
        <w:t>4.</w:t>
      </w:r>
      <w:r w:rsidR="00864FB5">
        <w:rPr>
          <w:snapToGrid/>
          <w:kern w:val="0"/>
          <w:szCs w:val="22"/>
        </w:rPr>
        <w:tab/>
      </w:r>
      <w:r w:rsidRPr="007443FC">
        <w:rPr>
          <w:snapToGrid/>
          <w:kern w:val="0"/>
          <w:szCs w:val="22"/>
        </w:rPr>
        <w:t>Section 15.707 is amended by revising paragraphs (a)(</w:t>
      </w:r>
      <w:r>
        <w:rPr>
          <w:snapToGrid/>
          <w:kern w:val="0"/>
          <w:szCs w:val="22"/>
        </w:rPr>
        <w:t>1</w:t>
      </w:r>
      <w:r w:rsidRPr="007443FC">
        <w:rPr>
          <w:snapToGrid/>
          <w:kern w:val="0"/>
          <w:szCs w:val="22"/>
        </w:rPr>
        <w:t>) through (4) and removing paragraphs (a)(5) and (6) as follows:</w:t>
      </w:r>
    </w:p>
    <w:p w:rsidR="00A40C14" w:rsidP="00AD7575" w14:paraId="755947F6" w14:textId="7D2A9995">
      <w:pPr>
        <w:widowControl/>
        <w:tabs>
          <w:tab w:val="left" w:pos="1080"/>
        </w:tabs>
        <w:rPr>
          <w:snapToGrid/>
          <w:kern w:val="0"/>
          <w:szCs w:val="22"/>
        </w:rPr>
      </w:pPr>
    </w:p>
    <w:p w:rsidR="00A40C14" w:rsidRPr="008445F0" w:rsidP="00635252" w14:paraId="49252430" w14:textId="77777777">
      <w:pPr>
        <w:spacing w:after="220"/>
        <w:ind w:left="720"/>
        <w:rPr>
          <w:b/>
          <w:bCs/>
          <w:iCs/>
        </w:rPr>
      </w:pPr>
      <w:r w:rsidRPr="008445F0">
        <w:rPr>
          <w:b/>
          <w:bCs/>
          <w:iCs/>
        </w:rPr>
        <w:t>§ 15.707 Permissible channels of operation.</w:t>
      </w:r>
    </w:p>
    <w:p w:rsidR="00A40C14" w:rsidRPr="008445F0" w:rsidP="00635252" w14:paraId="30EA1E74" w14:textId="1B268E0F">
      <w:pPr>
        <w:spacing w:after="220"/>
        <w:ind w:left="720"/>
        <w:rPr>
          <w:bCs/>
          <w:iCs/>
        </w:rPr>
      </w:pPr>
      <w:r w:rsidRPr="008445F0">
        <w:rPr>
          <w:bCs/>
          <w:iCs/>
        </w:rPr>
        <w:t xml:space="preserve">(a)(1) </w:t>
      </w:r>
      <w:r w:rsidRPr="00277FE5">
        <w:rPr>
          <w:i/>
        </w:rPr>
        <w:t>470-698 MHz band</w:t>
      </w:r>
      <w:r>
        <w:rPr>
          <w:i/>
        </w:rPr>
        <w:t>.</w:t>
      </w:r>
      <w:r>
        <w:rPr>
          <w:bCs/>
          <w:iCs/>
        </w:rPr>
        <w:t xml:space="preserve">  </w:t>
      </w:r>
      <w:r w:rsidRPr="00864FB5" w:rsidR="00864FB5">
        <w:rPr>
          <w:bCs/>
          <w:iCs/>
        </w:rPr>
        <w:t>All white space devices are permitted to operate on available channels in the frequency bands 470-698 MHz (TV channels 14-51), subject to the interference protection requirements in §§15.711 and 15.712.</w:t>
      </w:r>
    </w:p>
    <w:p w:rsidR="00A40C14" w:rsidRPr="008445F0" w:rsidP="00635252" w14:paraId="209F19E4" w14:textId="77777777">
      <w:pPr>
        <w:spacing w:after="220"/>
        <w:ind w:left="720"/>
        <w:rPr>
          <w:bCs/>
          <w:iCs/>
        </w:rPr>
      </w:pPr>
      <w:r w:rsidRPr="008445F0">
        <w:rPr>
          <w:bCs/>
          <w:iCs/>
        </w:rPr>
        <w:t>(</w:t>
      </w:r>
      <w:r>
        <w:rPr>
          <w:bCs/>
          <w:iCs/>
        </w:rPr>
        <w:t>2</w:t>
      </w:r>
      <w:r w:rsidRPr="008445F0">
        <w:rPr>
          <w:bCs/>
          <w:iCs/>
        </w:rPr>
        <w:t xml:space="preserve">) </w:t>
      </w:r>
      <w:r w:rsidRPr="008445F0">
        <w:rPr>
          <w:bCs/>
          <w:i/>
          <w:iCs/>
        </w:rPr>
        <w:t>600 MHz duplex gap</w:t>
      </w:r>
      <w:r w:rsidRPr="008445F0">
        <w:rPr>
          <w:bCs/>
          <w:iCs/>
        </w:rPr>
        <w:t>. White space devices may operate in the 657-663 MHz segment of the 600 MHz duplex gap.</w:t>
      </w:r>
    </w:p>
    <w:p w:rsidR="00A40C14" w:rsidRPr="008445F0" w:rsidP="00635252" w14:paraId="12B0F9D3" w14:textId="77777777">
      <w:pPr>
        <w:spacing w:after="220"/>
        <w:ind w:left="720"/>
        <w:rPr>
          <w:bCs/>
          <w:iCs/>
        </w:rPr>
      </w:pPr>
      <w:r w:rsidRPr="008445F0">
        <w:rPr>
          <w:bCs/>
          <w:iCs/>
        </w:rPr>
        <w:t>(</w:t>
      </w:r>
      <w:r>
        <w:rPr>
          <w:bCs/>
          <w:iCs/>
        </w:rPr>
        <w:t>3</w:t>
      </w:r>
      <w:r w:rsidRPr="008445F0">
        <w:rPr>
          <w:bCs/>
          <w:iCs/>
        </w:rPr>
        <w:t xml:space="preserve">) </w:t>
      </w:r>
      <w:r w:rsidRPr="008445F0">
        <w:rPr>
          <w:bCs/>
          <w:i/>
          <w:iCs/>
        </w:rPr>
        <w:t>600 MHz service band</w:t>
      </w:r>
      <w:r w:rsidRPr="008445F0">
        <w:rPr>
          <w:bCs/>
          <w:iCs/>
        </w:rPr>
        <w:t>. White space devices may operate on frequencies in the bands 617-652 MHz and 663-698 MHz in areas where 600 MHz band licensees have not commenced operations, as defined in §27.4 of this chapter.</w:t>
      </w:r>
    </w:p>
    <w:p w:rsidR="00A40C14" w:rsidRPr="008445F0" w:rsidP="00635252" w14:paraId="2A6CDDC2" w14:textId="77777777">
      <w:pPr>
        <w:keepNext/>
        <w:widowControl/>
        <w:spacing w:after="220"/>
        <w:ind w:left="720"/>
        <w:rPr>
          <w:bCs/>
          <w:iCs/>
        </w:rPr>
      </w:pPr>
      <w:r w:rsidRPr="008445F0">
        <w:rPr>
          <w:bCs/>
          <w:iCs/>
        </w:rPr>
        <w:t>(</w:t>
      </w:r>
      <w:r>
        <w:rPr>
          <w:bCs/>
          <w:iCs/>
        </w:rPr>
        <w:t>4</w:t>
      </w:r>
      <w:r w:rsidRPr="008445F0">
        <w:rPr>
          <w:bCs/>
          <w:iCs/>
        </w:rPr>
        <w:t xml:space="preserve">) </w:t>
      </w:r>
      <w:r w:rsidRPr="008445F0">
        <w:rPr>
          <w:bCs/>
          <w:i/>
          <w:iCs/>
        </w:rPr>
        <w:t>Channel 37 guard band</w:t>
      </w:r>
      <w:r w:rsidRPr="008445F0">
        <w:rPr>
          <w:bCs/>
          <w:iCs/>
        </w:rPr>
        <w:t xml:space="preserve">. White space devices are not permitted to operate in the band 614-617 </w:t>
      </w:r>
      <w:r w:rsidRPr="008445F0">
        <w:rPr>
          <w:bCs/>
          <w:iCs/>
        </w:rPr>
        <w:t>MHz.</w:t>
      </w:r>
    </w:p>
    <w:p w:rsidR="00A40C14" w:rsidRPr="008445F0" w:rsidP="00635252" w14:paraId="2D84279B" w14:textId="3BCE295D">
      <w:pPr>
        <w:keepNext/>
        <w:widowControl/>
        <w:spacing w:after="220"/>
        <w:ind w:left="720"/>
        <w:rPr>
          <w:bCs/>
          <w:iCs/>
        </w:rPr>
      </w:pPr>
      <w:r w:rsidRPr="008445F0">
        <w:rPr>
          <w:bCs/>
          <w:iCs/>
        </w:rPr>
        <w:t>* * * * *</w:t>
      </w:r>
      <w:r>
        <w:rPr>
          <w:bCs/>
          <w:iCs/>
        </w:rPr>
        <w:t>”</w:t>
      </w:r>
    </w:p>
    <w:p w:rsidR="00A40C14" w:rsidRPr="007443FC" w:rsidP="00635252" w14:paraId="6652D4A6" w14:textId="77777777">
      <w:pPr>
        <w:keepNext/>
        <w:widowControl/>
        <w:tabs>
          <w:tab w:val="left" w:pos="1080"/>
        </w:tabs>
        <w:rPr>
          <w:snapToGrid/>
          <w:kern w:val="0"/>
          <w:szCs w:val="22"/>
        </w:rPr>
      </w:pPr>
    </w:p>
    <w:p w:rsidR="00B07300" w:rsidRPr="007443FC" w:rsidP="00635252" w14:paraId="7CA69390" w14:textId="77777777">
      <w:pPr>
        <w:pStyle w:val="Heading1"/>
        <w:widowControl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b w:val="0"/>
          <w:caps w:val="0"/>
          <w:spacing w:val="-2"/>
          <w:szCs w:val="22"/>
        </w:rPr>
        <w:tab/>
      </w:r>
      <w:r w:rsidRPr="007443FC">
        <w:rPr>
          <w:rFonts w:ascii="Times New Roman" w:hAnsi="Times New Roman"/>
          <w:b w:val="0"/>
          <w:caps w:val="0"/>
          <w:spacing w:val="-2"/>
          <w:szCs w:val="22"/>
        </w:rPr>
        <w:t>FEDERAL COMMUNICATIONS COMMISSION</w:t>
      </w:r>
    </w:p>
    <w:p w:rsidR="00B07300" w:rsidRPr="007443FC" w:rsidP="00635252" w14:paraId="1D77E377" w14:textId="77777777">
      <w:pPr>
        <w:pStyle w:val="Heading1"/>
        <w:widowControl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</w:p>
    <w:p w:rsidR="002A29D2" w:rsidRPr="007443FC" w:rsidP="00635252" w14:paraId="1B5E124A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2A29D2" w:rsidRPr="007443FC" w:rsidP="00635252" w14:paraId="02F0745B" w14:textId="6D38C9E6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AD7575" w:rsidP="00AD7575" w14:paraId="1AC95B6A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E56185" w:rsidRPr="007443FC" w:rsidP="00635252" w14:paraId="5DAC87DF" w14:textId="00F38F33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  <w:t>Mark Stephens</w:t>
      </w:r>
    </w:p>
    <w:p w:rsidR="00E56185" w:rsidRPr="007443FC" w:rsidP="00635252" w14:paraId="3EE5546D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  <w:t>Managing Director</w:t>
      </w:r>
    </w:p>
    <w:p w:rsidR="00506419" w:rsidRPr="007443FC" w:rsidP="00635252" w14:paraId="7EE49EFA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 w14:paraId="23B3E4AB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  <w:t>Approved by:</w:t>
      </w:r>
    </w:p>
    <w:p w:rsidR="00506419" w:rsidRPr="007443FC" w:rsidP="00635252" w14:paraId="475833BC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 w14:paraId="1DC5954E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 w14:paraId="3FFD9B4A" w14:textId="36A65E43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AD7575" w:rsidP="00AD7575" w14:paraId="50895323" w14:textId="7777777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</w:p>
    <w:p w:rsidR="00506419" w:rsidRPr="007443FC" w:rsidP="00635252" w14:paraId="7F3B4A6F" w14:textId="4B3BCF37">
      <w:pPr>
        <w:pStyle w:val="ParaNum"/>
        <w:keepNext/>
        <w:widowControl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 w:rsidR="002E1738">
        <w:rPr>
          <w:szCs w:val="22"/>
        </w:rPr>
        <w:t>Julius P. Knapp</w:t>
      </w:r>
    </w:p>
    <w:p w:rsidR="007F01A1" w:rsidRPr="007443FC" w:rsidP="00B52799" w14:paraId="20A37B63" w14:textId="77777777">
      <w:pPr>
        <w:pStyle w:val="ParaNum"/>
        <w:numPr>
          <w:ilvl w:val="0"/>
          <w:numId w:val="0"/>
        </w:numPr>
        <w:spacing w:after="0"/>
        <w:rPr>
          <w:szCs w:val="22"/>
        </w:rPr>
      </w:pP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</w:r>
      <w:r w:rsidRPr="007443FC">
        <w:rPr>
          <w:szCs w:val="22"/>
        </w:rPr>
        <w:tab/>
        <w:t xml:space="preserve">Chief, </w:t>
      </w:r>
      <w:r w:rsidRPr="007443FC" w:rsidR="002E1738">
        <w:rPr>
          <w:szCs w:val="22"/>
        </w:rPr>
        <w:t>Office of Engineering and Technology</w:t>
      </w:r>
    </w:p>
    <w:p w:rsidR="002E484C" w:rsidRPr="007443FC" w:rsidP="002E1738" w14:paraId="253CAF15" w14:textId="277B04C9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6C6657A0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7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5279BB" w14:paraId="38FD3050" w14:textId="16026337">
    <w:pPr>
      <w:pStyle w:val="Header"/>
    </w:pPr>
    <w:r>
      <w:tab/>
      <w:t>Federal Communications Commission</w:t>
    </w:r>
    <w:r>
      <w:tab/>
    </w:r>
    <w:r w:rsidR="00635252">
      <w:t>DA 19-614</w:t>
    </w:r>
  </w:p>
  <w:p w:rsidR="0060228B" w:rsidP="005279BB" w14:paraId="643350B7" w14:textId="77777777">
    <w:pPr>
      <w:pStyle w:val="Header"/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5279BB" w14:paraId="0411F91E" w14:textId="357361B2">
    <w:pPr>
      <w:pStyle w:val="Header"/>
    </w:pPr>
    <w:r>
      <w:tab/>
    </w:r>
    <w:r w:rsidRPr="002A29D2">
      <w:t>Federal Communications Commission</w:t>
    </w:r>
    <w:r>
      <w:tab/>
    </w:r>
    <w:r w:rsidR="00F60FD7">
      <w:t>DA 19-</w:t>
    </w:r>
    <w:r w:rsidR="00635252">
      <w:t>614</w:t>
    </w:r>
  </w:p>
  <w:p w:rsidR="0060228B" w:rsidP="005279BB" w14:paraId="408EA427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665B4"/>
    <w:multiLevelType w:val="hybridMultilevel"/>
    <w:tmpl w:val="4BC894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1"/>
  </w:num>
  <w:num w:numId="28">
    <w:abstractNumId w:val="0"/>
  </w:num>
  <w:num w:numId="29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E9"/>
    <w:rsid w:val="00003014"/>
    <w:rsid w:val="00007D17"/>
    <w:rsid w:val="00042AE5"/>
    <w:rsid w:val="000F719D"/>
    <w:rsid w:val="001367A2"/>
    <w:rsid w:val="001E5BAB"/>
    <w:rsid w:val="001F6399"/>
    <w:rsid w:val="00201A31"/>
    <w:rsid w:val="00277FE5"/>
    <w:rsid w:val="002857DB"/>
    <w:rsid w:val="002A29D2"/>
    <w:rsid w:val="002A4E36"/>
    <w:rsid w:val="002B14BB"/>
    <w:rsid w:val="002E1738"/>
    <w:rsid w:val="002E484C"/>
    <w:rsid w:val="0031543F"/>
    <w:rsid w:val="00385C41"/>
    <w:rsid w:val="003D22BB"/>
    <w:rsid w:val="004314C0"/>
    <w:rsid w:val="00456E40"/>
    <w:rsid w:val="00474214"/>
    <w:rsid w:val="004A2FBE"/>
    <w:rsid w:val="004B732A"/>
    <w:rsid w:val="004E2DD1"/>
    <w:rsid w:val="00506419"/>
    <w:rsid w:val="005279BB"/>
    <w:rsid w:val="00571965"/>
    <w:rsid w:val="005A09E4"/>
    <w:rsid w:val="005F5E72"/>
    <w:rsid w:val="0060228B"/>
    <w:rsid w:val="0062796E"/>
    <w:rsid w:val="00635252"/>
    <w:rsid w:val="00697983"/>
    <w:rsid w:val="006D5147"/>
    <w:rsid w:val="006D7B3A"/>
    <w:rsid w:val="006F56A0"/>
    <w:rsid w:val="007344C8"/>
    <w:rsid w:val="007411C5"/>
    <w:rsid w:val="007443FC"/>
    <w:rsid w:val="00745A2D"/>
    <w:rsid w:val="007A461B"/>
    <w:rsid w:val="007C2C37"/>
    <w:rsid w:val="007F01A1"/>
    <w:rsid w:val="00811592"/>
    <w:rsid w:val="008437AF"/>
    <w:rsid w:val="008445F0"/>
    <w:rsid w:val="008574C8"/>
    <w:rsid w:val="00864FB5"/>
    <w:rsid w:val="00880AC7"/>
    <w:rsid w:val="00891ADC"/>
    <w:rsid w:val="00895291"/>
    <w:rsid w:val="008A304E"/>
    <w:rsid w:val="008B7FE8"/>
    <w:rsid w:val="008D4FD4"/>
    <w:rsid w:val="008D53D7"/>
    <w:rsid w:val="008E0BAA"/>
    <w:rsid w:val="008F6E0D"/>
    <w:rsid w:val="0098236F"/>
    <w:rsid w:val="009D5FB2"/>
    <w:rsid w:val="00A40C14"/>
    <w:rsid w:val="00A66149"/>
    <w:rsid w:val="00A6678A"/>
    <w:rsid w:val="00A773D9"/>
    <w:rsid w:val="00AD7575"/>
    <w:rsid w:val="00B07300"/>
    <w:rsid w:val="00B216E9"/>
    <w:rsid w:val="00B33F77"/>
    <w:rsid w:val="00B40CD1"/>
    <w:rsid w:val="00B52799"/>
    <w:rsid w:val="00B87A3F"/>
    <w:rsid w:val="00B978E5"/>
    <w:rsid w:val="00BA5D96"/>
    <w:rsid w:val="00BA5FD9"/>
    <w:rsid w:val="00BE6A4D"/>
    <w:rsid w:val="00C70227"/>
    <w:rsid w:val="00D13BA1"/>
    <w:rsid w:val="00D976E3"/>
    <w:rsid w:val="00DB4005"/>
    <w:rsid w:val="00DF3E4D"/>
    <w:rsid w:val="00E00E22"/>
    <w:rsid w:val="00E462C2"/>
    <w:rsid w:val="00E56185"/>
    <w:rsid w:val="00E60467"/>
    <w:rsid w:val="00E7408B"/>
    <w:rsid w:val="00E91EF7"/>
    <w:rsid w:val="00EB1A95"/>
    <w:rsid w:val="00ED2EA8"/>
    <w:rsid w:val="00EF47E9"/>
    <w:rsid w:val="00F25801"/>
    <w:rsid w:val="00F42BFE"/>
    <w:rsid w:val="00F60FD7"/>
    <w:rsid w:val="00F9741B"/>
    <w:rsid w:val="00FC5D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5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35252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35252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35252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35252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35252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35252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35252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35252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35252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352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5252"/>
  </w:style>
  <w:style w:type="paragraph" w:styleId="Caption">
    <w:name w:val="caption"/>
    <w:basedOn w:val="Normal"/>
    <w:next w:val="Normal"/>
    <w:qFormat/>
    <w:rsid w:val="00A66149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635252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635252"/>
    <w:pPr>
      <w:spacing w:after="120"/>
    </w:pPr>
  </w:style>
  <w:style w:type="paragraph" w:customStyle="1" w:styleId="Bullet">
    <w:name w:val="Bullet"/>
    <w:basedOn w:val="Normal"/>
    <w:rsid w:val="00635252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635252"/>
    <w:pPr>
      <w:spacing w:after="240"/>
      <w:ind w:left="1440" w:right="1440"/>
    </w:pPr>
  </w:style>
  <w:style w:type="paragraph" w:customStyle="1" w:styleId="TableFormat">
    <w:name w:val="TableFormat"/>
    <w:basedOn w:val="Bullet"/>
    <w:rsid w:val="00635252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635252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63525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635252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63525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A66149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63525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63525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3525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3525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3525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3525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3525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3525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635252"/>
  </w:style>
  <w:style w:type="paragraph" w:styleId="Title">
    <w:name w:val="Title"/>
    <w:basedOn w:val="Normal"/>
    <w:qFormat/>
    <w:rsid w:val="00A66149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63525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6149"/>
    <w:rPr>
      <w:snapToGrid w:val="0"/>
      <w:kern w:val="28"/>
    </w:rPr>
  </w:style>
  <w:style w:type="character" w:styleId="EndnoteReference">
    <w:name w:val="endnote reference"/>
    <w:rsid w:val="00635252"/>
    <w:rPr>
      <w:vertAlign w:val="superscript"/>
    </w:rPr>
  </w:style>
  <w:style w:type="paragraph" w:styleId="TOAHeading">
    <w:name w:val="toa heading"/>
    <w:basedOn w:val="Normal"/>
    <w:next w:val="Normal"/>
    <w:rsid w:val="0063525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35252"/>
  </w:style>
  <w:style w:type="paragraph" w:customStyle="1" w:styleId="Paratitle">
    <w:name w:val="Para title"/>
    <w:basedOn w:val="Normal"/>
    <w:rsid w:val="00635252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63525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3525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352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A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5A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A2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A2D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74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5A2D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A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78E5"/>
    <w:pPr>
      <w:ind w:left="720"/>
      <w:contextualSpacing/>
    </w:pPr>
  </w:style>
  <w:style w:type="paragraph" w:styleId="Revision">
    <w:name w:val="Revision"/>
    <w:hidden/>
    <w:uiPriority w:val="99"/>
    <w:semiHidden/>
    <w:rsid w:val="007A461B"/>
    <w:rPr>
      <w:snapToGrid w:val="0"/>
      <w:kern w:val="28"/>
      <w:sz w:val="22"/>
    </w:rPr>
  </w:style>
  <w:style w:type="character" w:customStyle="1" w:styleId="FooterChar">
    <w:name w:val="Footer Char"/>
    <w:link w:val="Footer"/>
    <w:uiPriority w:val="99"/>
    <w:rsid w:val="0063525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