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>DA 1</w:t>
      </w:r>
      <w:r w:rsidR="00255CB0">
        <w:rPr>
          <w:rFonts w:ascii="Times New Roman" w:hAnsi="Times New Roman"/>
          <w:b/>
          <w:sz w:val="22"/>
          <w:szCs w:val="22"/>
        </w:rPr>
        <w:t>9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486797">
        <w:rPr>
          <w:rFonts w:ascii="Times New Roman" w:hAnsi="Times New Roman"/>
          <w:b/>
          <w:sz w:val="22"/>
          <w:szCs w:val="22"/>
        </w:rPr>
        <w:t>618</w:t>
      </w:r>
      <w:bookmarkStart w:id="1" w:name="_GoBack"/>
      <w:bookmarkEnd w:id="1"/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</w:t>
      </w:r>
      <w:r w:rsidR="00C421D3">
        <w:rPr>
          <w:rFonts w:ascii="Times New Roman" w:hAnsi="Times New Roman"/>
          <w:b/>
          <w:sz w:val="22"/>
          <w:szCs w:val="22"/>
        </w:rPr>
        <w:t>ly 2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201</w:t>
      </w:r>
      <w:r w:rsidR="00255CB0">
        <w:rPr>
          <w:rFonts w:ascii="Times New Roman" w:hAnsi="Times New Roman"/>
          <w:b/>
          <w:sz w:val="22"/>
          <w:szCs w:val="22"/>
        </w:rPr>
        <w:t>9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2336571"/>
      <w:bookmarkStart w:id="3" w:name="_Hlk501708422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2"/>
    </w:p>
    <w:bookmarkEnd w:id="3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5B22B2" w:rsidP="005B22B2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Pr="005B22B2">
        <w:rPr>
          <w:rFonts w:ascii="Times New Roman" w:hAnsi="Times New Roman"/>
          <w:snapToGrid/>
          <w:sz w:val="22"/>
          <w:szCs w:val="22"/>
        </w:rPr>
        <w:t>Thursday, July 18, 2019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Pr="005B22B2">
        <w:rPr>
          <w:rFonts w:ascii="Times New Roman" w:hAnsi="Times New Roman"/>
          <w:snapToGrid/>
          <w:sz w:val="22"/>
          <w:szCs w:val="22"/>
        </w:rPr>
        <w:t>Beginning at 10:00 a.m., the Region 21 800 MHz RPC will convene at the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5B22B2">
        <w:rPr>
          <w:rFonts w:ascii="Times New Roman" w:hAnsi="Times New Roman"/>
          <w:snapToGrid/>
          <w:sz w:val="22"/>
          <w:szCs w:val="22"/>
        </w:rPr>
        <w:t>MDOT North Regional Office</w:t>
      </w:r>
      <w:r>
        <w:rPr>
          <w:rFonts w:ascii="Times New Roman" w:hAnsi="Times New Roman"/>
          <w:snapToGrid/>
          <w:sz w:val="22"/>
          <w:szCs w:val="22"/>
        </w:rPr>
        <w:t>,</w:t>
      </w:r>
      <w:r w:rsidRPr="005B22B2">
        <w:rPr>
          <w:rFonts w:ascii="Times New Roman" w:hAnsi="Times New Roman"/>
          <w:snapToGrid/>
          <w:sz w:val="22"/>
          <w:szCs w:val="22"/>
        </w:rPr>
        <w:t>1088 M-32 East,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5B22B2">
        <w:rPr>
          <w:rFonts w:ascii="Times New Roman" w:hAnsi="Times New Roman"/>
          <w:snapToGrid/>
          <w:sz w:val="22"/>
          <w:szCs w:val="22"/>
        </w:rPr>
        <w:t>Gaylord, MI 49735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5B22B2" w:rsidP="00DE14BF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Pr="005B22B2" w:rsidR="005B22B2">
        <w:rPr>
          <w:rFonts w:ascii="Times New Roman" w:hAnsi="Times New Roman"/>
          <w:snapToGrid/>
          <w:sz w:val="22"/>
          <w:szCs w:val="22"/>
        </w:rPr>
        <w:t xml:space="preserve">May 16, 2019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RP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RPr="00D46A3A" w:rsidP="00D46A3A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5E02E6" w:rsidRPr="00B61AE6" w:rsidP="00B61A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46A3A">
        <w:rPr>
          <w:rFonts w:ascii="Times New Roman" w:hAnsi="Times New Roman"/>
          <w:sz w:val="22"/>
        </w:rPr>
        <w:t>September</w:t>
      </w:r>
      <w:r w:rsidR="00DE14BF">
        <w:rPr>
          <w:rFonts w:ascii="Times New Roman" w:hAnsi="Times New Roman"/>
          <w:sz w:val="22"/>
        </w:rPr>
        <w:t xml:space="preserve"> 18</w:t>
      </w:r>
      <w:r w:rsidRPr="00A37371">
        <w:rPr>
          <w:rFonts w:ascii="Times New Roman" w:hAnsi="Times New Roman"/>
          <w:sz w:val="22"/>
        </w:rPr>
        <w:t>, 2019,</w:t>
      </w:r>
      <w:r w:rsidR="00D46A3A">
        <w:rPr>
          <w:rFonts w:ascii="Times New Roman" w:hAnsi="Times New Roman"/>
          <w:sz w:val="22"/>
        </w:rPr>
        <w:t xml:space="preserve"> </w:t>
      </w:r>
      <w:r w:rsidRPr="00D46A3A" w:rsidR="00D46A3A">
        <w:rPr>
          <w:rFonts w:ascii="Times New Roman" w:hAnsi="Times New Roman"/>
          <w:sz w:val="22"/>
        </w:rPr>
        <w:t>HVA, Ann Arbor, MI</w:t>
      </w:r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DE14BF" w:rsidP="00DE14BF">
      <w:pPr>
        <w:widowControl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DE14BF">
        <w:rPr>
          <w:rFonts w:ascii="Times New Roman" w:hAnsi="Times New Roman"/>
          <w:snapToGrid/>
          <w:sz w:val="22"/>
          <w:szCs w:val="22"/>
        </w:rPr>
        <w:t>Ma</w:t>
      </w:r>
      <w:r w:rsidR="00D46A3A">
        <w:rPr>
          <w:rFonts w:ascii="Times New Roman" w:hAnsi="Times New Roman"/>
          <w:snapToGrid/>
          <w:sz w:val="22"/>
          <w:szCs w:val="22"/>
        </w:rPr>
        <w:t>y</w:t>
      </w:r>
      <w:r w:rsidR="00DE14BF">
        <w:rPr>
          <w:rFonts w:ascii="Times New Roman" w:hAnsi="Times New Roman"/>
          <w:snapToGrid/>
          <w:sz w:val="22"/>
          <w:szCs w:val="22"/>
        </w:rPr>
        <w:t xml:space="preserve"> 1</w:t>
      </w:r>
      <w:r w:rsidR="00D46A3A">
        <w:rPr>
          <w:rFonts w:ascii="Times New Roman" w:hAnsi="Times New Roman"/>
          <w:snapToGrid/>
          <w:sz w:val="22"/>
          <w:szCs w:val="22"/>
        </w:rPr>
        <w:t>6</w:t>
      </w:r>
      <w:r w:rsidR="00DE14BF">
        <w:rPr>
          <w:rFonts w:ascii="Times New Roman" w:hAnsi="Times New Roman"/>
          <w:snapToGrid/>
          <w:sz w:val="22"/>
          <w:szCs w:val="22"/>
        </w:rPr>
        <w:t>,</w:t>
      </w:r>
      <w:r>
        <w:rPr>
          <w:rFonts w:ascii="Times New Roman" w:hAnsi="Times New Roman"/>
          <w:snapToGrid/>
          <w:sz w:val="22"/>
          <w:szCs w:val="22"/>
        </w:rPr>
        <w:t xml:space="preserve"> 2019</w:t>
      </w:r>
      <w:r w:rsidRPr="00A23EA3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F5AA5" w:rsidRPr="00A37371" w:rsidP="00A37371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A37371">
        <w:rPr>
          <w:rFonts w:ascii="Times New Roman" w:hAnsi="Times New Roman"/>
          <w:sz w:val="22"/>
        </w:rPr>
        <w:t xml:space="preserve">Next meeting:  </w:t>
      </w:r>
      <w:r w:rsidRPr="00DA3BCB">
        <w:rPr>
          <w:rFonts w:ascii="Times New Roman" w:hAnsi="Times New Roman"/>
          <w:sz w:val="22"/>
        </w:rPr>
        <w:t>September 18, 2019, HVA, Ann Arbor, MI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4"/>
  </w:num>
  <w:num w:numId="16">
    <w:abstractNumId w:val="3"/>
  </w:num>
  <w:num w:numId="17">
    <w:abstractNumId w:val="33"/>
  </w:num>
  <w:num w:numId="18">
    <w:abstractNumId w:val="8"/>
  </w:num>
  <w:num w:numId="19">
    <w:abstractNumId w:val="35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A66A9"/>
    <w:rsid w:val="000B15E4"/>
    <w:rsid w:val="000C12B4"/>
    <w:rsid w:val="000D5601"/>
    <w:rsid w:val="00180909"/>
    <w:rsid w:val="001D693D"/>
    <w:rsid w:val="00255CB0"/>
    <w:rsid w:val="0029747F"/>
    <w:rsid w:val="00317FB6"/>
    <w:rsid w:val="003207E4"/>
    <w:rsid w:val="0042773B"/>
    <w:rsid w:val="00486797"/>
    <w:rsid w:val="004B38DE"/>
    <w:rsid w:val="005B22B2"/>
    <w:rsid w:val="005D7741"/>
    <w:rsid w:val="005E02E6"/>
    <w:rsid w:val="006818F1"/>
    <w:rsid w:val="006A171D"/>
    <w:rsid w:val="006A3F86"/>
    <w:rsid w:val="006A5494"/>
    <w:rsid w:val="006D1AF3"/>
    <w:rsid w:val="006F12CB"/>
    <w:rsid w:val="006F63A0"/>
    <w:rsid w:val="0076498C"/>
    <w:rsid w:val="00804ED0"/>
    <w:rsid w:val="008923F2"/>
    <w:rsid w:val="00961500"/>
    <w:rsid w:val="009D0E9A"/>
    <w:rsid w:val="00A178C8"/>
    <w:rsid w:val="00A23EA3"/>
    <w:rsid w:val="00A37371"/>
    <w:rsid w:val="00B530AC"/>
    <w:rsid w:val="00B61AE6"/>
    <w:rsid w:val="00BF60D4"/>
    <w:rsid w:val="00C35895"/>
    <w:rsid w:val="00C421D3"/>
    <w:rsid w:val="00C90789"/>
    <w:rsid w:val="00CF5AA5"/>
    <w:rsid w:val="00D46A3A"/>
    <w:rsid w:val="00DA3BCB"/>
    <w:rsid w:val="00DB48BB"/>
    <w:rsid w:val="00DE14BF"/>
    <w:rsid w:val="00E277F2"/>
    <w:rsid w:val="00F63882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