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47021" w:rsidRPr="00247021" w:rsidP="00247021" w14:paraId="618B5D5D" w14:textId="77777777">
      <w:pPr>
        <w:jc w:val="center"/>
        <w:rPr>
          <w:rFonts w:ascii="Times New Roman Bold" w:hAnsi="Times New Roman Bold"/>
          <w:b/>
          <w:kern w:val="0"/>
          <w:szCs w:val="22"/>
        </w:rPr>
      </w:pPr>
      <w:r w:rsidRPr="00247021">
        <w:rPr>
          <w:rFonts w:ascii="Times New Roman Bold" w:hAnsi="Times New Roman Bold"/>
          <w:b/>
          <w:kern w:val="0"/>
          <w:szCs w:val="22"/>
        </w:rPr>
        <w:t>Before the</w:t>
      </w:r>
    </w:p>
    <w:p w:rsidR="00247021" w:rsidRPr="00247021" w:rsidP="00247021" w14:paraId="3A89988B" w14:textId="77777777">
      <w:pPr>
        <w:jc w:val="center"/>
        <w:rPr>
          <w:rFonts w:ascii="Times New Roman Bold" w:hAnsi="Times New Roman Bold"/>
          <w:b/>
          <w:bCs/>
          <w:kern w:val="0"/>
          <w:szCs w:val="22"/>
        </w:rPr>
      </w:pPr>
      <w:r w:rsidRPr="00247021">
        <w:rPr>
          <w:rFonts w:ascii="Times New Roman Bold" w:hAnsi="Times New Roman Bold"/>
          <w:b/>
          <w:bCs/>
          <w:kern w:val="0"/>
          <w:szCs w:val="22"/>
        </w:rPr>
        <w:t>Federal Communications Commission</w:t>
      </w:r>
    </w:p>
    <w:p w:rsidR="00247021" w:rsidRPr="00247021" w:rsidP="00247021" w14:paraId="4BADEB94" w14:textId="77777777">
      <w:pPr>
        <w:jc w:val="center"/>
        <w:rPr>
          <w:rFonts w:ascii="Times New Roman Bold" w:hAnsi="Times New Roman Bold"/>
          <w:b/>
          <w:bCs/>
          <w:kern w:val="0"/>
          <w:szCs w:val="22"/>
        </w:rPr>
      </w:pPr>
      <w:r w:rsidRPr="00247021">
        <w:rPr>
          <w:rFonts w:ascii="Times New Roman Bold" w:hAnsi="Times New Roman Bold"/>
          <w:b/>
          <w:bCs/>
          <w:kern w:val="0"/>
          <w:szCs w:val="22"/>
        </w:rPr>
        <w:t>Washington, D.C. 20554</w:t>
      </w:r>
    </w:p>
    <w:p w:rsidR="00247021" w:rsidP="00FB124B" w14:paraId="53D6D8BE" w14:textId="650C1747">
      <w:pPr>
        <w:rPr>
          <w:rFonts w:ascii="Times New Roman Bold" w:hAnsi="Times New Roman Bold"/>
          <w:b/>
          <w:kern w:val="0"/>
          <w:szCs w:val="22"/>
        </w:rPr>
      </w:pPr>
    </w:p>
    <w:p w:rsidR="0065713D" w:rsidRPr="00247021" w:rsidP="00FB124B" w14:paraId="1BE5F20A" w14:textId="77777777">
      <w:pPr>
        <w:rPr>
          <w:rFonts w:ascii="Times New Roman Bold" w:hAnsi="Times New Roman Bold"/>
          <w:b/>
          <w:kern w:val="0"/>
          <w:szCs w:val="22"/>
        </w:rPr>
      </w:pPr>
    </w:p>
    <w:tbl>
      <w:tblPr>
        <w:tblW w:w="0" w:type="auto"/>
        <w:tblLayout w:type="fixed"/>
        <w:tblLook w:val="0000"/>
      </w:tblPr>
      <w:tblGrid>
        <w:gridCol w:w="4698"/>
        <w:gridCol w:w="630"/>
        <w:gridCol w:w="4248"/>
      </w:tblGrid>
      <w:tr w14:paraId="62CC6028" w14:textId="77777777" w:rsidTr="009375B5">
        <w:tblPrEx>
          <w:tblW w:w="0" w:type="auto"/>
          <w:tblLayout w:type="fixed"/>
          <w:tblLook w:val="0000"/>
        </w:tblPrEx>
        <w:tc>
          <w:tcPr>
            <w:tcW w:w="4698" w:type="dxa"/>
          </w:tcPr>
          <w:p w:rsidR="00247021" w:rsidRPr="00247021" w:rsidP="00247021" w14:paraId="7445D978" w14:textId="77777777">
            <w:r w:rsidRPr="00247021">
              <w:t>In the Matter of</w:t>
            </w:r>
          </w:p>
          <w:p w:rsidR="00247021" w:rsidRPr="00247021" w:rsidP="00247021" w14:paraId="36B4D8BD" w14:textId="77777777"/>
          <w:p w:rsidR="00247021" w:rsidRPr="00247021" w:rsidP="00247021" w14:paraId="52EBA626" w14:textId="77777777">
            <w:r w:rsidRPr="00247021">
              <w:t>Winston Tulloch,</w:t>
            </w:r>
          </w:p>
          <w:p w:rsidR="00247021" w:rsidRPr="00247021" w:rsidP="00247021" w14:paraId="3551D154" w14:textId="77777777">
            <w:r w:rsidRPr="00247021">
              <w:t>Paterson, New Jersey</w:t>
            </w:r>
          </w:p>
        </w:tc>
        <w:tc>
          <w:tcPr>
            <w:tcW w:w="630" w:type="dxa"/>
          </w:tcPr>
          <w:p w:rsidR="00247021" w:rsidRPr="00247021" w:rsidP="00247021" w14:paraId="1ED84EF9" w14:textId="77777777">
            <w:r w:rsidRPr="00247021">
              <w:t>)</w:t>
            </w:r>
          </w:p>
          <w:p w:rsidR="00247021" w:rsidRPr="00247021" w:rsidP="00247021" w14:paraId="6B5A568F" w14:textId="77777777">
            <w:r w:rsidRPr="00247021">
              <w:t>)</w:t>
            </w:r>
          </w:p>
          <w:p w:rsidR="00247021" w:rsidRPr="00247021" w:rsidP="00247021" w14:paraId="03B79D52" w14:textId="77777777">
            <w:r w:rsidRPr="00247021">
              <w:t>)</w:t>
            </w:r>
          </w:p>
          <w:p w:rsidR="00247021" w:rsidRPr="00247021" w:rsidP="00247021" w14:paraId="361AFF86" w14:textId="77777777">
            <w:r w:rsidRPr="00247021">
              <w:t>)</w:t>
            </w:r>
          </w:p>
          <w:p w:rsidR="00247021" w:rsidRPr="00247021" w:rsidP="00247021" w14:paraId="44C97C04" w14:textId="77777777">
            <w:r w:rsidRPr="00247021">
              <w:t>)</w:t>
            </w:r>
          </w:p>
          <w:p w:rsidR="00247021" w:rsidRPr="00247021" w:rsidP="00247021" w14:paraId="00A7721C" w14:textId="77777777">
            <w:r w:rsidRPr="00247021">
              <w:t>)</w:t>
            </w:r>
          </w:p>
        </w:tc>
        <w:tc>
          <w:tcPr>
            <w:tcW w:w="4248" w:type="dxa"/>
          </w:tcPr>
          <w:p w:rsidR="00247021" w:rsidRPr="00247021" w:rsidP="00247021" w14:paraId="32D148AE" w14:textId="77777777"/>
          <w:p w:rsidR="00247021" w:rsidRPr="00247021" w:rsidP="00247021" w14:paraId="21DE1102" w14:textId="77777777">
            <w:r w:rsidRPr="00247021">
              <w:t>File No.: EB-FIELDNER-15-00019211</w:t>
            </w:r>
          </w:p>
          <w:p w:rsidR="00247021" w:rsidRPr="00247021" w:rsidP="00247021" w14:paraId="5F3F37E1" w14:textId="77777777">
            <w:r w:rsidRPr="00247021">
              <w:t>NAL/Acct. No.: 201832010001</w:t>
            </w:r>
          </w:p>
          <w:p w:rsidR="00247021" w:rsidRPr="00247021" w:rsidP="00247021" w14:paraId="174F9323" w14:textId="77777777">
            <w:r w:rsidRPr="00247021">
              <w:t>FRN: 0015762370</w:t>
            </w:r>
          </w:p>
        </w:tc>
      </w:tr>
    </w:tbl>
    <w:p w:rsidR="00247021" w:rsidRPr="00247021" w:rsidP="00247021" w14:paraId="5591D272" w14:textId="77777777">
      <w:pPr>
        <w:jc w:val="center"/>
        <w:rPr>
          <w:rFonts w:ascii="Times New Roman Bold" w:hAnsi="Times New Roman Bold"/>
          <w:b/>
          <w:kern w:val="0"/>
          <w:szCs w:val="22"/>
        </w:rPr>
      </w:pPr>
    </w:p>
    <w:p w:rsidR="00247021" w:rsidRPr="00247021" w:rsidP="003D0B3C" w14:paraId="5643392D" w14:textId="77777777">
      <w:pPr>
        <w:pStyle w:val="StyleBoldCentered"/>
        <w:rPr>
          <w:kern w:val="0"/>
        </w:rPr>
      </w:pPr>
      <w:r w:rsidRPr="003D0B3C">
        <w:t>Order</w:t>
      </w:r>
    </w:p>
    <w:p w:rsidR="00247021" w:rsidRPr="00247021" w:rsidP="00247021" w14:paraId="6BF56469" w14:textId="77777777">
      <w:pPr>
        <w:jc w:val="center"/>
        <w:rPr>
          <w:rFonts w:ascii="Times New Roman Bold" w:hAnsi="Times New Roman Bold"/>
          <w:b/>
          <w:kern w:val="0"/>
          <w:szCs w:val="22"/>
        </w:rPr>
      </w:pPr>
    </w:p>
    <w:p w:rsidR="00247021" w:rsidRPr="00247021" w:rsidP="00B4634C" w14:paraId="401A1405" w14:textId="188F80B5">
      <w:pPr>
        <w:tabs>
          <w:tab w:val="right" w:pos="9360"/>
        </w:tabs>
        <w:rPr>
          <w:rFonts w:ascii="Times New Roman Bold" w:hAnsi="Times New Roman Bold"/>
          <w:b/>
          <w:kern w:val="0"/>
          <w:szCs w:val="22"/>
        </w:rPr>
      </w:pPr>
      <w:r w:rsidRPr="00247021">
        <w:rPr>
          <w:rFonts w:ascii="Times New Roman Bold" w:hAnsi="Times New Roman Bold"/>
          <w:b/>
          <w:kern w:val="0"/>
          <w:szCs w:val="22"/>
        </w:rPr>
        <w:t xml:space="preserve">Adopted:  </w:t>
      </w:r>
      <w:r w:rsidR="00BB1C64">
        <w:rPr>
          <w:rFonts w:ascii="Times New Roman Bold" w:hAnsi="Times New Roman Bold"/>
          <w:b/>
          <w:kern w:val="0"/>
          <w:szCs w:val="22"/>
        </w:rPr>
        <w:t xml:space="preserve">February </w:t>
      </w:r>
      <w:r w:rsidR="0065713D">
        <w:rPr>
          <w:rFonts w:ascii="Times New Roman Bold" w:hAnsi="Times New Roman Bold"/>
          <w:b/>
          <w:kern w:val="0"/>
          <w:szCs w:val="22"/>
        </w:rPr>
        <w:t>26</w:t>
      </w:r>
      <w:r w:rsidR="00BB1C64">
        <w:rPr>
          <w:rFonts w:ascii="Times New Roman Bold" w:hAnsi="Times New Roman Bold"/>
          <w:b/>
          <w:kern w:val="0"/>
          <w:szCs w:val="22"/>
        </w:rPr>
        <w:t>, 2019</w:t>
      </w:r>
      <w:r w:rsidRPr="00247021">
        <w:rPr>
          <w:rFonts w:ascii="Times New Roman Bold" w:hAnsi="Times New Roman Bold"/>
          <w:b/>
          <w:kern w:val="0"/>
          <w:szCs w:val="22"/>
        </w:rPr>
        <w:tab/>
        <w:t xml:space="preserve">Released:  </w:t>
      </w:r>
      <w:r w:rsidR="00BB1C64">
        <w:rPr>
          <w:rFonts w:ascii="Times New Roman Bold" w:hAnsi="Times New Roman Bold"/>
          <w:b/>
          <w:kern w:val="0"/>
          <w:szCs w:val="22"/>
        </w:rPr>
        <w:t xml:space="preserve">February </w:t>
      </w:r>
      <w:r w:rsidR="0065713D">
        <w:rPr>
          <w:rFonts w:ascii="Times New Roman Bold" w:hAnsi="Times New Roman Bold"/>
          <w:b/>
          <w:kern w:val="0"/>
          <w:szCs w:val="22"/>
        </w:rPr>
        <w:t>26</w:t>
      </w:r>
      <w:r w:rsidR="00BB1C64">
        <w:rPr>
          <w:rFonts w:ascii="Times New Roman Bold" w:hAnsi="Times New Roman Bold"/>
          <w:b/>
          <w:kern w:val="0"/>
          <w:szCs w:val="22"/>
        </w:rPr>
        <w:t>, 2019</w:t>
      </w:r>
    </w:p>
    <w:p w:rsidR="00247021" w:rsidRPr="00247021" w:rsidP="00247021" w14:paraId="437ED1AB" w14:textId="77777777">
      <w:pPr>
        <w:jc w:val="center"/>
        <w:rPr>
          <w:rFonts w:ascii="Times New Roman Bold" w:hAnsi="Times New Roman Bold"/>
          <w:b/>
          <w:kern w:val="0"/>
          <w:szCs w:val="22"/>
        </w:rPr>
      </w:pPr>
    </w:p>
    <w:p w:rsidR="00247021" w:rsidRPr="00247021" w:rsidP="00853AEC" w14:paraId="733E5C64" w14:textId="77777777">
      <w:r w:rsidRPr="00247021">
        <w:t>By the Chief, Enforcement Bureau:</w:t>
      </w:r>
    </w:p>
    <w:p w:rsidR="00247021" w:rsidRPr="00247021" w:rsidP="00853AEC" w14:paraId="3A6B6F46" w14:textId="77777777"/>
    <w:p w:rsidR="00247021" w:rsidRPr="00247021" w:rsidP="0082290F" w14:paraId="4698AF83" w14:textId="77777777">
      <w:pPr>
        <w:pStyle w:val="ParaNum"/>
        <w:numPr>
          <w:ilvl w:val="0"/>
          <w:numId w:val="6"/>
        </w:numPr>
        <w:tabs>
          <w:tab w:val="clear" w:pos="1080"/>
          <w:tab w:val="num" w:pos="1440"/>
        </w:tabs>
      </w:pPr>
      <w:r w:rsidRPr="00247021">
        <w:t xml:space="preserve">The Enforcement Bureau (Bureau) of the Federal Communications Commission (Commission) has </w:t>
      </w:r>
      <w:r w:rsidRPr="00247021">
        <w:t>entered into</w:t>
      </w:r>
      <w:r w:rsidRPr="00247021">
        <w:t xml:space="preserve"> a Consent Decree to resolve its investigation into whether Winston Tulloch (Mr. Tulloch)</w:t>
      </w:r>
      <w:r>
        <w:rPr>
          <w:vertAlign w:val="superscript"/>
        </w:rPr>
        <w:footnoteReference w:id="3"/>
      </w:r>
      <w:r w:rsidRPr="00247021">
        <w:t xml:space="preserve"> operated an unauthorized radio station on 90.9 MHz in Paterson, New Jersey.  Unlicensed radio stations create a danger of interference to licensed communications, including other broadcasters, aviation, and public safety frequencies.  Such operations also undermine the Commission’s authority over broadcast radio operations. Moreover, unlicensed radio stations do not broadcast Emergency Alert Service messages and thereby create a public safety hazard for their listeners.  To settle this matter, Mr. Tulloch admits that he operated an unauthorized radio station, agrees not to operate an unauthorized radio station in the future, and will pay a $1,500 civil penalty.  However, Mr. Tulloch will pay an additional civil penalty of $23,500 if the Commission finds that he operates an unauthorized radio station during the next twenty years or that he misled the Commission regarding his current financial status.</w:t>
      </w:r>
    </w:p>
    <w:p w:rsidR="00247021" w:rsidRPr="00247021" w:rsidP="0082290F" w14:paraId="6A9221AF" w14:textId="04D2414E">
      <w:pPr>
        <w:pStyle w:val="ParaNum"/>
        <w:numPr>
          <w:ilvl w:val="0"/>
          <w:numId w:val="6"/>
        </w:numPr>
        <w:tabs>
          <w:tab w:val="clear" w:pos="1080"/>
          <w:tab w:val="num" w:pos="1440"/>
        </w:tabs>
      </w:pPr>
      <w:r w:rsidRPr="00247021">
        <w:t>After reviewing the terms of the Consent Decree and evaluating the facts before us, we find that the public interest would be served by adopting the Consent Decree and resolving the Notice of Apparent Liability for Forfeiture</w:t>
      </w:r>
      <w:r w:rsidR="007A14F7">
        <w:t xml:space="preserve"> (</w:t>
      </w:r>
      <w:r w:rsidRPr="00874A0C" w:rsidR="007A14F7">
        <w:t>NAL</w:t>
      </w:r>
      <w:r w:rsidR="007A14F7">
        <w:t>)</w:t>
      </w:r>
      <w:r>
        <w:rPr>
          <w:vertAlign w:val="superscript"/>
        </w:rPr>
        <w:footnoteReference w:id="4"/>
      </w:r>
      <w:r w:rsidRPr="00247021">
        <w:t xml:space="preserve"> and subsequent Forfeiture Order</w:t>
      </w:r>
      <w:r>
        <w:rPr>
          <w:vertAlign w:val="superscript"/>
        </w:rPr>
        <w:footnoteReference w:id="5"/>
      </w:r>
      <w:r w:rsidRPr="00247021">
        <w:t xml:space="preserve"> regarding Mr. Tulloch’s compliance with operating an unauthorized radio station in violation of Section 301 of the Communications Act of 1934, as amended (Act).</w:t>
      </w:r>
      <w:r>
        <w:rPr>
          <w:vertAlign w:val="superscript"/>
        </w:rPr>
        <w:footnoteReference w:id="6"/>
      </w:r>
    </w:p>
    <w:p w:rsidR="00247021" w:rsidRPr="00247021" w:rsidP="0082290F" w14:paraId="03232266" w14:textId="77777777">
      <w:pPr>
        <w:pStyle w:val="ParaNum"/>
        <w:numPr>
          <w:ilvl w:val="0"/>
          <w:numId w:val="6"/>
        </w:numPr>
        <w:tabs>
          <w:tab w:val="clear" w:pos="1080"/>
          <w:tab w:val="num" w:pos="1440"/>
        </w:tabs>
      </w:pPr>
      <w:r w:rsidRPr="00247021">
        <w:t>In the absence of material new evidence relating to this matter, we do not set for hearing the question of Mr. Tulloch’s basic qualifications to hold or obtain any Commission license or authorization.</w:t>
      </w:r>
      <w:r>
        <w:rPr>
          <w:vertAlign w:val="superscript"/>
        </w:rPr>
        <w:footnoteReference w:id="7"/>
      </w:r>
    </w:p>
    <w:p w:rsidR="00247021" w:rsidRPr="00247021" w:rsidP="0082290F" w14:paraId="75EB6523" w14:textId="77777777">
      <w:pPr>
        <w:pStyle w:val="ParaNum"/>
        <w:widowControl/>
        <w:numPr>
          <w:ilvl w:val="0"/>
          <w:numId w:val="6"/>
        </w:numPr>
        <w:tabs>
          <w:tab w:val="clear" w:pos="1080"/>
          <w:tab w:val="num" w:pos="1440"/>
        </w:tabs>
      </w:pPr>
      <w:r w:rsidRPr="00247021">
        <w:t xml:space="preserve">Accordingly, </w:t>
      </w:r>
      <w:r w:rsidRPr="002B3C8D">
        <w:rPr>
          <w:b/>
        </w:rPr>
        <w:t>IT IS ORDERED</w:t>
      </w:r>
      <w:r w:rsidRPr="00247021">
        <w:t xml:space="preserve"> that, pursuant to Sections 4(i) and 503(b) of the Act</w:t>
      </w:r>
      <w:r>
        <w:rPr>
          <w:vertAlign w:val="superscript"/>
        </w:rPr>
        <w:footnoteReference w:id="8"/>
      </w:r>
      <w:r w:rsidRPr="00247021">
        <w:t xml:space="preserve"> and the authority delegated by Sections 0.111 and 0.311 of the Commission’s rules,</w:t>
      </w:r>
      <w:r>
        <w:rPr>
          <w:vertAlign w:val="superscript"/>
        </w:rPr>
        <w:footnoteReference w:id="9"/>
      </w:r>
      <w:r w:rsidRPr="00247021">
        <w:t xml:space="preserve"> the attached Consent Decree </w:t>
      </w:r>
      <w:r w:rsidRPr="002B3C8D">
        <w:rPr>
          <w:b/>
        </w:rPr>
        <w:t xml:space="preserve">IS </w:t>
      </w:r>
      <w:r w:rsidRPr="002B3C8D">
        <w:rPr>
          <w:b/>
        </w:rPr>
        <w:t>ADOPTED</w:t>
      </w:r>
      <w:r w:rsidRPr="00247021">
        <w:t xml:space="preserve"> and its terms incorporated by reference. </w:t>
      </w:r>
    </w:p>
    <w:p w:rsidR="00247021" w:rsidRPr="00247021" w:rsidP="0082290F" w14:paraId="6293F7DC" w14:textId="77777777">
      <w:pPr>
        <w:pStyle w:val="ParaNum"/>
        <w:numPr>
          <w:ilvl w:val="0"/>
          <w:numId w:val="6"/>
        </w:numPr>
        <w:tabs>
          <w:tab w:val="clear" w:pos="1080"/>
          <w:tab w:val="num" w:pos="1440"/>
        </w:tabs>
      </w:pPr>
      <w:r w:rsidRPr="002B3C8D">
        <w:rPr>
          <w:b/>
        </w:rPr>
        <w:t>IT IS FURTHER ORDERED</w:t>
      </w:r>
      <w:r w:rsidRPr="00247021">
        <w:t xml:space="preserve"> that the above-captioned matter </w:t>
      </w:r>
      <w:r w:rsidRPr="002B3C8D">
        <w:rPr>
          <w:b/>
        </w:rPr>
        <w:t>IS TERMINATED</w:t>
      </w:r>
      <w:r w:rsidRPr="00247021">
        <w:t xml:space="preserve">, that the Forfeiture Order </w:t>
      </w:r>
      <w:r w:rsidRPr="002B3C8D">
        <w:rPr>
          <w:b/>
        </w:rPr>
        <w:t>IS RESCINDED</w:t>
      </w:r>
      <w:r w:rsidRPr="00247021">
        <w:t xml:space="preserve"> and the </w:t>
      </w:r>
      <w:bookmarkStart w:id="0" w:name="_GoBack"/>
      <w:r w:rsidRPr="00874A0C">
        <w:rPr>
          <w:b/>
        </w:rPr>
        <w:t>NAL</w:t>
      </w:r>
      <w:r w:rsidRPr="002B3C8D">
        <w:rPr>
          <w:b/>
        </w:rPr>
        <w:t xml:space="preserve"> </w:t>
      </w:r>
      <w:bookmarkEnd w:id="0"/>
      <w:r w:rsidRPr="002B3C8D">
        <w:rPr>
          <w:b/>
        </w:rPr>
        <w:t>IS CANCELED</w:t>
      </w:r>
      <w:r w:rsidRPr="00247021">
        <w:t>.</w:t>
      </w:r>
    </w:p>
    <w:p w:rsidR="00247021" w:rsidRPr="00247021" w:rsidP="0082290F" w14:paraId="6198A556" w14:textId="77777777">
      <w:pPr>
        <w:pStyle w:val="ParaNum"/>
        <w:numPr>
          <w:ilvl w:val="0"/>
          <w:numId w:val="6"/>
        </w:numPr>
        <w:tabs>
          <w:tab w:val="clear" w:pos="1080"/>
          <w:tab w:val="num" w:pos="1440"/>
        </w:tabs>
      </w:pPr>
      <w:r w:rsidRPr="002B3C8D">
        <w:rPr>
          <w:b/>
        </w:rPr>
        <w:t>IT IS FURTHER ORDERED</w:t>
      </w:r>
      <w:r w:rsidRPr="00247021">
        <w:t xml:space="preserve"> that a copy of this Order and Consent Decree shall be sent by first class mail and certified mail, return receipt requested, to Mr. Tulloch at his address of record and to Keith Campbell, Esq., 59 Main Street, Suite 208, West Orange, NJ 07052. </w:t>
      </w:r>
    </w:p>
    <w:p w:rsidR="00247021" w:rsidRPr="00247021" w:rsidP="00853AEC" w14:paraId="380BBC18" w14:textId="77777777"/>
    <w:p w:rsidR="00247021" w:rsidRPr="00171F78" w:rsidP="00853AEC" w14:paraId="353BB51E" w14:textId="77777777">
      <w:r w:rsidRPr="00247021">
        <w:tab/>
      </w:r>
      <w:r w:rsidRPr="00247021">
        <w:tab/>
      </w:r>
      <w:r w:rsidRPr="00247021">
        <w:tab/>
      </w:r>
      <w:r w:rsidRPr="00247021">
        <w:tab/>
      </w:r>
      <w:r w:rsidRPr="00247021">
        <w:tab/>
      </w:r>
      <w:r w:rsidRPr="00247021">
        <w:tab/>
      </w:r>
      <w:r w:rsidRPr="00171F78">
        <w:t>FEDERAL COMMUNICATIONS COMMISSION</w:t>
      </w:r>
    </w:p>
    <w:p w:rsidR="00247021" w:rsidRPr="00247021" w:rsidP="00853AEC" w14:paraId="4EA015EA" w14:textId="77777777"/>
    <w:p w:rsidR="00247021" w:rsidRPr="00247021" w:rsidP="00853AEC" w14:paraId="6E759FED" w14:textId="77777777"/>
    <w:p w:rsidR="00247021" w:rsidRPr="00247021" w:rsidP="00853AEC" w14:paraId="318532D9" w14:textId="77777777"/>
    <w:p w:rsidR="00247021" w:rsidRPr="00247021" w:rsidP="00853AEC" w14:paraId="5DFC6A19" w14:textId="77777777"/>
    <w:p w:rsidR="00247021" w:rsidRPr="00247021" w:rsidP="00853AEC" w14:paraId="377F34EC" w14:textId="77777777">
      <w:r w:rsidRPr="00247021">
        <w:tab/>
      </w:r>
      <w:r w:rsidRPr="00247021">
        <w:tab/>
      </w:r>
      <w:r w:rsidRPr="00247021">
        <w:tab/>
      </w:r>
      <w:r w:rsidRPr="00247021">
        <w:tab/>
      </w:r>
      <w:r w:rsidRPr="00247021">
        <w:tab/>
      </w:r>
      <w:r w:rsidRPr="00247021">
        <w:tab/>
        <w:t>Rosemary C. Harold</w:t>
      </w:r>
    </w:p>
    <w:p w:rsidR="00247021" w:rsidRPr="00247021" w:rsidP="00853AEC" w14:paraId="261E1488" w14:textId="77777777">
      <w:r w:rsidRPr="00247021">
        <w:tab/>
      </w:r>
      <w:r w:rsidRPr="00247021">
        <w:tab/>
      </w:r>
      <w:r w:rsidRPr="00247021">
        <w:tab/>
      </w:r>
      <w:r w:rsidRPr="00247021">
        <w:tab/>
      </w:r>
      <w:r w:rsidRPr="00247021">
        <w:tab/>
      </w:r>
      <w:r w:rsidRPr="00247021">
        <w:tab/>
        <w:t>Chief</w:t>
      </w:r>
    </w:p>
    <w:p w:rsidR="00E2203F" w:rsidP="00853AEC" w14:paraId="311AD9CD" w14:textId="6B06743A">
      <w:pPr>
        <w:sectPr w:rsidSect="00F11389">
          <w:headerReference w:type="default" r:id="rId5"/>
          <w:footerReference w:type="default" r:id="rId6"/>
          <w:headerReference w:type="first" r:id="rId7"/>
          <w:footerReference w:type="first" r:id="rId8"/>
          <w:footnotePr>
            <w:numRestart w:val="eachSect"/>
          </w:footnotePr>
          <w:endnotePr>
            <w:numFmt w:val="decimal"/>
          </w:endnotePr>
          <w:pgSz w:w="12240" w:h="15840"/>
          <w:pgMar w:top="1267" w:right="1440" w:bottom="720" w:left="1440" w:header="720" w:footer="720" w:gutter="0"/>
          <w:pgNumType w:start="1"/>
          <w:cols w:space="720"/>
          <w:noEndnote/>
          <w:titlePg/>
          <w:docGrid w:linePitch="299"/>
        </w:sectPr>
      </w:pPr>
      <w:r w:rsidRPr="00247021">
        <w:tab/>
      </w:r>
      <w:r w:rsidRPr="00247021">
        <w:tab/>
      </w:r>
      <w:r w:rsidRPr="00247021">
        <w:tab/>
      </w:r>
      <w:r w:rsidRPr="00247021">
        <w:tab/>
      </w:r>
      <w:r w:rsidRPr="00247021">
        <w:tab/>
      </w:r>
      <w:r w:rsidRPr="00247021">
        <w:tab/>
        <w:t>Enforcement Bureau</w:t>
      </w:r>
    </w:p>
    <w:p w:rsidR="006230A0" w:rsidRPr="00843A5F" w:rsidP="006230A0" w14:paraId="5A35DBA1" w14:textId="59ABDBC4">
      <w:pPr>
        <w:jc w:val="center"/>
        <w:rPr>
          <w:b/>
        </w:rPr>
      </w:pPr>
      <w:r w:rsidRPr="00843A5F">
        <w:rPr>
          <w:rFonts w:ascii="Times New Roman Bold" w:hAnsi="Times New Roman Bold"/>
          <w:b/>
          <w:kern w:val="0"/>
          <w:szCs w:val="22"/>
        </w:rPr>
        <w:t>Before</w:t>
      </w:r>
      <w:r w:rsidRPr="00843A5F">
        <w:rPr>
          <w:b/>
        </w:rPr>
        <w:t xml:space="preserve"> the</w:t>
      </w:r>
    </w:p>
    <w:p w:rsidR="006230A0" w:rsidRPr="00843A5F" w:rsidP="006230A0" w14:paraId="5F378F66" w14:textId="19450C4E">
      <w:pPr>
        <w:pStyle w:val="StyleBoldCentered"/>
      </w:pPr>
      <w:r w:rsidRPr="00843A5F">
        <w:t>F</w:t>
      </w:r>
      <w:r w:rsidRPr="00843A5F">
        <w:rPr>
          <w:caps w:val="0"/>
        </w:rPr>
        <w:t>ederal Communications Commission</w:t>
      </w:r>
    </w:p>
    <w:p w:rsidR="006230A0" w:rsidRPr="00843A5F" w:rsidP="006230A0" w14:paraId="718519B6" w14:textId="77777777">
      <w:pPr>
        <w:pStyle w:val="StyleBoldCentered"/>
      </w:pPr>
      <w:r w:rsidRPr="00843A5F">
        <w:rPr>
          <w:caps w:val="0"/>
        </w:rPr>
        <w:t>Washington, DC 20554</w:t>
      </w:r>
    </w:p>
    <w:p w:rsidR="006230A0" w:rsidRPr="00843A5F" w:rsidP="006230A0" w14:paraId="1A385D45" w14:textId="77777777"/>
    <w:tbl>
      <w:tblPr>
        <w:tblW w:w="9522" w:type="dxa"/>
        <w:tblInd w:w="108" w:type="dxa"/>
        <w:tblLayout w:type="fixed"/>
        <w:tblLook w:val="0000"/>
      </w:tblPr>
      <w:tblGrid>
        <w:gridCol w:w="4572"/>
        <w:gridCol w:w="270"/>
        <w:gridCol w:w="4680"/>
      </w:tblGrid>
      <w:tr w14:paraId="35DAB024" w14:textId="77777777" w:rsidTr="00F11389">
        <w:tblPrEx>
          <w:tblW w:w="9522" w:type="dxa"/>
          <w:tblInd w:w="108" w:type="dxa"/>
          <w:tblLayout w:type="fixed"/>
          <w:tblLook w:val="0000"/>
        </w:tblPrEx>
        <w:tc>
          <w:tcPr>
            <w:tcW w:w="4572" w:type="dxa"/>
          </w:tcPr>
          <w:p w:rsidR="006230A0" w:rsidRPr="00FB0D07" w:rsidP="00F11389" w14:paraId="7F5EE72B" w14:textId="77777777">
            <w:pPr>
              <w:rPr>
                <w:szCs w:val="22"/>
              </w:rPr>
            </w:pPr>
            <w:r w:rsidRPr="00FB0D07">
              <w:rPr>
                <w:spacing w:val="-2"/>
                <w:szCs w:val="22"/>
              </w:rPr>
              <w:t>In the Matter of</w:t>
            </w:r>
            <w:r w:rsidRPr="00FB0D07">
              <w:rPr>
                <w:szCs w:val="22"/>
              </w:rPr>
              <w:t xml:space="preserve"> </w:t>
            </w:r>
          </w:p>
          <w:p w:rsidR="006230A0" w:rsidRPr="00FB0D07" w:rsidP="00F11389" w14:paraId="76D76B48" w14:textId="77777777">
            <w:pPr>
              <w:rPr>
                <w:szCs w:val="22"/>
              </w:rPr>
            </w:pPr>
          </w:p>
          <w:p w:rsidR="006230A0" w:rsidRPr="00937484" w:rsidP="00F11389" w14:paraId="413BA35D" w14:textId="17424A58">
            <w:pPr>
              <w:rPr>
                <w:szCs w:val="22"/>
              </w:rPr>
            </w:pPr>
            <w:r>
              <w:rPr>
                <w:spacing w:val="-2"/>
                <w:szCs w:val="22"/>
              </w:rPr>
              <w:t>Winston Tulloch,</w:t>
            </w:r>
          </w:p>
          <w:p w:rsidR="006230A0" w:rsidRPr="00937484" w:rsidP="00F11389" w14:paraId="27F70A84" w14:textId="00562FB6">
            <w:pPr>
              <w:rPr>
                <w:szCs w:val="22"/>
              </w:rPr>
            </w:pPr>
            <w:r>
              <w:rPr>
                <w:szCs w:val="22"/>
              </w:rPr>
              <w:t>Paterson, New Jersey</w:t>
            </w:r>
          </w:p>
          <w:p w:rsidR="006230A0" w:rsidRPr="00937484" w:rsidP="00F11389" w14:paraId="4B5B3ABA" w14:textId="05711105">
            <w:pPr>
              <w:rPr>
                <w:szCs w:val="22"/>
              </w:rPr>
            </w:pPr>
          </w:p>
          <w:p w:rsidR="006230A0" w:rsidRPr="00937484" w:rsidP="00F11389" w14:paraId="05E8C412" w14:textId="77777777">
            <w:pPr>
              <w:rPr>
                <w:spacing w:val="-2"/>
                <w:szCs w:val="22"/>
              </w:rPr>
            </w:pPr>
          </w:p>
        </w:tc>
        <w:tc>
          <w:tcPr>
            <w:tcW w:w="270" w:type="dxa"/>
          </w:tcPr>
          <w:p w:rsidR="006230A0" w:rsidRPr="00937484" w:rsidP="00F11389" w14:paraId="4DB6997D" w14:textId="77777777">
            <w:pPr>
              <w:tabs>
                <w:tab w:val="center" w:pos="4680"/>
              </w:tabs>
              <w:suppressAutoHyphens/>
              <w:spacing w:line="240" w:lineRule="atLeast"/>
              <w:jc w:val="both"/>
              <w:outlineLvl w:val="0"/>
              <w:rPr>
                <w:szCs w:val="22"/>
              </w:rPr>
            </w:pPr>
            <w:r w:rsidRPr="00937484">
              <w:rPr>
                <w:szCs w:val="22"/>
              </w:rPr>
              <w:t>)</w:t>
            </w:r>
          </w:p>
          <w:p w:rsidR="006230A0" w:rsidRPr="00937484" w:rsidP="00F11389" w14:paraId="712B3E07" w14:textId="77777777">
            <w:pPr>
              <w:tabs>
                <w:tab w:val="center" w:pos="4680"/>
              </w:tabs>
              <w:suppressAutoHyphens/>
              <w:spacing w:line="240" w:lineRule="atLeast"/>
              <w:jc w:val="both"/>
              <w:outlineLvl w:val="0"/>
              <w:rPr>
                <w:szCs w:val="22"/>
              </w:rPr>
            </w:pPr>
            <w:r w:rsidRPr="00937484">
              <w:rPr>
                <w:szCs w:val="22"/>
              </w:rPr>
              <w:t>)</w:t>
            </w:r>
          </w:p>
          <w:p w:rsidR="006230A0" w:rsidRPr="00937484" w:rsidP="00F11389" w14:paraId="22F788C8" w14:textId="77777777">
            <w:pPr>
              <w:tabs>
                <w:tab w:val="center" w:pos="4680"/>
              </w:tabs>
              <w:suppressAutoHyphens/>
              <w:spacing w:line="240" w:lineRule="atLeast"/>
              <w:jc w:val="both"/>
              <w:outlineLvl w:val="0"/>
              <w:rPr>
                <w:szCs w:val="22"/>
              </w:rPr>
            </w:pPr>
            <w:r w:rsidRPr="00937484">
              <w:rPr>
                <w:szCs w:val="22"/>
              </w:rPr>
              <w:t>)</w:t>
            </w:r>
          </w:p>
          <w:p w:rsidR="006230A0" w:rsidRPr="00937484" w:rsidP="00F11389" w14:paraId="0D472C6A" w14:textId="77777777">
            <w:pPr>
              <w:tabs>
                <w:tab w:val="center" w:pos="4680"/>
              </w:tabs>
              <w:suppressAutoHyphens/>
              <w:spacing w:line="240" w:lineRule="atLeast"/>
              <w:jc w:val="both"/>
              <w:outlineLvl w:val="0"/>
              <w:rPr>
                <w:szCs w:val="22"/>
              </w:rPr>
            </w:pPr>
            <w:r w:rsidRPr="00937484">
              <w:rPr>
                <w:szCs w:val="22"/>
              </w:rPr>
              <w:t>)</w:t>
            </w:r>
          </w:p>
          <w:p w:rsidR="006230A0" w:rsidRPr="00937484" w:rsidP="00F11389" w14:paraId="7E7F841E" w14:textId="77777777">
            <w:pPr>
              <w:tabs>
                <w:tab w:val="center" w:pos="4680"/>
              </w:tabs>
              <w:suppressAutoHyphens/>
              <w:spacing w:line="240" w:lineRule="atLeast"/>
              <w:jc w:val="both"/>
              <w:outlineLvl w:val="0"/>
              <w:rPr>
                <w:szCs w:val="22"/>
              </w:rPr>
            </w:pPr>
            <w:r w:rsidRPr="00937484">
              <w:rPr>
                <w:szCs w:val="22"/>
              </w:rPr>
              <w:t>)</w:t>
            </w:r>
          </w:p>
          <w:p w:rsidR="006230A0" w:rsidP="00F11389" w14:paraId="7CE6B208" w14:textId="4B2DDCFD">
            <w:pPr>
              <w:tabs>
                <w:tab w:val="center" w:pos="4680"/>
              </w:tabs>
              <w:suppressAutoHyphens/>
              <w:spacing w:line="240" w:lineRule="atLeast"/>
              <w:jc w:val="both"/>
              <w:outlineLvl w:val="0"/>
              <w:rPr>
                <w:szCs w:val="22"/>
              </w:rPr>
            </w:pPr>
            <w:r w:rsidRPr="00937484">
              <w:rPr>
                <w:szCs w:val="22"/>
              </w:rPr>
              <w:t>)</w:t>
            </w:r>
          </w:p>
          <w:p w:rsidR="006230A0" w:rsidRPr="00937484" w:rsidP="00F11389" w14:paraId="3948DFF5" w14:textId="77777777">
            <w:pPr>
              <w:tabs>
                <w:tab w:val="center" w:pos="4680"/>
              </w:tabs>
              <w:suppressAutoHyphens/>
              <w:spacing w:line="240" w:lineRule="atLeast"/>
              <w:jc w:val="both"/>
              <w:outlineLvl w:val="0"/>
              <w:rPr>
                <w:szCs w:val="22"/>
              </w:rPr>
            </w:pPr>
          </w:p>
        </w:tc>
        <w:tc>
          <w:tcPr>
            <w:tcW w:w="4680" w:type="dxa"/>
          </w:tcPr>
          <w:p w:rsidR="006230A0" w:rsidRPr="00937484" w:rsidP="00F11389" w14:paraId="3BC48801" w14:textId="77777777">
            <w:pPr>
              <w:rPr>
                <w:spacing w:val="-2"/>
                <w:szCs w:val="22"/>
              </w:rPr>
            </w:pPr>
          </w:p>
          <w:p w:rsidR="00565F9F" w:rsidRPr="00565F9F" w:rsidP="00565F9F" w14:paraId="5B05BEBE" w14:textId="45439598">
            <w:pPr>
              <w:ind w:left="702"/>
              <w:rPr>
                <w:szCs w:val="22"/>
              </w:rPr>
            </w:pPr>
            <w:r w:rsidRPr="00565F9F">
              <w:rPr>
                <w:szCs w:val="22"/>
              </w:rPr>
              <w:t>File No.: EB-</w:t>
            </w:r>
            <w:r w:rsidR="00E8065C">
              <w:rPr>
                <w:szCs w:val="22"/>
              </w:rPr>
              <w:t>FIELDNER-15-00019211</w:t>
            </w:r>
            <w:r w:rsidRPr="00565F9F">
              <w:rPr>
                <w:szCs w:val="22"/>
              </w:rPr>
              <w:t xml:space="preserve"> </w:t>
            </w:r>
          </w:p>
          <w:p w:rsidR="00565F9F" w:rsidRPr="00565F9F" w:rsidP="00565F9F" w14:paraId="06735EDC" w14:textId="7C1E550E">
            <w:pPr>
              <w:ind w:left="702"/>
              <w:rPr>
                <w:szCs w:val="22"/>
              </w:rPr>
            </w:pPr>
            <w:r w:rsidRPr="00565F9F">
              <w:rPr>
                <w:szCs w:val="22"/>
              </w:rPr>
              <w:t xml:space="preserve">NAL/Acct. No.:  </w:t>
            </w:r>
            <w:r w:rsidR="00E8065C">
              <w:rPr>
                <w:szCs w:val="22"/>
              </w:rPr>
              <w:t>2018320100</w:t>
            </w:r>
            <w:r w:rsidR="00420CDF">
              <w:rPr>
                <w:szCs w:val="22"/>
              </w:rPr>
              <w:t>0</w:t>
            </w:r>
            <w:r w:rsidR="00E8065C">
              <w:rPr>
                <w:szCs w:val="22"/>
              </w:rPr>
              <w:t>1</w:t>
            </w:r>
            <w:r w:rsidRPr="00565F9F">
              <w:rPr>
                <w:szCs w:val="22"/>
              </w:rPr>
              <w:t xml:space="preserve"> </w:t>
            </w:r>
          </w:p>
          <w:p w:rsidR="00565F9F" w:rsidRPr="00937484" w:rsidP="00565F9F" w14:paraId="130ADD9D" w14:textId="7E966AA8">
            <w:pPr>
              <w:ind w:left="702"/>
              <w:rPr>
                <w:szCs w:val="22"/>
              </w:rPr>
            </w:pPr>
            <w:r w:rsidRPr="00565F9F">
              <w:rPr>
                <w:szCs w:val="22"/>
              </w:rPr>
              <w:t xml:space="preserve">FRN:  </w:t>
            </w:r>
            <w:r w:rsidR="00E8065C">
              <w:rPr>
                <w:szCs w:val="22"/>
              </w:rPr>
              <w:t>0015762370</w:t>
            </w:r>
            <w:r w:rsidRPr="00565F9F">
              <w:rPr>
                <w:szCs w:val="22"/>
              </w:rPr>
              <w:t xml:space="preserve"> </w:t>
            </w:r>
          </w:p>
          <w:p w:rsidR="006230A0" w:rsidRPr="00937484" w:rsidP="00F11389" w14:paraId="22E492A6" w14:textId="77777777">
            <w:pPr>
              <w:ind w:left="702"/>
              <w:rPr>
                <w:szCs w:val="22"/>
              </w:rPr>
            </w:pPr>
          </w:p>
        </w:tc>
      </w:tr>
    </w:tbl>
    <w:p w:rsidR="006230A0" w:rsidRPr="007C0B39" w:rsidP="006230A0" w14:paraId="21A413A5" w14:textId="77777777">
      <w:pPr>
        <w:pStyle w:val="StyleBoldCentered"/>
      </w:pPr>
      <w:r>
        <w:t>C</w:t>
      </w:r>
      <w:r w:rsidRPr="007C0B39">
        <w:t>ONSENT DECREE</w:t>
      </w:r>
    </w:p>
    <w:p w:rsidR="006230A0" w:rsidRPr="007C0B39" w:rsidP="006230A0" w14:paraId="2E926E1E" w14:textId="77777777">
      <w:pPr>
        <w:pStyle w:val="StyleBoldCentered"/>
      </w:pPr>
    </w:p>
    <w:p w:rsidR="006230A0" w:rsidRPr="007C0B39" w:rsidP="0082290F" w14:paraId="4297522F" w14:textId="0D190C3B">
      <w:pPr>
        <w:pStyle w:val="ParaNum"/>
        <w:numPr>
          <w:ilvl w:val="0"/>
          <w:numId w:val="7"/>
        </w:numPr>
        <w:tabs>
          <w:tab w:val="clear" w:pos="1080"/>
          <w:tab w:val="num" w:pos="1440"/>
        </w:tabs>
      </w:pPr>
      <w:r w:rsidRPr="007C0B39">
        <w:t xml:space="preserve">The Enforcement Bureau of the Federal Communications Commission and </w:t>
      </w:r>
      <w:r w:rsidR="00E8065C">
        <w:t xml:space="preserve">Winston Tulloch </w:t>
      </w:r>
      <w:r w:rsidR="004F1331">
        <w:t>(</w:t>
      </w:r>
      <w:r w:rsidR="00FD197F">
        <w:t xml:space="preserve">Mr. </w:t>
      </w:r>
      <w:r w:rsidR="00E8065C">
        <w:t>Tulloch</w:t>
      </w:r>
      <w:r>
        <w:t>),</w:t>
      </w:r>
      <w:r w:rsidRPr="007C0B39">
        <w:t xml:space="preserve"> by their authorized representatives, hereby </w:t>
      </w:r>
      <w:r w:rsidRPr="007C0B39">
        <w:t>enter into</w:t>
      </w:r>
      <w:r w:rsidRPr="007C0B39">
        <w:t xml:space="preserve"> this Consent Decree for the purpose of terminating the Enforcement Bureau’s investigation into whether </w:t>
      </w:r>
      <w:r>
        <w:t xml:space="preserve">Mr. </w:t>
      </w:r>
      <w:r w:rsidR="00E8065C">
        <w:t xml:space="preserve">Tulloch </w:t>
      </w:r>
      <w:r w:rsidRPr="007C0B39">
        <w:t xml:space="preserve">violated </w:t>
      </w:r>
      <w:r>
        <w:t xml:space="preserve">Section 301 of the Communications Act of 1934, as amended, </w:t>
      </w:r>
      <w:r w:rsidRPr="0077084A">
        <w:rPr>
          <w:szCs w:val="22"/>
        </w:rPr>
        <w:t xml:space="preserve">by operating an unauthorized radio station on </w:t>
      </w:r>
      <w:r w:rsidRPr="0077084A" w:rsidR="00E8065C">
        <w:rPr>
          <w:szCs w:val="22"/>
        </w:rPr>
        <w:t xml:space="preserve">90.9 MHz </w:t>
      </w:r>
      <w:r w:rsidRPr="0077084A">
        <w:rPr>
          <w:szCs w:val="22"/>
        </w:rPr>
        <w:t xml:space="preserve">in </w:t>
      </w:r>
      <w:r w:rsidRPr="0077084A" w:rsidR="00E8065C">
        <w:rPr>
          <w:szCs w:val="22"/>
        </w:rPr>
        <w:t xml:space="preserve">Paterson, New Jersey. </w:t>
      </w:r>
    </w:p>
    <w:p w:rsidR="006230A0" w:rsidRPr="007C0B39" w:rsidP="006230A0" w14:paraId="4238B462" w14:textId="77777777">
      <w:pPr>
        <w:pStyle w:val="Heading1"/>
      </w:pPr>
      <w:r w:rsidRPr="007C0B39">
        <w:t>DEFINITIONS</w:t>
      </w:r>
    </w:p>
    <w:p w:rsidR="006230A0" w:rsidRPr="007C0B39" w:rsidP="0082290F" w14:paraId="146CEF3E" w14:textId="77777777">
      <w:pPr>
        <w:pStyle w:val="ParaNum"/>
        <w:numPr>
          <w:ilvl w:val="0"/>
          <w:numId w:val="6"/>
        </w:numPr>
        <w:tabs>
          <w:tab w:val="clear" w:pos="1080"/>
          <w:tab w:val="num" w:pos="1440"/>
        </w:tabs>
      </w:pPr>
      <w:r w:rsidRPr="007C0B39">
        <w:t>For the purposes of this Consent Decree, the following definitions shall apply:</w:t>
      </w:r>
    </w:p>
    <w:p w:rsidR="006230A0" w:rsidRPr="007C0B39" w:rsidP="0082290F" w14:paraId="3222D69F" w14:textId="77777777">
      <w:pPr>
        <w:numPr>
          <w:ilvl w:val="0"/>
          <w:numId w:val="4"/>
        </w:numPr>
        <w:tabs>
          <w:tab w:val="clear" w:pos="1224"/>
        </w:tabs>
        <w:spacing w:after="120"/>
        <w:ind w:left="1890"/>
        <w:rPr>
          <w:szCs w:val="22"/>
        </w:rPr>
      </w:pPr>
      <w:r w:rsidRPr="007C0B39">
        <w:rPr>
          <w:szCs w:val="22"/>
        </w:rPr>
        <w:t>“Act”</w:t>
      </w:r>
      <w:r w:rsidRPr="007C0B39">
        <w:rPr>
          <w:rStyle w:val="ParanumChar"/>
          <w:szCs w:val="22"/>
        </w:rPr>
        <w:t xml:space="preserve"> </w:t>
      </w:r>
      <w:r w:rsidRPr="007C0B39">
        <w:t>means</w:t>
      </w:r>
      <w:r w:rsidRPr="007C0B39">
        <w:rPr>
          <w:szCs w:val="22"/>
        </w:rPr>
        <w:t xml:space="preserve"> the Communications Act of 1934, as amended</w:t>
      </w:r>
      <w:r>
        <w:rPr>
          <w:szCs w:val="22"/>
        </w:rPr>
        <w:t>.</w:t>
      </w:r>
      <w:r>
        <w:rPr>
          <w:rStyle w:val="FootnoteReference"/>
          <w:szCs w:val="22"/>
        </w:rPr>
        <w:footnoteReference w:id="10"/>
      </w:r>
    </w:p>
    <w:p w:rsidR="006230A0" w:rsidP="0082290F" w14:paraId="7D9054F8" w14:textId="77777777">
      <w:pPr>
        <w:numPr>
          <w:ilvl w:val="0"/>
          <w:numId w:val="4"/>
        </w:numPr>
        <w:tabs>
          <w:tab w:val="clear" w:pos="1224"/>
        </w:tabs>
        <w:spacing w:after="120"/>
        <w:ind w:left="1890"/>
        <w:rPr>
          <w:szCs w:val="22"/>
        </w:rPr>
      </w:pPr>
      <w:r w:rsidRPr="007C0B39">
        <w:rPr>
          <w:szCs w:val="22"/>
        </w:rPr>
        <w:t>“</w:t>
      </w:r>
      <w:r w:rsidRPr="007C0B39">
        <w:t>Adopting</w:t>
      </w:r>
      <w:r w:rsidRPr="007C0B39">
        <w:rPr>
          <w:szCs w:val="22"/>
        </w:rPr>
        <w:t xml:space="preserve"> Order” means an order of the Bureau adopting the terms of this Consent Decree without change, addition, deletion, or modification.</w:t>
      </w:r>
    </w:p>
    <w:p w:rsidR="006230A0" w:rsidRPr="00350F3A" w:rsidP="0082290F" w14:paraId="2518ABAD" w14:textId="77777777">
      <w:pPr>
        <w:numPr>
          <w:ilvl w:val="0"/>
          <w:numId w:val="4"/>
        </w:numPr>
        <w:tabs>
          <w:tab w:val="clear" w:pos="1224"/>
        </w:tabs>
        <w:spacing w:after="120"/>
        <w:ind w:left="1890"/>
        <w:rPr>
          <w:szCs w:val="22"/>
        </w:rPr>
      </w:pPr>
      <w:r w:rsidRPr="00350F3A">
        <w:rPr>
          <w:szCs w:val="22"/>
        </w:rPr>
        <w:t>“</w:t>
      </w:r>
      <w:r w:rsidRPr="007C0B39">
        <w:t>Bureau</w:t>
      </w:r>
      <w:r w:rsidRPr="00350F3A">
        <w:rPr>
          <w:szCs w:val="22"/>
        </w:rPr>
        <w:t>” means the Enforcement Bureau of the Federal Communications Commission.</w:t>
      </w:r>
    </w:p>
    <w:p w:rsidR="006230A0" w:rsidRPr="007C0B39" w:rsidP="0082290F" w14:paraId="3E7ECFCF" w14:textId="77777777">
      <w:pPr>
        <w:numPr>
          <w:ilvl w:val="0"/>
          <w:numId w:val="4"/>
        </w:numPr>
        <w:tabs>
          <w:tab w:val="clear" w:pos="1224"/>
        </w:tabs>
        <w:spacing w:after="120"/>
        <w:ind w:left="1890"/>
        <w:rPr>
          <w:szCs w:val="22"/>
        </w:rPr>
      </w:pPr>
      <w:r w:rsidRPr="007C0B39">
        <w:rPr>
          <w:szCs w:val="22"/>
        </w:rPr>
        <w:t>“</w:t>
      </w:r>
      <w:r w:rsidRPr="007C0B39">
        <w:t>Commission</w:t>
      </w:r>
      <w:r w:rsidRPr="007C0B39">
        <w:rPr>
          <w:szCs w:val="22"/>
        </w:rPr>
        <w:t xml:space="preserve">” and “FCC” mean the Federal Communications Commission and </w:t>
      </w:r>
      <w:r w:rsidRPr="007C0B39">
        <w:rPr>
          <w:szCs w:val="22"/>
        </w:rPr>
        <w:t>all of</w:t>
      </w:r>
      <w:r w:rsidRPr="007C0B39">
        <w:rPr>
          <w:szCs w:val="22"/>
        </w:rPr>
        <w:t xml:space="preserve"> its bureaus and offices.</w:t>
      </w:r>
    </w:p>
    <w:p w:rsidR="006230A0" w:rsidRPr="007C0B39" w:rsidP="0082290F" w14:paraId="21F70860" w14:textId="14F6DE85">
      <w:pPr>
        <w:numPr>
          <w:ilvl w:val="0"/>
          <w:numId w:val="4"/>
        </w:numPr>
        <w:tabs>
          <w:tab w:val="clear" w:pos="1224"/>
        </w:tabs>
        <w:spacing w:after="120"/>
        <w:ind w:left="1890"/>
        <w:rPr>
          <w:szCs w:val="22"/>
        </w:rPr>
      </w:pPr>
      <w:r w:rsidRPr="00B26EE6">
        <w:rPr>
          <w:szCs w:val="22"/>
        </w:rPr>
        <w:t>“</w:t>
      </w:r>
      <w:r w:rsidRPr="00B26EE6">
        <w:t>Compliance</w:t>
      </w:r>
      <w:r w:rsidRPr="00B26EE6">
        <w:rPr>
          <w:szCs w:val="22"/>
        </w:rPr>
        <w:t xml:space="preserve"> </w:t>
      </w:r>
      <w:r w:rsidRPr="00592235">
        <w:rPr>
          <w:szCs w:val="22"/>
        </w:rPr>
        <w:t>Commitment</w:t>
      </w:r>
      <w:r w:rsidRPr="00B26EE6">
        <w:rPr>
          <w:szCs w:val="22"/>
        </w:rPr>
        <w:t>” means the compliance obligations</w:t>
      </w:r>
      <w:r w:rsidRPr="00592235">
        <w:rPr>
          <w:szCs w:val="22"/>
        </w:rPr>
        <w:t xml:space="preserve"> </w:t>
      </w:r>
      <w:r w:rsidRPr="00B26EE6">
        <w:rPr>
          <w:szCs w:val="22"/>
        </w:rPr>
        <w:t xml:space="preserve">described in this Consent Decree at paragraph </w:t>
      </w:r>
      <w:r>
        <w:rPr>
          <w:szCs w:val="22"/>
        </w:rPr>
        <w:t>10</w:t>
      </w:r>
      <w:r w:rsidRPr="007C0B39">
        <w:rPr>
          <w:szCs w:val="22"/>
        </w:rPr>
        <w:t>.</w:t>
      </w:r>
    </w:p>
    <w:p w:rsidR="006230A0" w:rsidP="0082290F" w14:paraId="1D090BFD" w14:textId="5C306F9E">
      <w:pPr>
        <w:numPr>
          <w:ilvl w:val="0"/>
          <w:numId w:val="4"/>
        </w:numPr>
        <w:tabs>
          <w:tab w:val="clear" w:pos="1224"/>
        </w:tabs>
        <w:spacing w:after="120"/>
        <w:ind w:left="1890"/>
        <w:rPr>
          <w:szCs w:val="22"/>
        </w:rPr>
      </w:pPr>
      <w:r w:rsidRPr="007C0B39">
        <w:rPr>
          <w:szCs w:val="22"/>
        </w:rPr>
        <w:t>“</w:t>
      </w:r>
      <w:r w:rsidRPr="007C0B39">
        <w:t>Effective</w:t>
      </w:r>
      <w:r w:rsidRPr="007C0B39">
        <w:rPr>
          <w:szCs w:val="22"/>
        </w:rPr>
        <w:t xml:space="preserve"> Date” means the date by which both the Bureau </w:t>
      </w:r>
      <w:r>
        <w:rPr>
          <w:szCs w:val="22"/>
        </w:rPr>
        <w:t xml:space="preserve">and Mr. </w:t>
      </w:r>
      <w:r w:rsidR="00E8065C">
        <w:rPr>
          <w:szCs w:val="22"/>
        </w:rPr>
        <w:t>Tulloch</w:t>
      </w:r>
      <w:r>
        <w:rPr>
          <w:szCs w:val="22"/>
        </w:rPr>
        <w:t xml:space="preserve"> </w:t>
      </w:r>
      <w:r w:rsidRPr="007C0B39">
        <w:rPr>
          <w:szCs w:val="22"/>
        </w:rPr>
        <w:t>have signed the Consent Decree.</w:t>
      </w:r>
    </w:p>
    <w:p w:rsidR="00E8065C" w:rsidP="0082290F" w14:paraId="4936DB23" w14:textId="1E9F19E1">
      <w:pPr>
        <w:numPr>
          <w:ilvl w:val="0"/>
          <w:numId w:val="4"/>
        </w:numPr>
        <w:tabs>
          <w:tab w:val="clear" w:pos="1224"/>
        </w:tabs>
        <w:spacing w:after="120"/>
        <w:ind w:left="1890"/>
        <w:rPr>
          <w:szCs w:val="22"/>
        </w:rPr>
      </w:pPr>
      <w:r>
        <w:rPr>
          <w:szCs w:val="22"/>
        </w:rPr>
        <w:t>“Forfeiture Order” means the Forfeiture Order issued to Mr. Tulloch on October 31, 2018, imposing a $25,000 forfeiture on Mr. Tulloch for violations of Section 301 of the Act.</w:t>
      </w:r>
      <w:r>
        <w:rPr>
          <w:rStyle w:val="FootnoteReference"/>
          <w:szCs w:val="22"/>
        </w:rPr>
        <w:footnoteReference w:id="11"/>
      </w:r>
      <w:r>
        <w:rPr>
          <w:szCs w:val="22"/>
        </w:rPr>
        <w:t xml:space="preserve"> </w:t>
      </w:r>
    </w:p>
    <w:p w:rsidR="006230A0" w:rsidRPr="00AA2E8D" w:rsidP="0082290F" w14:paraId="7F1DBCD4" w14:textId="5DE4DF18">
      <w:pPr>
        <w:numPr>
          <w:ilvl w:val="0"/>
          <w:numId w:val="4"/>
        </w:numPr>
        <w:tabs>
          <w:tab w:val="clear" w:pos="1224"/>
        </w:tabs>
        <w:spacing w:after="120"/>
        <w:ind w:left="1890"/>
        <w:rPr>
          <w:szCs w:val="22"/>
        </w:rPr>
      </w:pPr>
      <w:r>
        <w:rPr>
          <w:szCs w:val="22"/>
        </w:rPr>
        <w:t>“</w:t>
      </w:r>
      <w:r w:rsidRPr="007C0B39">
        <w:t>Investigation</w:t>
      </w:r>
      <w:r w:rsidRPr="00754260">
        <w:rPr>
          <w:szCs w:val="22"/>
        </w:rPr>
        <w:t xml:space="preserve">” means the investigation commenced by the Bureau in File No. </w:t>
      </w:r>
      <w:r>
        <w:rPr>
          <w:szCs w:val="22"/>
        </w:rPr>
        <w:t>EB-</w:t>
      </w:r>
      <w:r w:rsidR="00E8065C">
        <w:rPr>
          <w:szCs w:val="22"/>
        </w:rPr>
        <w:t xml:space="preserve">FIELDNER-15-00019211 </w:t>
      </w:r>
      <w:r w:rsidRPr="00754260">
        <w:rPr>
          <w:szCs w:val="22"/>
        </w:rPr>
        <w:t>regarding whether</w:t>
      </w:r>
      <w:r>
        <w:rPr>
          <w:szCs w:val="22"/>
        </w:rPr>
        <w:t xml:space="preserve"> Mr. </w:t>
      </w:r>
      <w:r w:rsidR="00E8065C">
        <w:rPr>
          <w:szCs w:val="22"/>
        </w:rPr>
        <w:t xml:space="preserve">Tulloch </w:t>
      </w:r>
      <w:r w:rsidRPr="00754260">
        <w:rPr>
          <w:szCs w:val="22"/>
        </w:rPr>
        <w:t xml:space="preserve">violated Section 301 of the Act </w:t>
      </w:r>
      <w:r>
        <w:rPr>
          <w:szCs w:val="22"/>
        </w:rPr>
        <w:t>by operating an unauthorized radio station</w:t>
      </w:r>
      <w:r w:rsidR="0028375D">
        <w:rPr>
          <w:szCs w:val="22"/>
        </w:rPr>
        <w:t>,</w:t>
      </w:r>
      <w:r>
        <w:rPr>
          <w:szCs w:val="22"/>
        </w:rPr>
        <w:t xml:space="preserve"> </w:t>
      </w:r>
      <w:r w:rsidRPr="00754260">
        <w:rPr>
          <w:szCs w:val="22"/>
        </w:rPr>
        <w:t>which</w:t>
      </w:r>
      <w:r>
        <w:rPr>
          <w:szCs w:val="22"/>
        </w:rPr>
        <w:t xml:space="preserve"> culminated in the issuance of the NAL</w:t>
      </w:r>
      <w:r w:rsidR="0028375D">
        <w:rPr>
          <w:szCs w:val="22"/>
        </w:rPr>
        <w:t xml:space="preserve"> and the Forfeiture Order</w:t>
      </w:r>
      <w:r w:rsidRPr="00AA2E8D">
        <w:rPr>
          <w:szCs w:val="22"/>
        </w:rPr>
        <w:t>.</w:t>
      </w:r>
    </w:p>
    <w:p w:rsidR="006230A0" w:rsidP="0082290F" w14:paraId="32E1FBA4" w14:textId="0B1730A6">
      <w:pPr>
        <w:numPr>
          <w:ilvl w:val="0"/>
          <w:numId w:val="4"/>
        </w:numPr>
        <w:tabs>
          <w:tab w:val="clear" w:pos="1224"/>
        </w:tabs>
        <w:spacing w:after="120"/>
        <w:ind w:left="1890"/>
        <w:rPr>
          <w:szCs w:val="22"/>
        </w:rPr>
      </w:pPr>
      <w:r w:rsidRPr="006C761E">
        <w:rPr>
          <w:szCs w:val="22"/>
        </w:rPr>
        <w:t xml:space="preserve">“NAL” means the Notice of Apparent Liability for Forfeiture </w:t>
      </w:r>
      <w:r>
        <w:rPr>
          <w:szCs w:val="22"/>
        </w:rPr>
        <w:t xml:space="preserve">and Order </w:t>
      </w:r>
      <w:r w:rsidRPr="006C761E">
        <w:rPr>
          <w:szCs w:val="22"/>
        </w:rPr>
        <w:t xml:space="preserve">issued </w:t>
      </w:r>
      <w:r>
        <w:rPr>
          <w:szCs w:val="22"/>
        </w:rPr>
        <w:t xml:space="preserve">to Mr. </w:t>
      </w:r>
      <w:r w:rsidR="00E8065C">
        <w:rPr>
          <w:szCs w:val="22"/>
        </w:rPr>
        <w:t xml:space="preserve">Tulloch on April 25, 2018, </w:t>
      </w:r>
      <w:r w:rsidRPr="006C761E">
        <w:rPr>
          <w:szCs w:val="22"/>
        </w:rPr>
        <w:t>proposing a</w:t>
      </w:r>
      <w:r>
        <w:rPr>
          <w:szCs w:val="22"/>
        </w:rPr>
        <w:t xml:space="preserve"> $</w:t>
      </w:r>
      <w:r w:rsidR="00D72794">
        <w:rPr>
          <w:szCs w:val="22"/>
        </w:rPr>
        <w:t>2</w:t>
      </w:r>
      <w:r w:rsidR="00E8065C">
        <w:rPr>
          <w:szCs w:val="22"/>
        </w:rPr>
        <w:t>5</w:t>
      </w:r>
      <w:r>
        <w:rPr>
          <w:szCs w:val="22"/>
        </w:rPr>
        <w:t>,000 fo</w:t>
      </w:r>
      <w:r w:rsidRPr="006C761E">
        <w:rPr>
          <w:szCs w:val="22"/>
        </w:rPr>
        <w:t xml:space="preserve">rfeiture for apparent violations of </w:t>
      </w:r>
      <w:r>
        <w:rPr>
          <w:szCs w:val="22"/>
        </w:rPr>
        <w:t>Section 301 of the Act</w:t>
      </w:r>
      <w:r w:rsidRPr="006C761E">
        <w:rPr>
          <w:szCs w:val="22"/>
        </w:rPr>
        <w:t>.</w:t>
      </w:r>
      <w:r>
        <w:rPr>
          <w:rStyle w:val="FootnoteReference"/>
          <w:szCs w:val="22"/>
        </w:rPr>
        <w:footnoteReference w:id="12"/>
      </w:r>
    </w:p>
    <w:p w:rsidR="0028375D" w:rsidRPr="006C761E" w:rsidP="0082290F" w14:paraId="13B1F506" w14:textId="3FA29882">
      <w:pPr>
        <w:widowControl/>
        <w:numPr>
          <w:ilvl w:val="0"/>
          <w:numId w:val="4"/>
        </w:numPr>
        <w:tabs>
          <w:tab w:val="clear" w:pos="1224"/>
        </w:tabs>
        <w:spacing w:after="120"/>
        <w:ind w:left="1890"/>
        <w:rPr>
          <w:szCs w:val="22"/>
        </w:rPr>
      </w:pPr>
      <w:r>
        <w:rPr>
          <w:szCs w:val="22"/>
        </w:rPr>
        <w:t>“NAL Response” means the written response to the NAL that Mr. Tulloch, through counsel, transmitted to the Commission on May 23, 2018.</w:t>
      </w:r>
      <w:r>
        <w:rPr>
          <w:rStyle w:val="FootnoteReference"/>
          <w:szCs w:val="22"/>
        </w:rPr>
        <w:footnoteReference w:id="13"/>
      </w:r>
    </w:p>
    <w:p w:rsidR="006230A0" w:rsidP="0082290F" w14:paraId="227F8857" w14:textId="76C3E964">
      <w:pPr>
        <w:numPr>
          <w:ilvl w:val="0"/>
          <w:numId w:val="4"/>
        </w:numPr>
        <w:tabs>
          <w:tab w:val="clear" w:pos="1224"/>
        </w:tabs>
        <w:spacing w:after="120"/>
        <w:ind w:left="1890"/>
        <w:rPr>
          <w:szCs w:val="22"/>
        </w:rPr>
      </w:pPr>
      <w:r w:rsidRPr="00350F3A">
        <w:rPr>
          <w:szCs w:val="22"/>
        </w:rPr>
        <w:t>“</w:t>
      </w:r>
      <w:r w:rsidRPr="00350F3A">
        <w:t>Parties</w:t>
      </w:r>
      <w:r w:rsidRPr="00350F3A">
        <w:rPr>
          <w:szCs w:val="22"/>
        </w:rPr>
        <w:t>” mean</w:t>
      </w:r>
      <w:r w:rsidRPr="00A75E0B">
        <w:rPr>
          <w:szCs w:val="22"/>
        </w:rPr>
        <w:t xml:space="preserve">s </w:t>
      </w:r>
      <w:r>
        <w:rPr>
          <w:szCs w:val="22"/>
        </w:rPr>
        <w:t xml:space="preserve">Mr. </w:t>
      </w:r>
      <w:r w:rsidR="00E8065C">
        <w:rPr>
          <w:szCs w:val="22"/>
        </w:rPr>
        <w:t>Tulloch</w:t>
      </w:r>
      <w:r>
        <w:rPr>
          <w:szCs w:val="22"/>
        </w:rPr>
        <w:t xml:space="preserve"> </w:t>
      </w:r>
      <w:r w:rsidRPr="00592235">
        <w:rPr>
          <w:szCs w:val="22"/>
        </w:rPr>
        <w:t>and the Bureau, each of which is a “Party.”</w:t>
      </w:r>
    </w:p>
    <w:p w:rsidR="0028375D" w:rsidP="0082290F" w14:paraId="54DD8FB2" w14:textId="35459453">
      <w:pPr>
        <w:numPr>
          <w:ilvl w:val="0"/>
          <w:numId w:val="4"/>
        </w:numPr>
        <w:tabs>
          <w:tab w:val="clear" w:pos="1224"/>
        </w:tabs>
        <w:spacing w:after="120"/>
        <w:ind w:left="1890"/>
        <w:rPr>
          <w:szCs w:val="22"/>
        </w:rPr>
      </w:pPr>
      <w:r>
        <w:rPr>
          <w:szCs w:val="22"/>
        </w:rPr>
        <w:t>“Petition for Reconsideration” means the request for reconsideration of the Forfeiture Order submitted by Mr. Tulloch and received by the Commission on November 28, 2018.</w:t>
      </w:r>
      <w:r>
        <w:rPr>
          <w:rStyle w:val="FootnoteReference"/>
          <w:szCs w:val="22"/>
        </w:rPr>
        <w:footnoteReference w:id="14"/>
      </w:r>
    </w:p>
    <w:p w:rsidR="00F12570" w:rsidRPr="00592235" w:rsidP="0082290F" w14:paraId="61AF7BEC" w14:textId="7D25B2FC">
      <w:pPr>
        <w:numPr>
          <w:ilvl w:val="0"/>
          <w:numId w:val="4"/>
        </w:numPr>
        <w:tabs>
          <w:tab w:val="clear" w:pos="1224"/>
        </w:tabs>
        <w:spacing w:after="120"/>
        <w:ind w:left="1890"/>
        <w:rPr>
          <w:szCs w:val="22"/>
        </w:rPr>
      </w:pPr>
      <w:r w:rsidRPr="00F12570">
        <w:rPr>
          <w:szCs w:val="22"/>
        </w:rPr>
        <w:t>“Rules” means the Commission’s regulations found in Title 47 of the Code of Federal Regulations.</w:t>
      </w:r>
    </w:p>
    <w:p w:rsidR="006230A0" w:rsidRPr="00592235" w:rsidP="006230A0" w14:paraId="7B9F812F" w14:textId="77777777">
      <w:pPr>
        <w:pStyle w:val="Heading1"/>
        <w:rPr>
          <w:szCs w:val="22"/>
        </w:rPr>
      </w:pPr>
      <w:r w:rsidRPr="00592235">
        <w:t>BACKGROUND</w:t>
      </w:r>
    </w:p>
    <w:p w:rsidR="006230A0" w:rsidRPr="00592235" w:rsidP="0082290F" w14:paraId="312BEB5A" w14:textId="32DDEE5E">
      <w:pPr>
        <w:pStyle w:val="ParaNum"/>
        <w:numPr>
          <w:ilvl w:val="0"/>
          <w:numId w:val="6"/>
        </w:numPr>
        <w:tabs>
          <w:tab w:val="clear" w:pos="1080"/>
          <w:tab w:val="num" w:pos="1440"/>
        </w:tabs>
      </w:pPr>
      <w:r w:rsidRPr="000F2056">
        <w:t>Section 301 of the Act states that “No person shall use or operate any apparatus for the transmission of energy or communications or signals by radio [within the United States]</w:t>
      </w:r>
      <w:r w:rsidR="00AF048C">
        <w:t xml:space="preserve"> </w:t>
      </w:r>
      <w:r w:rsidRPr="000F2056">
        <w:t>… except under and in accordance with this Act and with a license in that behalf granted under the provisions of this Act.”</w:t>
      </w:r>
      <w:r>
        <w:rPr>
          <w:rStyle w:val="FootnoteReference"/>
        </w:rPr>
        <w:footnoteReference w:id="15"/>
      </w:r>
      <w:r w:rsidRPr="000F2056">
        <w:t xml:space="preserve">  Unlicensed radio stations</w:t>
      </w:r>
      <w:r>
        <w:t xml:space="preserve"> o</w:t>
      </w:r>
      <w:r w:rsidRPr="000F2056">
        <w:t>perate illegally</w:t>
      </w:r>
      <w:r>
        <w:t>, in violation of Section 301.  Unlicensed radio stations</w:t>
      </w:r>
      <w:r w:rsidRPr="000F2056">
        <w:t xml:space="preserve"> undermine the Commission’s efforts to manage radio spectrum and can interfere with licensed communications, including authorized broadcasts and public safety transmissions.  </w:t>
      </w:r>
      <w:r>
        <w:rPr>
          <w:spacing w:val="-2"/>
          <w:szCs w:val="22"/>
        </w:rPr>
        <w:t>Moreover, unlicensed radio stations do not broadca</w:t>
      </w:r>
      <w:r w:rsidR="00314EE4">
        <w:rPr>
          <w:spacing w:val="-2"/>
          <w:szCs w:val="22"/>
        </w:rPr>
        <w:t xml:space="preserve">st Emergency Alert Service </w:t>
      </w:r>
      <w:r>
        <w:rPr>
          <w:spacing w:val="-2"/>
          <w:szCs w:val="22"/>
        </w:rPr>
        <w:t>messages, and so create a public safety hazard for their listeners.</w:t>
      </w:r>
    </w:p>
    <w:p w:rsidR="006230A0" w:rsidRPr="007C0B39" w:rsidP="0082290F" w14:paraId="7CF09829" w14:textId="596E61F9">
      <w:pPr>
        <w:pStyle w:val="ParaNum"/>
        <w:numPr>
          <w:ilvl w:val="0"/>
          <w:numId w:val="6"/>
        </w:numPr>
        <w:tabs>
          <w:tab w:val="clear" w:pos="1080"/>
          <w:tab w:val="num" w:pos="1440"/>
        </w:tabs>
      </w:pPr>
      <w:r>
        <w:t xml:space="preserve">Mr. </w:t>
      </w:r>
      <w:r w:rsidR="00E8065C">
        <w:t>Tulloch</w:t>
      </w:r>
      <w:r w:rsidR="00D72794">
        <w:t xml:space="preserve"> </w:t>
      </w:r>
      <w:r>
        <w:t xml:space="preserve">is an individual who operated an unauthorized radio station </w:t>
      </w:r>
      <w:r w:rsidR="00E8065C">
        <w:t xml:space="preserve">on 90.9 MHz from multiple locations in Paterson, New Jersey.  </w:t>
      </w:r>
      <w:r w:rsidRPr="007E04E4">
        <w:rPr>
          <w:spacing w:val="-2"/>
        </w:rPr>
        <w:t xml:space="preserve">On </w:t>
      </w:r>
      <w:r w:rsidRPr="00566822">
        <w:rPr>
          <w:spacing w:val="-2"/>
        </w:rPr>
        <w:t>A</w:t>
      </w:r>
      <w:r w:rsidR="00D72794">
        <w:rPr>
          <w:spacing w:val="-2"/>
        </w:rPr>
        <w:t>pril 2</w:t>
      </w:r>
      <w:r w:rsidR="00E8065C">
        <w:rPr>
          <w:spacing w:val="-2"/>
        </w:rPr>
        <w:t>5</w:t>
      </w:r>
      <w:r w:rsidR="00D72794">
        <w:rPr>
          <w:spacing w:val="-2"/>
        </w:rPr>
        <w:t>, 2017, t</w:t>
      </w:r>
      <w:r w:rsidRPr="007E04E4">
        <w:rPr>
          <w:spacing w:val="-2"/>
        </w:rPr>
        <w:t xml:space="preserve">he Commission </w:t>
      </w:r>
      <w:r w:rsidR="00E8065C">
        <w:rPr>
          <w:spacing w:val="-2"/>
        </w:rPr>
        <w:t xml:space="preserve">released </w:t>
      </w:r>
      <w:r w:rsidR="00A02AFD">
        <w:rPr>
          <w:spacing w:val="-2"/>
        </w:rPr>
        <w:t>the</w:t>
      </w:r>
      <w:r w:rsidRPr="007E04E4">
        <w:rPr>
          <w:spacing w:val="-2"/>
        </w:rPr>
        <w:t xml:space="preserve"> NAL </w:t>
      </w:r>
      <w:r>
        <w:rPr>
          <w:spacing w:val="-2"/>
        </w:rPr>
        <w:t>proposing a $</w:t>
      </w:r>
      <w:r w:rsidR="00D72794">
        <w:rPr>
          <w:spacing w:val="-2"/>
        </w:rPr>
        <w:t>2</w:t>
      </w:r>
      <w:r w:rsidR="00E8065C">
        <w:rPr>
          <w:spacing w:val="-2"/>
        </w:rPr>
        <w:t>5</w:t>
      </w:r>
      <w:r>
        <w:rPr>
          <w:spacing w:val="-2"/>
        </w:rPr>
        <w:t xml:space="preserve">,000 penalty </w:t>
      </w:r>
      <w:r w:rsidRPr="007E04E4">
        <w:rPr>
          <w:spacing w:val="-2"/>
        </w:rPr>
        <w:t xml:space="preserve">against </w:t>
      </w:r>
      <w:r>
        <w:rPr>
          <w:spacing w:val="-2"/>
        </w:rPr>
        <w:t xml:space="preserve">Mr. </w:t>
      </w:r>
      <w:r w:rsidR="00E8065C">
        <w:rPr>
          <w:spacing w:val="-2"/>
        </w:rPr>
        <w:t xml:space="preserve">Tulloch </w:t>
      </w:r>
      <w:r w:rsidRPr="00D72794">
        <w:rPr>
          <w:spacing w:val="-2"/>
        </w:rPr>
        <w:t>for apparently operating an unauthorized radio station in violation of Section 301 of the Act.</w:t>
      </w:r>
      <w:r>
        <w:rPr>
          <w:rStyle w:val="FootnoteReference"/>
          <w:spacing w:val="-2"/>
        </w:rPr>
        <w:footnoteReference w:id="16"/>
      </w:r>
      <w:r w:rsidRPr="00D72794">
        <w:rPr>
          <w:spacing w:val="-2"/>
        </w:rPr>
        <w:t xml:space="preserve">  </w:t>
      </w:r>
      <w:r w:rsidR="00AF048C">
        <w:t>O</w:t>
      </w:r>
      <w:r w:rsidR="00A02AFD">
        <w:t xml:space="preserve">n May 23, 2018, </w:t>
      </w:r>
      <w:r>
        <w:t xml:space="preserve">Mr. </w:t>
      </w:r>
      <w:r w:rsidR="00E8065C">
        <w:t>Tulloch</w:t>
      </w:r>
      <w:r w:rsidR="00AF048C">
        <w:t>, through counsel, attempted to respond to the NAL and submitted a filing seeking a reduction or cancellation of the proposed forfeiture based on his documented inability to pay the full amount of the proposed forfeiture.</w:t>
      </w:r>
      <w:r>
        <w:t xml:space="preserve">  </w:t>
      </w:r>
      <w:r w:rsidR="00AF048C">
        <w:t xml:space="preserve">The Commission </w:t>
      </w:r>
      <w:r w:rsidR="005660A8">
        <w:t>did not</w:t>
      </w:r>
      <w:r w:rsidR="00AF048C">
        <w:t xml:space="preserve"> receive the NAL Response and, on October 31, 2018, released </w:t>
      </w:r>
      <w:r w:rsidR="0028375D">
        <w:t xml:space="preserve">the </w:t>
      </w:r>
      <w:r w:rsidR="00AF048C">
        <w:t>Forfeiture Order imposing the full $25,000 forfeiture.  On November 28, 2018, Mr. Tulloch sought reconsideration of the Forfeiture Order</w:t>
      </w:r>
      <w:r w:rsidR="005660A8">
        <w:t>, stating that he is unable to pay the forfeiture</w:t>
      </w:r>
      <w:r w:rsidR="00AF048C">
        <w:t xml:space="preserve">.  In </w:t>
      </w:r>
      <w:r w:rsidR="0028375D">
        <w:t xml:space="preserve">the </w:t>
      </w:r>
      <w:r w:rsidR="00AF048C">
        <w:t xml:space="preserve">Petition for Reconsideration, Mr. Tulloch </w:t>
      </w:r>
      <w:r w:rsidR="005660A8">
        <w:t xml:space="preserve">also </w:t>
      </w:r>
      <w:r w:rsidR="00AF048C">
        <w:t xml:space="preserve">included a copy of </w:t>
      </w:r>
      <w:r w:rsidR="0028375D">
        <w:t>the</w:t>
      </w:r>
      <w:r w:rsidR="00AF048C">
        <w:t xml:space="preserve"> May 23, 2018, NAL Response, along with tracking information showing that on May 24, 2018, the NAL Response was received by a different federal agency in Washington</w:t>
      </w:r>
      <w:r w:rsidR="005660A8">
        <w:t>, DC</w:t>
      </w:r>
      <w:r w:rsidR="00AF048C">
        <w:t xml:space="preserve">.  </w:t>
      </w:r>
      <w:r w:rsidR="005660A8">
        <w:t>Subsequently</w:t>
      </w:r>
      <w:r w:rsidR="00A02AFD">
        <w:t xml:space="preserve">, Mr. Tulloch and the Bureau </w:t>
      </w:r>
      <w:r>
        <w:t xml:space="preserve">engaged in settlement negotiations.  To settle this matter, the Bureau and Mr. </w:t>
      </w:r>
      <w:r w:rsidR="00A02AFD">
        <w:t xml:space="preserve">Tulloch </w:t>
      </w:r>
      <w:r>
        <w:t>enter into</w:t>
      </w:r>
      <w:r>
        <w:t xml:space="preserve"> this Consent Decree and agree to the following terms and conditions.     </w:t>
      </w:r>
    </w:p>
    <w:p w:rsidR="006230A0" w:rsidRPr="007C0B39" w:rsidP="006230A0" w14:paraId="350A4D23" w14:textId="77777777">
      <w:pPr>
        <w:pStyle w:val="Heading1"/>
      </w:pPr>
      <w:bookmarkStart w:id="1" w:name="FN[FN18]"/>
      <w:bookmarkEnd w:id="1"/>
      <w:r w:rsidRPr="007C0B39">
        <w:t>TERMS OF AGREEMENT</w:t>
      </w:r>
    </w:p>
    <w:p w:rsidR="00071159" w:rsidP="0082290F" w14:paraId="18883B9F" w14:textId="77777777">
      <w:pPr>
        <w:pStyle w:val="ParaNum"/>
        <w:numPr>
          <w:ilvl w:val="0"/>
          <w:numId w:val="6"/>
        </w:numPr>
        <w:tabs>
          <w:tab w:val="clear" w:pos="1080"/>
          <w:tab w:val="num" w:pos="1440"/>
        </w:tabs>
        <w:rPr>
          <w:szCs w:val="22"/>
        </w:rPr>
      </w:pPr>
      <w:r w:rsidRPr="007C0B39">
        <w:rPr>
          <w:b/>
          <w:szCs w:val="22"/>
          <w:u w:val="single"/>
        </w:rPr>
        <w:t>Adopting Order</w:t>
      </w:r>
      <w:r w:rsidRPr="007C0B39">
        <w:rPr>
          <w:szCs w:val="22"/>
        </w:rPr>
        <w:t xml:space="preserve">.  The </w:t>
      </w:r>
      <w:r w:rsidRPr="00071159">
        <w:t>provisions</w:t>
      </w:r>
      <w:r w:rsidRPr="007C0B39">
        <w:rPr>
          <w:szCs w:val="22"/>
        </w:rPr>
        <w:t xml:space="preserve"> of this Consent Decree shall be incorporated by the Bureau in an Adopting Order.</w:t>
      </w:r>
    </w:p>
    <w:p w:rsidR="00071159" w:rsidP="0082290F" w14:paraId="7B9FF375" w14:textId="77777777">
      <w:pPr>
        <w:pStyle w:val="ParaNum"/>
        <w:numPr>
          <w:ilvl w:val="0"/>
          <w:numId w:val="6"/>
        </w:numPr>
        <w:tabs>
          <w:tab w:val="clear" w:pos="1080"/>
          <w:tab w:val="num" w:pos="1440"/>
        </w:tabs>
        <w:rPr>
          <w:szCs w:val="22"/>
        </w:rPr>
      </w:pPr>
      <w:r w:rsidRPr="00071159">
        <w:rPr>
          <w:b/>
          <w:u w:val="single"/>
        </w:rPr>
        <w:t>Jurisdiction</w:t>
      </w:r>
      <w:r>
        <w:t xml:space="preserve">.  Mr. </w:t>
      </w:r>
      <w:r w:rsidRPr="00071159" w:rsidR="00A02AFD">
        <w:rPr>
          <w:szCs w:val="22"/>
        </w:rPr>
        <w:t xml:space="preserve">Tulloch </w:t>
      </w:r>
      <w:r w:rsidRPr="007C0B39">
        <w:t xml:space="preserve">agrees that the Bureau has jurisdiction over </w:t>
      </w:r>
      <w:r>
        <w:t xml:space="preserve">him </w:t>
      </w:r>
      <w:r w:rsidRPr="007C0B39">
        <w:t xml:space="preserve">and the matters contained in this Consent Decree and has the </w:t>
      </w:r>
      <w:r w:rsidRPr="00ED419F">
        <w:t>authority</w:t>
      </w:r>
      <w:r w:rsidRPr="007C0B39">
        <w:t xml:space="preserve"> to </w:t>
      </w:r>
      <w:r w:rsidRPr="007C0B39">
        <w:t>enter into</w:t>
      </w:r>
      <w:r w:rsidRPr="007C0B39">
        <w:t xml:space="preserve"> and adopt this Consent Decree.</w:t>
      </w:r>
    </w:p>
    <w:p w:rsidR="006230A0" w:rsidRPr="00071159" w:rsidP="0082290F" w14:paraId="7DC5ADAD" w14:textId="4A495DCA">
      <w:pPr>
        <w:pStyle w:val="ParaNum"/>
        <w:widowControl/>
        <w:numPr>
          <w:ilvl w:val="0"/>
          <w:numId w:val="6"/>
        </w:numPr>
        <w:tabs>
          <w:tab w:val="clear" w:pos="1080"/>
          <w:tab w:val="num" w:pos="1440"/>
        </w:tabs>
        <w:rPr>
          <w:szCs w:val="22"/>
        </w:rPr>
      </w:pPr>
      <w:r w:rsidRPr="00071159">
        <w:rPr>
          <w:b/>
          <w:szCs w:val="22"/>
          <w:u w:val="single"/>
        </w:rPr>
        <w:t>Effective Date; Violations</w:t>
      </w:r>
      <w:r w:rsidRPr="00071159">
        <w:rPr>
          <w:szCs w:val="22"/>
        </w:rPr>
        <w:t xml:space="preserve">.  The </w:t>
      </w:r>
      <w:r w:rsidRPr="00ED419F">
        <w:t>Parties</w:t>
      </w:r>
      <w:r w:rsidRPr="00071159">
        <w:rPr>
          <w:szCs w:val="22"/>
        </w:rPr>
        <w:t xml:space="preserve"> agree that this Consent Decree shall become effective on the Effective Date as defined herein.  As of the Effective Date, the Parties agree that this Consent Decree shall have the same force and effect as any other order of the Commission.  </w:t>
      </w:r>
    </w:p>
    <w:p w:rsidR="006230A0" w:rsidP="0082290F" w14:paraId="23A4CDEB" w14:textId="05448607">
      <w:pPr>
        <w:pStyle w:val="ParaNum"/>
        <w:numPr>
          <w:ilvl w:val="0"/>
          <w:numId w:val="6"/>
        </w:numPr>
        <w:tabs>
          <w:tab w:val="clear" w:pos="1080"/>
          <w:tab w:val="num" w:pos="1440"/>
        </w:tabs>
      </w:pPr>
      <w:r w:rsidRPr="007C0B39">
        <w:rPr>
          <w:b/>
          <w:u w:val="single"/>
        </w:rPr>
        <w:t>Termination of Investigation</w:t>
      </w:r>
      <w:r w:rsidRPr="007C0B39">
        <w:t xml:space="preserve">.  In express reliance on the covenants and representations in this Consent Decree and to avoid further expenditure of public resources, the Bureau agrees to terminate the Investigation.  In consideration for the termination of the Investigation, </w:t>
      </w:r>
      <w:r>
        <w:t xml:space="preserve">Mr. </w:t>
      </w:r>
      <w:r w:rsidR="00A02AFD">
        <w:t xml:space="preserve">Tulloch </w:t>
      </w:r>
      <w:r w:rsidRPr="007C0B39">
        <w:t xml:space="preserve">agrees to the terms, conditions, and procedures contained herein.  The Bureau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 </w:t>
      </w:r>
      <w:r>
        <w:t xml:space="preserve">Mr. </w:t>
      </w:r>
      <w:r w:rsidR="00A02AFD">
        <w:t>Tulloch</w:t>
      </w:r>
      <w:r w:rsidRPr="00D72794" w:rsidR="00D72794">
        <w:t xml:space="preserve"> </w:t>
      </w:r>
      <w:r w:rsidRPr="007C0B39">
        <w:t>concerning the matters that were the subject of the Investigation.</w:t>
      </w:r>
      <w:r>
        <w:t xml:space="preserve">  </w:t>
      </w:r>
      <w:r w:rsidRPr="00E57147">
        <w:t>The</w:t>
      </w:r>
      <w:r>
        <w:t xml:space="preserv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Mr. </w:t>
      </w:r>
      <w:r w:rsidR="00A02AFD">
        <w:t>Tulloch’s</w:t>
      </w:r>
      <w:r>
        <w:t xml:space="preserve"> basic qualifications to be a Commission licensee or hold Commission licenses or authorizations.</w:t>
      </w:r>
      <w:r>
        <w:rPr>
          <w:rStyle w:val="FootnoteReference"/>
        </w:rPr>
        <w:footnoteReference w:id="17"/>
      </w:r>
    </w:p>
    <w:p w:rsidR="006230A0" w:rsidP="0082290F" w14:paraId="047C84D2" w14:textId="14DAF7AE">
      <w:pPr>
        <w:pStyle w:val="ParaNum"/>
        <w:numPr>
          <w:ilvl w:val="0"/>
          <w:numId w:val="6"/>
        </w:numPr>
        <w:tabs>
          <w:tab w:val="clear" w:pos="1080"/>
          <w:tab w:val="num" w:pos="1440"/>
        </w:tabs>
        <w:rPr>
          <w:szCs w:val="22"/>
        </w:rPr>
      </w:pPr>
      <w:r w:rsidRPr="009929F0">
        <w:rPr>
          <w:b/>
          <w:u w:val="single"/>
        </w:rPr>
        <w:t>Admission of Liability</w:t>
      </w:r>
      <w:r w:rsidRPr="00E86022">
        <w:t xml:space="preserve">.  </w:t>
      </w:r>
      <w:r>
        <w:t xml:space="preserve">Mr. </w:t>
      </w:r>
      <w:r w:rsidR="00A02AFD">
        <w:t>Tulloch</w:t>
      </w:r>
      <w:r w:rsidRPr="001F6641" w:rsidR="001F6641">
        <w:t xml:space="preserve"> </w:t>
      </w:r>
      <w:r w:rsidRPr="00E86022">
        <w:t xml:space="preserve">admits </w:t>
      </w:r>
      <w:r w:rsidRPr="00E86022">
        <w:t>for the purpose of</w:t>
      </w:r>
      <w:r w:rsidRPr="00E86022">
        <w:t xml:space="preserve"> this Consent Decree and for Commission civil</w:t>
      </w:r>
      <w:r w:rsidRPr="007C0B39">
        <w:t xml:space="preserve"> enforcement purposes, and in express reliance on the provisions of paragraph </w:t>
      </w:r>
      <w:r>
        <w:t xml:space="preserve">8 </w:t>
      </w:r>
      <w:r w:rsidRPr="007C0B39">
        <w:t>herein,</w:t>
      </w:r>
      <w:r w:rsidRPr="009929F0">
        <w:rPr>
          <w:szCs w:val="22"/>
        </w:rPr>
        <w:t xml:space="preserve"> that </w:t>
      </w:r>
      <w:r>
        <w:rPr>
          <w:szCs w:val="22"/>
        </w:rPr>
        <w:t>his</w:t>
      </w:r>
      <w:r w:rsidRPr="009929F0">
        <w:rPr>
          <w:szCs w:val="22"/>
        </w:rPr>
        <w:t xml:space="preserve"> actions referenced in paragraph </w:t>
      </w:r>
      <w:r>
        <w:rPr>
          <w:szCs w:val="22"/>
        </w:rPr>
        <w:t>4</w:t>
      </w:r>
      <w:r w:rsidRPr="009929F0">
        <w:rPr>
          <w:szCs w:val="22"/>
        </w:rPr>
        <w:t xml:space="preserve"> herein and </w:t>
      </w:r>
      <w:r w:rsidR="00DF123C">
        <w:rPr>
          <w:szCs w:val="22"/>
        </w:rPr>
        <w:t xml:space="preserve">in </w:t>
      </w:r>
      <w:r w:rsidRPr="009929F0">
        <w:rPr>
          <w:szCs w:val="22"/>
        </w:rPr>
        <w:t xml:space="preserve">the NAL violated Section 301 of the Act.  </w:t>
      </w:r>
    </w:p>
    <w:p w:rsidR="007C66A7" w:rsidRPr="007C66A7" w:rsidP="0082290F" w14:paraId="26BFAE2C" w14:textId="59B49ADD">
      <w:pPr>
        <w:pStyle w:val="ParaNum"/>
        <w:numPr>
          <w:ilvl w:val="0"/>
          <w:numId w:val="6"/>
        </w:numPr>
        <w:tabs>
          <w:tab w:val="clear" w:pos="1080"/>
          <w:tab w:val="num" w:pos="1440"/>
        </w:tabs>
      </w:pPr>
      <w:r>
        <w:rPr>
          <w:b/>
          <w:u w:val="single"/>
        </w:rPr>
        <w:t>Compliance Commitment</w:t>
      </w:r>
      <w:r w:rsidRPr="00592235">
        <w:t>.</w:t>
      </w:r>
      <w:r>
        <w:t xml:space="preserve">  Mr. </w:t>
      </w:r>
      <w:r w:rsidRPr="00071159" w:rsidR="00A02AFD">
        <w:t>Tulloch</w:t>
      </w:r>
      <w:r w:rsidRPr="001F6641" w:rsidR="001F6641">
        <w:rPr>
          <w:szCs w:val="22"/>
        </w:rPr>
        <w:t xml:space="preserve"> </w:t>
      </w:r>
      <w:r>
        <w:t xml:space="preserve">has ceased using or operating </w:t>
      </w:r>
      <w:r>
        <w:t>and in the future</w:t>
      </w:r>
      <w:r>
        <w:t xml:space="preserve"> will not use, operate, or provide material assistance to another in the use or operation of, any unauthorized radio station.  Any use, operation, or provision of material assistance to another in the use or operation of an unauthorized radio station by Mr. </w:t>
      </w:r>
      <w:r w:rsidR="00A02AFD">
        <w:t xml:space="preserve">Tulloch </w:t>
      </w:r>
      <w:r>
        <w:t xml:space="preserve">will violate Section 301 of the Act and the terms of this Consent Decree.  Mr. </w:t>
      </w:r>
      <w:r w:rsidR="00A02AFD">
        <w:t xml:space="preserve">Tulloch </w:t>
      </w:r>
      <w:r>
        <w:t>will report any noncompliance with Section 301 of the Act or with the terms and conditions of this Consent Decree within fifteen (15) calendar days of such noncompliance to Field Director, Office of the Field Director, Enforcement Bureau, Federal Communications Commission, 445 12</w:t>
      </w:r>
      <w:r w:rsidRPr="00592235">
        <w:rPr>
          <w:vertAlign w:val="superscript"/>
        </w:rPr>
        <w:t>th</w:t>
      </w:r>
      <w:r>
        <w:t xml:space="preserve"> Street, S.W., Washington, DC  20554, with a copy submitted electronically to</w:t>
      </w:r>
      <w:r w:rsidR="0028375D">
        <w:t xml:space="preserve"> </w:t>
      </w:r>
      <w:hyperlink r:id="rId9" w:history="1">
        <w:r w:rsidRPr="008A6BA6" w:rsidR="0028375D">
          <w:rPr>
            <w:rStyle w:val="Hyperlink"/>
          </w:rPr>
          <w:t>Matthew.Gibson@fcc.gov</w:t>
        </w:r>
      </w:hyperlink>
      <w:r w:rsidR="0028375D">
        <w:t xml:space="preserve"> and</w:t>
      </w:r>
      <w:r>
        <w:t xml:space="preserve"> </w:t>
      </w:r>
      <w:hyperlink r:id="rId10" w:history="1">
        <w:r w:rsidRPr="008A6BA6" w:rsidR="0028375D">
          <w:rPr>
            <w:rStyle w:val="Hyperlink"/>
          </w:rPr>
          <w:t>field@fcc.gov</w:t>
        </w:r>
      </w:hyperlink>
      <w:r w:rsidR="0028375D">
        <w:t>;</w:t>
      </w:r>
      <w:r w:rsidRPr="00B6557F">
        <w:rPr>
          <w:rStyle w:val="CommentReference"/>
          <w:szCs w:val="22"/>
        </w:rPr>
        <w:t xml:space="preserve"> </w:t>
      </w:r>
      <w:r w:rsidRPr="001F6641">
        <w:rPr>
          <w:rStyle w:val="CommentReference"/>
          <w:sz w:val="22"/>
          <w:szCs w:val="22"/>
        </w:rPr>
        <w:t>any failure to report such noncompliance will violate the terms of this Consent Decree</w:t>
      </w:r>
      <w:r w:rsidRPr="001F6641">
        <w:rPr>
          <w:szCs w:val="22"/>
        </w:rPr>
        <w:t>.</w:t>
      </w:r>
    </w:p>
    <w:p w:rsidR="006230A0" w:rsidP="0082290F" w14:paraId="76232724" w14:textId="7F394604">
      <w:pPr>
        <w:pStyle w:val="ParaNum"/>
        <w:numPr>
          <w:ilvl w:val="0"/>
          <w:numId w:val="6"/>
        </w:numPr>
        <w:tabs>
          <w:tab w:val="clear" w:pos="1080"/>
          <w:tab w:val="num" w:pos="1440"/>
        </w:tabs>
      </w:pPr>
      <w:r w:rsidRPr="007C66A7">
        <w:rPr>
          <w:b/>
          <w:szCs w:val="22"/>
          <w:u w:val="single"/>
        </w:rPr>
        <w:t>Termination Date</w:t>
      </w:r>
      <w:r w:rsidRPr="007C66A7">
        <w:rPr>
          <w:szCs w:val="22"/>
        </w:rPr>
        <w:t xml:space="preserve">. </w:t>
      </w:r>
      <w:r w:rsidRPr="007C66A7">
        <w:rPr>
          <w:b/>
          <w:szCs w:val="22"/>
        </w:rPr>
        <w:t xml:space="preserve"> </w:t>
      </w:r>
      <w:r w:rsidRPr="007C66A7">
        <w:rPr>
          <w:szCs w:val="22"/>
        </w:rPr>
        <w:t xml:space="preserve">Unless stated </w:t>
      </w:r>
      <w:r w:rsidRPr="00071159">
        <w:t>otherwise</w:t>
      </w:r>
      <w:r w:rsidRPr="007C66A7">
        <w:rPr>
          <w:szCs w:val="22"/>
        </w:rPr>
        <w:t xml:space="preserve">, the </w:t>
      </w:r>
      <w:r w:rsidRPr="007C0B39">
        <w:t>requirements</w:t>
      </w:r>
      <w:r w:rsidRPr="007C66A7">
        <w:rPr>
          <w:szCs w:val="22"/>
        </w:rPr>
        <w:t xml:space="preserve"> set forth in paragraph 10 (compliance commitment paragraph) of this Consent Decree shall expire twenty (20) years after the Effective Date.  </w:t>
      </w:r>
      <w:bookmarkStart w:id="2" w:name="_Ref357521957"/>
    </w:p>
    <w:p w:rsidR="006230A0" w:rsidRPr="007C0B39" w:rsidP="0082290F" w14:paraId="3DA1900E" w14:textId="2C533242">
      <w:pPr>
        <w:pStyle w:val="ParaNum"/>
        <w:numPr>
          <w:ilvl w:val="0"/>
          <w:numId w:val="6"/>
        </w:numPr>
        <w:tabs>
          <w:tab w:val="clear" w:pos="1080"/>
          <w:tab w:val="num" w:pos="1440"/>
        </w:tabs>
      </w:pPr>
      <w:r w:rsidRPr="00505C4E">
        <w:rPr>
          <w:b/>
          <w:u w:val="single"/>
        </w:rPr>
        <w:t>Civil Penalty</w:t>
      </w:r>
      <w:r w:rsidRPr="007C0B39">
        <w:t xml:space="preserve">.  </w:t>
      </w:r>
      <w:r w:rsidRPr="00D528BF">
        <w:t xml:space="preserve">In light of </w:t>
      </w:r>
      <w:r>
        <w:t xml:space="preserve">Mr. </w:t>
      </w:r>
      <w:r w:rsidR="005E0D99">
        <w:t>Tulloch’s</w:t>
      </w:r>
      <w:r w:rsidRPr="00D528BF">
        <w:t xml:space="preserve"> demonstrated </w:t>
      </w:r>
      <w:r>
        <w:t>inability to pay,</w:t>
      </w:r>
      <w:r w:rsidRPr="00D528BF">
        <w:t xml:space="preserve"> and subject to the provisions of paragraph </w:t>
      </w:r>
      <w:r>
        <w:t>13</w:t>
      </w:r>
      <w:r w:rsidRPr="00D528BF">
        <w:t xml:space="preserve"> below, </w:t>
      </w:r>
      <w:r>
        <w:t xml:space="preserve">Mr. </w:t>
      </w:r>
      <w:r w:rsidR="005E0D99">
        <w:t xml:space="preserve">Tulloch </w:t>
      </w:r>
      <w:r w:rsidRPr="00D528BF">
        <w:t xml:space="preserve">will pay </w:t>
      </w:r>
      <w:r>
        <w:t>a c</w:t>
      </w:r>
      <w:r w:rsidRPr="00D528BF">
        <w:t>ivil penalt</w:t>
      </w:r>
      <w:r>
        <w:t>y</w:t>
      </w:r>
      <w:r w:rsidRPr="00D528BF">
        <w:t xml:space="preserve"> to the United States Treasury in the amount of </w:t>
      </w:r>
      <w:r w:rsidR="005E0D99">
        <w:t xml:space="preserve">one thousand, five hundred Dollars </w:t>
      </w:r>
      <w:r w:rsidRPr="00D528BF">
        <w:t>($</w:t>
      </w:r>
      <w:r w:rsidR="005E0D99">
        <w:t>1</w:t>
      </w:r>
      <w:r>
        <w:t>,</w:t>
      </w:r>
      <w:r w:rsidR="005E0D99">
        <w:t>500</w:t>
      </w:r>
      <w:r w:rsidRPr="00D528BF">
        <w:t>)</w:t>
      </w:r>
      <w:r>
        <w:t xml:space="preserve"> (Civil Penalty)</w:t>
      </w:r>
      <w:r w:rsidR="005E0D99">
        <w:t xml:space="preserve">, </w:t>
      </w:r>
      <w:r w:rsidRPr="005E0D99" w:rsidR="005E0D99">
        <w:t xml:space="preserve">with an initial payment of </w:t>
      </w:r>
      <w:r w:rsidR="0028375D">
        <w:t>Forty-O</w:t>
      </w:r>
      <w:r w:rsidR="005E0D99">
        <w:t xml:space="preserve">ne Dollars and </w:t>
      </w:r>
      <w:r w:rsidR="0028375D">
        <w:t>N</w:t>
      </w:r>
      <w:r w:rsidR="005E0D99">
        <w:t xml:space="preserve">inety Cents ($41.90) </w:t>
      </w:r>
      <w:r w:rsidRPr="005E0D99" w:rsidR="005E0D99">
        <w:t xml:space="preserve">(Initial Payment) and </w:t>
      </w:r>
      <w:r w:rsidR="005E0D99">
        <w:t xml:space="preserve">thirty-five (35) monthly installment payments, each in the amount of </w:t>
      </w:r>
      <w:r w:rsidR="0028375D">
        <w:t>F</w:t>
      </w:r>
      <w:r w:rsidR="005E0D99">
        <w:t>orty-</w:t>
      </w:r>
      <w:r w:rsidR="0028375D">
        <w:t>O</w:t>
      </w:r>
      <w:r w:rsidR="005E0D99">
        <w:t xml:space="preserve">ne Dollars and </w:t>
      </w:r>
      <w:r w:rsidR="0028375D">
        <w:t>Sixty-S</w:t>
      </w:r>
      <w:r w:rsidR="005E0D99">
        <w:t xml:space="preserve">ix Cents ($41.66), </w:t>
      </w:r>
      <w:r w:rsidRPr="005E0D99" w:rsidR="005E0D99">
        <w:t xml:space="preserve">paid over the course of a thirty six month period (each, an Installment Payment). </w:t>
      </w:r>
      <w:r w:rsidR="0028375D">
        <w:t xml:space="preserve"> </w:t>
      </w:r>
      <w:r w:rsidRPr="005E0D99" w:rsidR="005E0D99">
        <w:t xml:space="preserve">The Initial Payment shall be made within thirty (30) calendar days of the Effective Date.  Thereafter, the Installment Payments are due and payable </w:t>
      </w:r>
      <w:r w:rsidR="005E0D99">
        <w:t xml:space="preserve">monthly on the </w:t>
      </w:r>
      <w:r w:rsidR="00AF048C">
        <w:t>fifth</w:t>
      </w:r>
      <w:r w:rsidR="007C66A7">
        <w:t xml:space="preserve"> (</w:t>
      </w:r>
      <w:r w:rsidR="00AF048C">
        <w:t>5th</w:t>
      </w:r>
      <w:r w:rsidR="007C66A7">
        <w:t xml:space="preserve">) </w:t>
      </w:r>
      <w:r w:rsidR="005E0D99">
        <w:t xml:space="preserve">day of the month, starting on </w:t>
      </w:r>
      <w:r w:rsidR="000D025B">
        <w:t>April</w:t>
      </w:r>
      <w:r w:rsidR="007C66A7">
        <w:t xml:space="preserve"> </w:t>
      </w:r>
      <w:r w:rsidR="00AF048C">
        <w:t>5</w:t>
      </w:r>
      <w:r w:rsidR="007C66A7">
        <w:t>, 2019</w:t>
      </w:r>
      <w:r w:rsidR="005E0D99">
        <w:t xml:space="preserve">, and with a final Installment Payment due on </w:t>
      </w:r>
      <w:r w:rsidR="00285665">
        <w:t>February</w:t>
      </w:r>
      <w:r w:rsidR="007C66A7">
        <w:t xml:space="preserve"> </w:t>
      </w:r>
      <w:r w:rsidR="00AF048C">
        <w:t>5</w:t>
      </w:r>
      <w:r w:rsidR="007C66A7">
        <w:t>, 2022</w:t>
      </w:r>
      <w:r w:rsidRPr="005E0D99" w:rsidR="005E0D99">
        <w:t xml:space="preserve">.  Mr. </w:t>
      </w:r>
      <w:r w:rsidR="005E0D99">
        <w:t>Tulloch</w:t>
      </w:r>
      <w:r w:rsidRPr="005E0D99" w:rsidR="005E0D99">
        <w:t xml:space="preserve"> acknowledges and agrees that upon execution of this Consent Decree, the Civil Penalty (including, for the avoidance of doubt, the Initial Payment and each Installment Payment) shall become a “Claim” or “Debt”</w:t>
      </w:r>
      <w:r w:rsidRPr="00D528BF">
        <w:t xml:space="preserve"> as defined in Section 3701(b)(1) of the Debt Collection Improvement Act of 1996 (DCIA).</w:t>
      </w:r>
      <w:r>
        <w:rPr>
          <w:rStyle w:val="FootnoteReference"/>
        </w:rPr>
        <w:footnoteReference w:id="18"/>
      </w:r>
      <w:r w:rsidRPr="00D528BF">
        <w:t xml:space="preserve">  </w:t>
      </w:r>
      <w:r>
        <w:t xml:space="preserve">Mr. </w:t>
      </w:r>
      <w:r w:rsidR="005E0D99">
        <w:t>Tulloch</w:t>
      </w:r>
      <w:r>
        <w:t xml:space="preserve"> </w:t>
      </w:r>
      <w:r w:rsidRPr="007C0B39">
        <w:t>shall send electronic notification of payment to</w:t>
      </w:r>
      <w:r>
        <w:t xml:space="preserve"> </w:t>
      </w:r>
      <w:hyperlink r:id="rId9" w:history="1">
        <w:r w:rsidRPr="008A6BA6" w:rsidR="005E0D99">
          <w:rPr>
            <w:rStyle w:val="Hyperlink"/>
          </w:rPr>
          <w:t>Matthew.Gibson@fcc.gov</w:t>
        </w:r>
      </w:hyperlink>
      <w:r w:rsidR="005E0D99">
        <w:t xml:space="preserve"> and </w:t>
      </w:r>
      <w:hyperlink r:id="rId11" w:history="1">
        <w:r>
          <w:rPr>
            <w:rStyle w:val="Hyperlink"/>
          </w:rPr>
          <w:t>field@fcc.gov</w:t>
        </w:r>
      </w:hyperlink>
      <w:r>
        <w:t xml:space="preserve"> on the date </w:t>
      </w:r>
      <w:r w:rsidR="005E0D99">
        <w:t>each</w:t>
      </w:r>
      <w:r w:rsidR="00414BC1">
        <w:t xml:space="preserve"> </w:t>
      </w:r>
      <w:r w:rsidRPr="007C0B39">
        <w:t>payment is made.</w:t>
      </w:r>
      <w:bookmarkEnd w:id="2"/>
      <w:r w:rsidRPr="007C0B39">
        <w:t xml:space="preserve">  </w:t>
      </w:r>
      <w:r w:rsidRPr="00505C4E">
        <w:rPr>
          <w:szCs w:val="22"/>
        </w:rPr>
        <w:t xml:space="preserve">The </w:t>
      </w:r>
      <w:r w:rsidRPr="007C0B39">
        <w:t xml:space="preserve">payment </w:t>
      </w:r>
      <w:r w:rsidRPr="00505C4E">
        <w:rPr>
          <w:szCs w:val="22"/>
        </w:rPr>
        <w:t>must be made by check or similar instrument, wire transfer, or credit card, and must include the NAL/Account Number and FRN referenced above</w:t>
      </w:r>
      <w:r w:rsidRPr="008B082A">
        <w:t>.</w:t>
      </w:r>
      <w:r w:rsidRPr="00505C4E">
        <w:rPr>
          <w:szCs w:val="22"/>
        </w:rPr>
        <w:t xml:space="preserve">  Regardless of the form of payment, a completed FCC Form 159 </w:t>
      </w:r>
      <w:r w:rsidRPr="00505C4E">
        <w:rPr>
          <w:szCs w:val="22"/>
        </w:rPr>
        <w:t>(Remittance Advice) must be submitted.</w:t>
      </w:r>
      <w:r>
        <w:rPr>
          <w:rStyle w:val="FootnoteReference"/>
          <w:szCs w:val="22"/>
        </w:rPr>
        <w:footnoteReference w:id="19"/>
      </w:r>
      <w:r w:rsidRPr="00505C4E">
        <w:rPr>
          <w:szCs w:val="22"/>
        </w:rPr>
        <w:t xml:space="preserve">  When completing the FCC Form 159, enter the NAL/Account Number in block number 23A (call sign/other ID) and enter the letters “FORF” in block number 24A (payment type code).  Below are additional instructions that should be followed based on the form of payment selected:</w:t>
      </w:r>
    </w:p>
    <w:p w:rsidR="006230A0" w:rsidRPr="007C0B39" w:rsidP="0082290F" w14:paraId="7A204C36" w14:textId="77777777">
      <w:pPr>
        <w:pStyle w:val="ParaNum"/>
        <w:widowControl/>
        <w:numPr>
          <w:ilvl w:val="0"/>
          <w:numId w:val="5"/>
        </w:numPr>
        <w:rPr>
          <w:rFonts w:eastAsia="MS Mincho"/>
          <w:szCs w:val="22"/>
        </w:rPr>
      </w:pPr>
      <w:r w:rsidRPr="007C0B39">
        <w:rPr>
          <w:rFonts w:eastAsia="MS Mincho"/>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7C0B39">
        <w:rPr>
          <w:rFonts w:eastAsia="MS Mincho"/>
          <w:szCs w:val="22"/>
        </w:rPr>
        <w:noBreakHyphen/>
        <w:t>MO</w:t>
      </w:r>
      <w:r w:rsidRPr="007C0B39">
        <w:rPr>
          <w:rFonts w:eastAsia="MS Mincho"/>
          <w:szCs w:val="22"/>
        </w:rPr>
        <w:noBreakHyphen/>
        <w:t>C2</w:t>
      </w:r>
      <w:r w:rsidRPr="007C0B39">
        <w:rPr>
          <w:rFonts w:eastAsia="MS Mincho"/>
          <w:szCs w:val="22"/>
        </w:rPr>
        <w:noBreakHyphen/>
        <w:t>GL, 1005 Convention Plaza, St. Louis, MO 63101.</w:t>
      </w:r>
    </w:p>
    <w:p w:rsidR="006230A0" w:rsidRPr="007C0B39" w:rsidP="0082290F" w14:paraId="4418BFBC" w14:textId="77777777">
      <w:pPr>
        <w:pStyle w:val="ParaNum"/>
        <w:numPr>
          <w:ilvl w:val="0"/>
          <w:numId w:val="5"/>
        </w:numPr>
        <w:rPr>
          <w:rFonts w:eastAsia="MS Mincho"/>
          <w:szCs w:val="22"/>
        </w:rPr>
      </w:pPr>
      <w:r w:rsidRPr="007C0B39">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6230A0" w:rsidRPr="007C0B39" w:rsidP="0082290F" w14:paraId="04805C8D" w14:textId="77777777">
      <w:pPr>
        <w:pStyle w:val="ParaNum"/>
        <w:widowControl/>
        <w:numPr>
          <w:ilvl w:val="0"/>
          <w:numId w:val="5"/>
        </w:numPr>
        <w:rPr>
          <w:rFonts w:eastAsia="MS Mincho"/>
          <w:szCs w:val="22"/>
        </w:rPr>
      </w:pPr>
      <w:r w:rsidRPr="007C0B39">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6230A0" w:rsidP="006230A0" w14:paraId="4B6B4B1D" w14:textId="77777777">
      <w:pPr>
        <w:spacing w:after="120"/>
        <w:rPr>
          <w:rFonts w:eastAsia="MS Mincho"/>
        </w:rPr>
      </w:pPr>
      <w:r w:rsidRPr="007C0B39">
        <w:rPr>
          <w:rFonts w:eastAsia="MS Mincho"/>
        </w:rPr>
        <w:t xml:space="preserve">Questions regarding payment procedures should be addressed to the Financial Operations Group Help Desk by phone, 1-877-480-3201, or by e-mail, </w:t>
      </w:r>
      <w:hyperlink r:id="rId12" w:history="1">
        <w:r w:rsidRPr="003B403C">
          <w:rPr>
            <w:rStyle w:val="Hyperlink"/>
            <w:rFonts w:eastAsia="MS Mincho"/>
          </w:rPr>
          <w:t>ARINQUIRIES@fcc.gov</w:t>
        </w:r>
      </w:hyperlink>
      <w:r w:rsidRPr="007C0B39">
        <w:rPr>
          <w:rFonts w:eastAsia="MS Mincho"/>
        </w:rPr>
        <w:t>.</w:t>
      </w:r>
    </w:p>
    <w:p w:rsidR="006230A0" w:rsidRPr="00D603E7" w:rsidP="0082290F" w14:paraId="6E2D72B8" w14:textId="528F3EF8">
      <w:pPr>
        <w:pStyle w:val="ParaNum"/>
        <w:numPr>
          <w:ilvl w:val="0"/>
          <w:numId w:val="6"/>
        </w:numPr>
        <w:tabs>
          <w:tab w:val="clear" w:pos="1080"/>
          <w:tab w:val="num" w:pos="1440"/>
        </w:tabs>
        <w:rPr>
          <w:rFonts w:eastAsia="MS Mincho"/>
        </w:rPr>
      </w:pPr>
      <w:r>
        <w:rPr>
          <w:b/>
          <w:u w:val="single"/>
        </w:rPr>
        <w:t>Suspended</w:t>
      </w:r>
      <w:r w:rsidRPr="00D603E7">
        <w:rPr>
          <w:b/>
          <w:u w:val="single"/>
        </w:rPr>
        <w:t xml:space="preserve"> Penalty</w:t>
      </w:r>
      <w:r>
        <w:t xml:space="preserve">.  Mr. </w:t>
      </w:r>
      <w:r w:rsidR="005E0D99">
        <w:t>Tulloch</w:t>
      </w:r>
      <w:r w:rsidRPr="00353F2F">
        <w:t xml:space="preserve"> </w:t>
      </w:r>
      <w:r w:rsidRPr="00D528BF">
        <w:t xml:space="preserve">further agrees that, upon an Event of Default (as described below in paragraph </w:t>
      </w:r>
      <w:r>
        <w:t>14</w:t>
      </w:r>
      <w:r w:rsidRPr="00D528BF">
        <w:t xml:space="preserve">), </w:t>
      </w:r>
      <w:r>
        <w:t>he</w:t>
      </w:r>
      <w:r w:rsidRPr="00D528BF">
        <w:t xml:space="preserve"> will pay a further civil penalty to the United States Treasury in the amount of </w:t>
      </w:r>
      <w:r w:rsidR="005E0D99">
        <w:t xml:space="preserve">twenty-three thousand, five hundred Dollars ($23,500) </w:t>
      </w:r>
      <w:r>
        <w:t>(Additional</w:t>
      </w:r>
      <w:r w:rsidRPr="00D528BF">
        <w:t xml:space="preserve"> Civil Penalty).  </w:t>
      </w:r>
      <w:r>
        <w:t xml:space="preserve">Mr. </w:t>
      </w:r>
      <w:r w:rsidR="005E0D99">
        <w:t xml:space="preserve">Tulloch </w:t>
      </w:r>
      <w:r w:rsidRPr="00D528BF">
        <w:t xml:space="preserve">acknowledges and agrees that upon an Event of Default, the </w:t>
      </w:r>
      <w:r>
        <w:t>Additional</w:t>
      </w:r>
      <w:r w:rsidRPr="00D528BF">
        <w:t xml:space="preserve"> Civil Penalty shall</w:t>
      </w:r>
      <w:r>
        <w:t xml:space="preserve"> also</w:t>
      </w:r>
      <w:r w:rsidRPr="00D528BF">
        <w:t xml:space="preserve"> become a “Claim” or “Debt” as defined in Section 3701(b)(1) of the DCIA,</w:t>
      </w:r>
      <w:r>
        <w:rPr>
          <w:rStyle w:val="FootnoteReference"/>
        </w:rPr>
        <w:footnoteReference w:id="20"/>
      </w:r>
      <w:r w:rsidRPr="00D528BF">
        <w:t xml:space="preserve"> and all procedures for collection of the </w:t>
      </w:r>
      <w:r>
        <w:t>Additional</w:t>
      </w:r>
      <w:r w:rsidRPr="00D528BF">
        <w:t xml:space="preserve"> Civil Penalty may, at the Commission’s discretion, be initiated</w:t>
      </w:r>
      <w:r>
        <w:t xml:space="preserve"> against Mr. </w:t>
      </w:r>
      <w:r w:rsidR="00891B9B">
        <w:t>Tulloch</w:t>
      </w:r>
      <w:r w:rsidRPr="00D528BF">
        <w:t>.</w:t>
      </w:r>
      <w:r>
        <w:t xml:space="preserve">  </w:t>
      </w:r>
    </w:p>
    <w:p w:rsidR="006230A0" w:rsidP="0082290F" w14:paraId="6096FF38" w14:textId="2AE6E623">
      <w:pPr>
        <w:pStyle w:val="ParaNum"/>
        <w:numPr>
          <w:ilvl w:val="0"/>
          <w:numId w:val="6"/>
        </w:numPr>
        <w:tabs>
          <w:tab w:val="clear" w:pos="1080"/>
          <w:tab w:val="num" w:pos="1440"/>
        </w:tabs>
      </w:pPr>
      <w:r w:rsidRPr="00D55502">
        <w:rPr>
          <w:b/>
          <w:u w:val="single"/>
        </w:rPr>
        <w:t>Event of Default</w:t>
      </w:r>
      <w:r w:rsidRPr="00D55502">
        <w:rPr>
          <w:i/>
        </w:rPr>
        <w:t>.</w:t>
      </w:r>
      <w:r w:rsidRPr="008B082A">
        <w:t xml:space="preserve">  </w:t>
      </w:r>
      <w:r>
        <w:t xml:space="preserve">Mr. </w:t>
      </w:r>
      <w:r w:rsidR="00891B9B">
        <w:t>Tulloch</w:t>
      </w:r>
      <w:r w:rsidR="001D67C7">
        <w:t xml:space="preserve"> </w:t>
      </w:r>
      <w:r w:rsidRPr="00D528BF">
        <w:t xml:space="preserve">agrees that an Event of Default shall occur upon (1) </w:t>
      </w:r>
      <w:r>
        <w:t xml:space="preserve">the failure to pay the Civil Penalty to the U.S. Treasury on or before the date specified in Paragraph 12; (2) </w:t>
      </w:r>
      <w:r w:rsidRPr="00D528BF">
        <w:t xml:space="preserve">the release of an order within three years of the Effective Date by the Commission, such as a Notice of Apparent Liability for Forfeiture </w:t>
      </w:r>
      <w:r>
        <w:t xml:space="preserve">that is uncontested </w:t>
      </w:r>
      <w:r w:rsidRPr="00D528BF">
        <w:t xml:space="preserve">or </w:t>
      </w:r>
      <w:r>
        <w:t xml:space="preserve">a </w:t>
      </w:r>
      <w:r w:rsidRPr="00D528BF">
        <w:t>Forfeiture Order, finding that</w:t>
      </w:r>
      <w:r>
        <w:t xml:space="preserve"> Mr. </w:t>
      </w:r>
      <w:r w:rsidR="00891B9B">
        <w:t>Tulloch</w:t>
      </w:r>
      <w:r w:rsidR="001D67C7">
        <w:t xml:space="preserve"> </w:t>
      </w:r>
      <w:r w:rsidRPr="00D528BF">
        <w:t xml:space="preserve">violated </w:t>
      </w:r>
      <w:r>
        <w:t>Section 301 of the Act</w:t>
      </w:r>
      <w:r w:rsidRPr="00D528BF">
        <w:t xml:space="preserve">; </w:t>
      </w:r>
      <w:r>
        <w:t xml:space="preserve">(3) an admission of non-compliance required by Paragraph 10; </w:t>
      </w:r>
      <w:r w:rsidRPr="00D528BF">
        <w:t>or (</w:t>
      </w:r>
      <w:r>
        <w:t>4</w:t>
      </w:r>
      <w:r w:rsidRPr="00D528BF">
        <w:t>) the release of an order by the Commission finding that</w:t>
      </w:r>
      <w:r>
        <w:t xml:space="preserve"> Mr. </w:t>
      </w:r>
      <w:r w:rsidR="00891B9B">
        <w:t xml:space="preserve">Tulloch </w:t>
      </w:r>
      <w:r w:rsidRPr="00D528BF">
        <w:t xml:space="preserve">materially misstated </w:t>
      </w:r>
      <w:r>
        <w:t>his</w:t>
      </w:r>
      <w:r w:rsidRPr="00D528BF">
        <w:t xml:space="preserve"> financial condition in the documents </w:t>
      </w:r>
      <w:r>
        <w:t>he</w:t>
      </w:r>
      <w:r w:rsidRPr="00D528BF">
        <w:t xml:space="preserve"> produced to support </w:t>
      </w:r>
      <w:r>
        <w:t>his</w:t>
      </w:r>
      <w:r w:rsidRPr="00D528BF">
        <w:t xml:space="preserve"> claim of inability to pay.  </w:t>
      </w:r>
    </w:p>
    <w:p w:rsidR="006230A0" w:rsidRPr="00D528BF" w:rsidP="0082290F" w14:paraId="1BC9E349" w14:textId="35DA901A">
      <w:pPr>
        <w:pStyle w:val="ParaNum"/>
        <w:numPr>
          <w:ilvl w:val="0"/>
          <w:numId w:val="6"/>
        </w:numPr>
        <w:tabs>
          <w:tab w:val="clear" w:pos="1080"/>
          <w:tab w:val="num" w:pos="1440"/>
        </w:tabs>
      </w:pPr>
      <w:r>
        <w:rPr>
          <w:b/>
          <w:u w:val="single"/>
        </w:rPr>
        <w:t>Interest, Charges for Collection, and Acceleration of Maturity Date</w:t>
      </w:r>
      <w:r>
        <w:t xml:space="preserve">. </w:t>
      </w:r>
      <w:r w:rsidRPr="00D528BF">
        <w:t>Upon an Event of Default, all procedures for collection permitted by the DCIA and other provisions of law</w:t>
      </w:r>
      <w:r>
        <w:rPr>
          <w:rStyle w:val="FootnoteReference"/>
        </w:rPr>
        <w:footnoteReference w:id="21"/>
      </w:r>
      <w:r w:rsidRPr="00D528BF">
        <w:t xml:space="preserve"> may, at the Commission’s discretion, be initiated and the following shall become immediately due and payable, without notice, presentment, demand, protest, or notice of protest of any kind, all of which are waived by </w:t>
      </w:r>
      <w:r>
        <w:t xml:space="preserve">Mr. </w:t>
      </w:r>
      <w:r w:rsidR="00891B9B">
        <w:t>Tulloch</w:t>
      </w:r>
      <w:r>
        <w:t xml:space="preserve">:  (a) any unpaid Civil Penalty referenced in Paragraph 12, </w:t>
      </w:r>
      <w:r w:rsidRPr="00D528BF">
        <w:t>which shall accrue interest at a rate of the U.S. Prime Rate in effect on the date of the Event of Default plus 4.75 percent per annum from the date of the Event of Default until payment in full;</w:t>
      </w:r>
      <w:r>
        <w:t xml:space="preserve"> (b) the Additional Civil Penalty referenced in Paragraph 13, </w:t>
      </w:r>
      <w:r w:rsidRPr="00D528BF">
        <w:t>which shall accrue interest at a rate of the U.S. Prime Rate in effect on the date of the Event of Default plus 4.75 percent per annum from the date of the Event of Default until payment in full;</w:t>
      </w:r>
      <w:r>
        <w:t xml:space="preserve"> (c) </w:t>
      </w:r>
      <w:r w:rsidRPr="00D528BF">
        <w:t xml:space="preserve">any </w:t>
      </w:r>
      <w:r w:rsidRPr="00D528BF">
        <w:t>penalties permitted and/or required by the law, including but not lim</w:t>
      </w:r>
      <w:r>
        <w:t>ited to 31 U.S.C. § 3717; and (d</w:t>
      </w:r>
      <w:r w:rsidRPr="00D528BF">
        <w:t xml:space="preserve">) any administrative charge(s), including the costs of collection, </w:t>
      </w:r>
      <w:r>
        <w:t>litigation, and attorneys’ fees.</w:t>
      </w:r>
      <w:r w:rsidRPr="00D55502">
        <w:rPr>
          <w:i/>
          <w:szCs w:val="22"/>
        </w:rPr>
        <w:t xml:space="preserve"> </w:t>
      </w:r>
    </w:p>
    <w:p w:rsidR="006230A0" w:rsidRPr="007C0B39" w:rsidP="0082290F" w14:paraId="2B211620" w14:textId="5C377329">
      <w:pPr>
        <w:pStyle w:val="ParaNum"/>
        <w:numPr>
          <w:ilvl w:val="0"/>
          <w:numId w:val="6"/>
        </w:numPr>
        <w:tabs>
          <w:tab w:val="clear" w:pos="1080"/>
          <w:tab w:val="num" w:pos="1440"/>
        </w:tabs>
      </w:pPr>
      <w:r w:rsidRPr="007C0B39">
        <w:rPr>
          <w:b/>
          <w:u w:val="single"/>
        </w:rPr>
        <w:t>Waivers</w:t>
      </w:r>
      <w:r w:rsidRPr="007C0B39">
        <w:t xml:space="preserve">.  As of the Effective Date, </w:t>
      </w:r>
      <w:r>
        <w:t xml:space="preserve">Mr. </w:t>
      </w:r>
      <w:r w:rsidR="00891B9B">
        <w:t>Tulloch</w:t>
      </w:r>
      <w:r>
        <w:t xml:space="preserve"> </w:t>
      </w:r>
      <w:r w:rsidRPr="007C0B39">
        <w:t xml:space="preserve">waives </w:t>
      </w:r>
      <w:r w:rsidRPr="007C0B39">
        <w:t>any and all</w:t>
      </w:r>
      <w:r w:rsidRPr="007C0B39">
        <w:t xml:space="preserve"> rights </w:t>
      </w:r>
      <w:r>
        <w:t>he</w:t>
      </w:r>
      <w:r w:rsidRPr="007C0B39">
        <w:t xml:space="preserve"> may have to seek administrative or judicial reconsideration, review, appeal or stay, or to otherwise challenge or contest the validity of this Consent Decree and the Adopting Order.  </w:t>
      </w:r>
      <w:r>
        <w:t xml:space="preserve">Mr. </w:t>
      </w:r>
      <w:r w:rsidR="00891B9B">
        <w:t xml:space="preserve">Tulloch </w:t>
      </w:r>
      <w:r w:rsidRPr="007C0B39">
        <w:t>shall retain the right to challenge Commission interpretation of the Consent Decree or any terms contained herein.  If either Party (or the United States on behalf of the Commission) brings a judicial action to enforce the terms of the Consent Decree or the Adopting Order, neither</w:t>
      </w:r>
      <w:r>
        <w:t xml:space="preserve"> Mr. </w:t>
      </w:r>
      <w:r w:rsidR="00891B9B">
        <w:t>Tulloch</w:t>
      </w:r>
      <w:r w:rsidRPr="00F01B86">
        <w:t xml:space="preserve"> </w:t>
      </w:r>
      <w:r w:rsidRPr="007C0B39">
        <w:t xml:space="preserve">nor the Commission shall contest the validity of the Consent Decree or the Adopting Order, and </w:t>
      </w:r>
      <w:r>
        <w:t xml:space="preserve">Mr. </w:t>
      </w:r>
      <w:r w:rsidR="00891B9B">
        <w:t xml:space="preserve">Tulloch </w:t>
      </w:r>
      <w:r w:rsidRPr="007C0B39">
        <w:t xml:space="preserve">shall waive any statutory right to a trial </w:t>
      </w:r>
      <w:r w:rsidRPr="007C0B39">
        <w:rPr>
          <w:i/>
        </w:rPr>
        <w:t>de novo</w:t>
      </w:r>
      <w:r w:rsidRPr="007C0B39">
        <w:t xml:space="preserve">.  </w:t>
      </w:r>
      <w:r w:rsidR="001D67C7">
        <w:t xml:space="preserve">Mr. </w:t>
      </w:r>
      <w:r w:rsidR="00891B9B">
        <w:t>Tulloch</w:t>
      </w:r>
      <w:r w:rsidRPr="00B33901">
        <w:t xml:space="preserve"> </w:t>
      </w:r>
      <w:r w:rsidRPr="007C0B39">
        <w:t xml:space="preserve">hereby agrees to waive any claims </w:t>
      </w:r>
      <w:r>
        <w:t>he</w:t>
      </w:r>
      <w:r w:rsidRPr="007C0B39">
        <w:t xml:space="preserve"> may otherwise have under the Equal Access to Justice Act</w:t>
      </w:r>
      <w:r>
        <w:rPr>
          <w:rStyle w:val="FootnoteReference"/>
          <w:szCs w:val="22"/>
        </w:rPr>
        <w:footnoteReference w:id="22"/>
      </w:r>
      <w:r w:rsidRPr="007C0B39">
        <w:t xml:space="preserve"> relating to the matters addressed in this Consent Decree.</w:t>
      </w:r>
    </w:p>
    <w:p w:rsidR="006230A0" w:rsidRPr="007C0B39" w:rsidP="0082290F" w14:paraId="2F5AA2B7" w14:textId="77777777">
      <w:pPr>
        <w:pStyle w:val="ParaNum"/>
        <w:numPr>
          <w:ilvl w:val="0"/>
          <w:numId w:val="6"/>
        </w:numPr>
        <w:tabs>
          <w:tab w:val="clear" w:pos="1080"/>
          <w:tab w:val="num" w:pos="1440"/>
        </w:tabs>
        <w:rPr>
          <w:szCs w:val="22"/>
        </w:rPr>
      </w:pPr>
      <w:r w:rsidRPr="007C0B39">
        <w:rPr>
          <w:b/>
          <w:szCs w:val="22"/>
          <w:u w:val="single"/>
        </w:rPr>
        <w:t>Severability</w:t>
      </w:r>
      <w:r w:rsidRPr="007C0B39">
        <w:rPr>
          <w:szCs w:val="22"/>
        </w:rPr>
        <w:t xml:space="preserve">.  The Parties agree that if any of the provisions of the Consent Decree shall be held unenforceable by any court of </w:t>
      </w:r>
      <w:r w:rsidRPr="00071159">
        <w:t>competent</w:t>
      </w:r>
      <w:r w:rsidRPr="007C0B39">
        <w:rPr>
          <w:szCs w:val="22"/>
        </w:rPr>
        <w:t xml:space="preserve"> jurisdiction, such unenforceability shall not render unenforceable the entire Consent Decree, but rather the entire Consent Decree shall be construed as if not containing the </w:t>
      </w:r>
      <w:r w:rsidRPr="007C0B39">
        <w:rPr>
          <w:szCs w:val="22"/>
        </w:rPr>
        <w:t>particular unenforceable</w:t>
      </w:r>
      <w:r w:rsidRPr="007C0B39">
        <w:rPr>
          <w:szCs w:val="22"/>
        </w:rPr>
        <w:t xml:space="preserve"> provision or provisions, and the rights and obligations of the Parties shall be construed and enforced accordingly.</w:t>
      </w:r>
    </w:p>
    <w:p w:rsidR="006230A0" w:rsidRPr="007C0B39" w:rsidP="0082290F" w14:paraId="43211F32" w14:textId="77777777">
      <w:pPr>
        <w:pStyle w:val="ParaNum"/>
        <w:numPr>
          <w:ilvl w:val="0"/>
          <w:numId w:val="6"/>
        </w:numPr>
        <w:tabs>
          <w:tab w:val="clear" w:pos="1080"/>
          <w:tab w:val="num" w:pos="1440"/>
        </w:tabs>
        <w:rPr>
          <w:szCs w:val="22"/>
        </w:rPr>
      </w:pPr>
      <w:r w:rsidRPr="007C0B39">
        <w:rPr>
          <w:b/>
          <w:szCs w:val="22"/>
          <w:u w:val="single"/>
        </w:rPr>
        <w:t>Invalidity</w:t>
      </w:r>
      <w:r w:rsidRPr="007C0B39">
        <w:rPr>
          <w:szCs w:val="22"/>
        </w:rPr>
        <w:t xml:space="preserve">.  </w:t>
      </w:r>
      <w:r w:rsidRPr="007C0B39">
        <w:rPr>
          <w:szCs w:val="22"/>
        </w:rPr>
        <w:t>In the event that</w:t>
      </w:r>
      <w:r w:rsidRPr="007C0B39">
        <w:rPr>
          <w:szCs w:val="22"/>
        </w:rPr>
        <w:t xml:space="preserve"> this Consent Decree in its entirety is rendered invalid by any court of competent jurisdiction, it shall become null and void and may not be used in any manner in any legal proceeding.</w:t>
      </w:r>
    </w:p>
    <w:p w:rsidR="006230A0" w:rsidRPr="007C0B39" w:rsidP="0082290F" w14:paraId="68B69D66" w14:textId="6EFDE938">
      <w:pPr>
        <w:pStyle w:val="ParaNum"/>
        <w:numPr>
          <w:ilvl w:val="0"/>
          <w:numId w:val="6"/>
        </w:numPr>
        <w:tabs>
          <w:tab w:val="clear" w:pos="1080"/>
          <w:tab w:val="num" w:pos="1440"/>
        </w:tabs>
      </w:pPr>
      <w:r w:rsidRPr="007C0B39">
        <w:rPr>
          <w:b/>
          <w:u w:val="single"/>
        </w:rPr>
        <w:t>Subsequent Rule or Order</w:t>
      </w:r>
      <w:r w:rsidRPr="007C0B39">
        <w:t xml:space="preserve">.  The Parties agree that if any provision of the Consent Decree conflicts with any subsequent Rule or Order adopted by the Commission (except an Order specifically intended to revise the terms of this Consent Decree to which </w:t>
      </w:r>
      <w:r>
        <w:t xml:space="preserve">Mr. </w:t>
      </w:r>
      <w:r w:rsidR="00891B9B">
        <w:t>Tulloch</w:t>
      </w:r>
      <w:r w:rsidRPr="00B33901">
        <w:t xml:space="preserve"> </w:t>
      </w:r>
      <w:r w:rsidRPr="007C0B39">
        <w:t>does not expressly consent) that provision will be superseded by such Rule or Order.</w:t>
      </w:r>
    </w:p>
    <w:p w:rsidR="006230A0" w:rsidRPr="007C0B39" w:rsidP="0082290F" w14:paraId="40C142E6" w14:textId="3E4135C2">
      <w:pPr>
        <w:pStyle w:val="ParaNum"/>
        <w:numPr>
          <w:ilvl w:val="0"/>
          <w:numId w:val="6"/>
        </w:numPr>
        <w:tabs>
          <w:tab w:val="clear" w:pos="1080"/>
          <w:tab w:val="num" w:pos="1440"/>
        </w:tabs>
      </w:pPr>
      <w:r w:rsidRPr="007C0B39">
        <w:rPr>
          <w:b/>
          <w:u w:val="single"/>
        </w:rPr>
        <w:t>Successors and Assigns</w:t>
      </w:r>
      <w:r w:rsidRPr="007C0B39">
        <w:t xml:space="preserve">.  </w:t>
      </w:r>
      <w:r>
        <w:t xml:space="preserve">Mr. </w:t>
      </w:r>
      <w:r w:rsidR="00891B9B">
        <w:t>Tulloch</w:t>
      </w:r>
      <w:r w:rsidRPr="00B33901">
        <w:t xml:space="preserve"> </w:t>
      </w:r>
      <w:r w:rsidRPr="007C0B39">
        <w:t xml:space="preserve">agrees that the provisions of this Consent Decree shall be binding on </w:t>
      </w:r>
      <w:r>
        <w:t>his</w:t>
      </w:r>
      <w:r w:rsidRPr="007C0B39">
        <w:t xml:space="preserve"> successors</w:t>
      </w:r>
      <w:r>
        <w:t xml:space="preserve"> and </w:t>
      </w:r>
      <w:r w:rsidRPr="007C0B39">
        <w:t>assigns</w:t>
      </w:r>
      <w:r>
        <w:t>.</w:t>
      </w:r>
    </w:p>
    <w:p w:rsidR="006230A0" w:rsidRPr="007C0B39" w:rsidP="0082290F" w14:paraId="51303A29" w14:textId="77777777">
      <w:pPr>
        <w:pStyle w:val="ParaNum"/>
        <w:numPr>
          <w:ilvl w:val="0"/>
          <w:numId w:val="6"/>
        </w:numPr>
        <w:tabs>
          <w:tab w:val="clear" w:pos="1080"/>
          <w:tab w:val="num" w:pos="1440"/>
        </w:tabs>
        <w:rPr>
          <w:szCs w:val="22"/>
        </w:rPr>
      </w:pPr>
      <w:r w:rsidRPr="007C0B39">
        <w:rPr>
          <w:b/>
          <w:szCs w:val="22"/>
          <w:u w:val="single"/>
        </w:rPr>
        <w:t>Final Settlement</w:t>
      </w:r>
      <w:r w:rsidRPr="007C0B39">
        <w:rPr>
          <w:szCs w:val="22"/>
        </w:rPr>
        <w:t xml:space="preserve">.  The Parties </w:t>
      </w:r>
      <w:r w:rsidRPr="00071159">
        <w:t>agree</w:t>
      </w:r>
      <w:r w:rsidRPr="007C0B39">
        <w:rPr>
          <w:szCs w:val="22"/>
        </w:rPr>
        <w:t xml:space="preserve"> and acknowledge that this Consent Decree shall constitute a final settlement between the Parties with respect to the Investigation.  </w:t>
      </w:r>
      <w:r w:rsidRPr="0004267E">
        <w:rPr>
          <w:szCs w:val="22"/>
        </w:rPr>
        <w:t> </w:t>
      </w:r>
    </w:p>
    <w:p w:rsidR="006230A0" w:rsidRPr="007C0B39" w:rsidP="0082290F" w14:paraId="4234111C" w14:textId="77777777">
      <w:pPr>
        <w:pStyle w:val="ParaNum"/>
        <w:numPr>
          <w:ilvl w:val="0"/>
          <w:numId w:val="6"/>
        </w:numPr>
        <w:tabs>
          <w:tab w:val="clear" w:pos="1080"/>
          <w:tab w:val="num" w:pos="1440"/>
        </w:tabs>
        <w:rPr>
          <w:szCs w:val="22"/>
        </w:rPr>
      </w:pPr>
      <w:r w:rsidRPr="007C0B39">
        <w:rPr>
          <w:b/>
          <w:szCs w:val="22"/>
          <w:u w:val="single"/>
        </w:rPr>
        <w:t>Modifications</w:t>
      </w:r>
      <w:r w:rsidRPr="007C0B39">
        <w:rPr>
          <w:szCs w:val="22"/>
        </w:rPr>
        <w:t xml:space="preserve">.  This Consent </w:t>
      </w:r>
      <w:r w:rsidRPr="00071159">
        <w:t>Decree</w:t>
      </w:r>
      <w:r w:rsidRPr="007C0B39">
        <w:rPr>
          <w:szCs w:val="22"/>
        </w:rPr>
        <w:t xml:space="preserve"> cannot </w:t>
      </w:r>
      <w:r w:rsidRPr="007C0B39">
        <w:t>be</w:t>
      </w:r>
      <w:r w:rsidRPr="007C0B39">
        <w:rPr>
          <w:szCs w:val="22"/>
        </w:rPr>
        <w:t xml:space="preserve"> modified without the advance written consent of both Parties.</w:t>
      </w:r>
    </w:p>
    <w:p w:rsidR="006230A0" w:rsidRPr="00A75E0B" w:rsidP="0082290F" w14:paraId="62812D52" w14:textId="77777777">
      <w:pPr>
        <w:pStyle w:val="ParaNum"/>
        <w:numPr>
          <w:ilvl w:val="0"/>
          <w:numId w:val="6"/>
        </w:numPr>
        <w:tabs>
          <w:tab w:val="clear" w:pos="1080"/>
          <w:tab w:val="num" w:pos="1440"/>
        </w:tabs>
        <w:rPr>
          <w:szCs w:val="22"/>
        </w:rPr>
      </w:pPr>
      <w:r w:rsidRPr="007C0B39">
        <w:rPr>
          <w:b/>
          <w:szCs w:val="22"/>
          <w:u w:val="single"/>
        </w:rPr>
        <w:t>Paragraph Headings</w:t>
      </w:r>
      <w:r w:rsidRPr="007C0B39">
        <w:rPr>
          <w:szCs w:val="22"/>
        </w:rPr>
        <w:t xml:space="preserve">.  The </w:t>
      </w:r>
      <w:r w:rsidRPr="00071159">
        <w:t>headings</w:t>
      </w:r>
      <w:r w:rsidRPr="007C0B39">
        <w:rPr>
          <w:szCs w:val="22"/>
        </w:rPr>
        <w:t xml:space="preserve"> of the </w:t>
      </w:r>
      <w:r w:rsidRPr="007C0B39">
        <w:t>paragraphs</w:t>
      </w:r>
      <w:r w:rsidRPr="007C0B39">
        <w:rPr>
          <w:szCs w:val="22"/>
        </w:rPr>
        <w:t xml:space="preserve"> in this Consent Decree are </w:t>
      </w:r>
      <w:r w:rsidRPr="00350F3A">
        <w:rPr>
          <w:szCs w:val="22"/>
        </w:rPr>
        <w:t>inserted for convenience only and are not intended to affect the meaning or interpretation of this Consent Decree.</w:t>
      </w:r>
    </w:p>
    <w:p w:rsidR="006230A0" w:rsidRPr="00592235" w:rsidP="0082290F" w14:paraId="10B48DF1" w14:textId="77777777">
      <w:pPr>
        <w:pStyle w:val="ParaNum"/>
        <w:numPr>
          <w:ilvl w:val="0"/>
          <w:numId w:val="6"/>
        </w:numPr>
        <w:tabs>
          <w:tab w:val="clear" w:pos="1080"/>
          <w:tab w:val="num" w:pos="1440"/>
        </w:tabs>
        <w:rPr>
          <w:u w:val="single"/>
        </w:rPr>
      </w:pPr>
      <w:r w:rsidRPr="00592235">
        <w:rPr>
          <w:b/>
          <w:szCs w:val="22"/>
          <w:u w:val="single"/>
        </w:rPr>
        <w:t>Authorized Representative</w:t>
      </w:r>
      <w:r w:rsidRPr="00592235">
        <w:rPr>
          <w:szCs w:val="22"/>
        </w:rPr>
        <w:t xml:space="preserve">.  Each Party </w:t>
      </w:r>
      <w:r w:rsidRPr="00592235">
        <w:t>represents</w:t>
      </w:r>
      <w:r w:rsidRPr="00592235">
        <w:rPr>
          <w:szCs w:val="22"/>
        </w:rPr>
        <w:t xml:space="preserve"> and warrants to the other that it has full power and authority to </w:t>
      </w:r>
      <w:r w:rsidRPr="00592235">
        <w:rPr>
          <w:szCs w:val="22"/>
        </w:rPr>
        <w:t>enter into</w:t>
      </w:r>
      <w:r w:rsidRPr="00592235">
        <w:rPr>
          <w:szCs w:val="22"/>
        </w:rPr>
        <w:t xml:space="preserve"> this Consent Decree.  </w:t>
      </w:r>
      <w:r w:rsidRPr="00071159">
        <w:t>Each</w:t>
      </w:r>
      <w:r w:rsidRPr="00592235">
        <w:rPr>
          <w:szCs w:val="22"/>
        </w:rPr>
        <w:t xml:space="preserve"> person signing this Consent Decree on behalf of a Party hereby represents that he or she is fully authorized by the Party to execute this Consent Decree and to bind the Party to its terms and conditions. </w:t>
      </w:r>
    </w:p>
    <w:p w:rsidR="006230A0" w:rsidP="0082290F" w14:paraId="79B60048" w14:textId="77777777">
      <w:pPr>
        <w:pStyle w:val="ParaNum"/>
        <w:keepNext/>
        <w:numPr>
          <w:ilvl w:val="0"/>
          <w:numId w:val="6"/>
        </w:numPr>
        <w:tabs>
          <w:tab w:val="clear" w:pos="1080"/>
          <w:tab w:val="num" w:pos="1440"/>
        </w:tabs>
        <w:rPr>
          <w:szCs w:val="22"/>
        </w:rPr>
      </w:pPr>
      <w:r w:rsidRPr="007C0B39">
        <w:rPr>
          <w:b/>
          <w:u w:val="single"/>
        </w:rPr>
        <w:t>Counterparts</w:t>
      </w:r>
      <w:r w:rsidRPr="007C0B39">
        <w:rPr>
          <w:szCs w:val="22"/>
        </w:rPr>
        <w:t xml:space="preserve">.  This Consent Decree may be </w:t>
      </w:r>
      <w:r w:rsidRPr="007C0B39">
        <w:t>signed</w:t>
      </w:r>
      <w:r w:rsidRPr="007C0B39">
        <w:rPr>
          <w:szCs w:val="22"/>
        </w:rPr>
        <w:t xml:space="preserve"> in counterpart (including electronically or by facsimile).  Each counterpart, when executed and delivered, shall be an original, and </w:t>
      </w:r>
      <w:r w:rsidRPr="007C0B39">
        <w:rPr>
          <w:szCs w:val="22"/>
        </w:rPr>
        <w:t>all of</w:t>
      </w:r>
      <w:r w:rsidRPr="007C0B39">
        <w:rPr>
          <w:szCs w:val="22"/>
        </w:rPr>
        <w:t xml:space="preserve"> the counterparts together shall constitute one and the same fully executed instrument.</w:t>
      </w:r>
    </w:p>
    <w:p w:rsidR="006230A0" w:rsidRPr="007C0B39" w:rsidP="006230A0" w14:paraId="5635D107" w14:textId="77777777">
      <w:pPr>
        <w:pStyle w:val="ParaNum"/>
        <w:keepNext/>
        <w:widowControl/>
        <w:numPr>
          <w:ilvl w:val="0"/>
          <w:numId w:val="0"/>
        </w:numPr>
        <w:ind w:left="720"/>
        <w:rPr>
          <w:szCs w:val="22"/>
        </w:rPr>
      </w:pPr>
    </w:p>
    <w:p w:rsidR="006230A0" w:rsidRPr="007C0B39" w:rsidP="006230A0" w14:paraId="69A0D195" w14:textId="77777777">
      <w:pPr>
        <w:keepNext/>
        <w:keepLines/>
        <w:widowControl/>
      </w:pPr>
    </w:p>
    <w:p w:rsidR="006230A0" w:rsidRPr="007C0B39" w:rsidP="006230A0" w14:paraId="59952B60" w14:textId="77777777">
      <w:pPr>
        <w:keepNext/>
        <w:keepLines/>
        <w:widowControl/>
      </w:pPr>
    </w:p>
    <w:p w:rsidR="006230A0" w:rsidRPr="007C0B39" w:rsidP="006230A0" w14:paraId="4AADF171" w14:textId="77777777">
      <w:pPr>
        <w:keepNext/>
        <w:keepLines/>
        <w:widowControl/>
      </w:pPr>
      <w:r w:rsidRPr="007C0B39">
        <w:t>________________________________</w:t>
      </w:r>
    </w:p>
    <w:p w:rsidR="006230A0" w:rsidP="006230A0" w14:paraId="0E1467A7" w14:textId="77777777">
      <w:pPr>
        <w:keepNext/>
        <w:widowControl/>
        <w:outlineLvl w:val="0"/>
        <w:rPr>
          <w:szCs w:val="22"/>
          <w:lang w:val="fr-FR"/>
        </w:rPr>
      </w:pPr>
      <w:r>
        <w:rPr>
          <w:szCs w:val="22"/>
          <w:lang w:val="fr-FR"/>
        </w:rPr>
        <w:t>Rosemary C. Harold</w:t>
      </w:r>
    </w:p>
    <w:p w:rsidR="006230A0" w:rsidP="006230A0" w14:paraId="3FD91EDA" w14:textId="77777777">
      <w:pPr>
        <w:keepNext/>
        <w:widowControl/>
        <w:outlineLvl w:val="0"/>
        <w:rPr>
          <w:szCs w:val="22"/>
        </w:rPr>
      </w:pPr>
      <w:r w:rsidRPr="00A15CBD">
        <w:rPr>
          <w:szCs w:val="22"/>
        </w:rPr>
        <w:t>C</w:t>
      </w:r>
      <w:r>
        <w:rPr>
          <w:szCs w:val="22"/>
        </w:rPr>
        <w:t>hief</w:t>
      </w:r>
    </w:p>
    <w:p w:rsidR="006230A0" w:rsidP="006230A0" w14:paraId="078158FB" w14:textId="77777777">
      <w:pPr>
        <w:keepNext/>
        <w:widowControl/>
        <w:outlineLvl w:val="0"/>
        <w:rPr>
          <w:szCs w:val="22"/>
        </w:rPr>
      </w:pPr>
      <w:r>
        <w:rPr>
          <w:szCs w:val="22"/>
        </w:rPr>
        <w:t>Enforcement Bureau</w:t>
      </w:r>
    </w:p>
    <w:p w:rsidR="006230A0" w:rsidRPr="007C0B39" w:rsidP="006230A0" w14:paraId="083F491D" w14:textId="77777777">
      <w:pPr>
        <w:keepNext/>
        <w:keepLines/>
        <w:widowControl/>
      </w:pPr>
    </w:p>
    <w:p w:rsidR="006230A0" w:rsidRPr="007C0B39" w:rsidP="006230A0" w14:paraId="7EE48C49" w14:textId="77777777">
      <w:pPr>
        <w:keepNext/>
        <w:keepLines/>
        <w:widowControl/>
      </w:pPr>
    </w:p>
    <w:p w:rsidR="006230A0" w:rsidRPr="007C0B39" w:rsidP="006230A0" w14:paraId="20E6D9E9" w14:textId="77777777">
      <w:pPr>
        <w:keepNext/>
        <w:keepLines/>
        <w:widowControl/>
      </w:pPr>
      <w:r w:rsidRPr="007C0B39">
        <w:t>________________________________</w:t>
      </w:r>
    </w:p>
    <w:p w:rsidR="006230A0" w:rsidRPr="007C0B39" w:rsidP="006230A0" w14:paraId="53429031" w14:textId="77777777">
      <w:pPr>
        <w:keepNext/>
        <w:keepLines/>
        <w:widowControl/>
      </w:pPr>
      <w:r w:rsidRPr="007C0B39">
        <w:t>Date</w:t>
      </w:r>
    </w:p>
    <w:p w:rsidR="006230A0" w:rsidRPr="007C0B39" w:rsidP="006230A0" w14:paraId="3BA28BC1" w14:textId="77777777">
      <w:pPr>
        <w:keepNext/>
        <w:keepLines/>
        <w:widowControl/>
      </w:pPr>
    </w:p>
    <w:p w:rsidR="006230A0" w:rsidRPr="007C0B39" w:rsidP="006230A0" w14:paraId="65D850CA" w14:textId="77777777">
      <w:pPr>
        <w:keepNext/>
        <w:keepLines/>
        <w:widowControl/>
      </w:pPr>
    </w:p>
    <w:p w:rsidR="006230A0" w:rsidRPr="007C0B39" w:rsidP="006230A0" w14:paraId="36A041E1" w14:textId="77777777">
      <w:pPr>
        <w:keepNext/>
        <w:keepLines/>
        <w:widowControl/>
      </w:pPr>
      <w:r w:rsidRPr="007C0B39">
        <w:t>________________________________</w:t>
      </w:r>
    </w:p>
    <w:p w:rsidR="006230A0" w:rsidRPr="007C0B39" w:rsidP="006230A0" w14:paraId="3D0C2F2D" w14:textId="162C91BC">
      <w:pPr>
        <w:keepNext/>
        <w:keepLines/>
        <w:widowControl/>
      </w:pPr>
      <w:r>
        <w:t>Winston Tulloch</w:t>
      </w:r>
    </w:p>
    <w:p w:rsidR="006230A0" w:rsidRPr="007C0B39" w:rsidP="006230A0" w14:paraId="177AB468" w14:textId="77777777">
      <w:pPr>
        <w:keepNext/>
        <w:keepLines/>
        <w:widowControl/>
      </w:pPr>
    </w:p>
    <w:p w:rsidR="006230A0" w:rsidRPr="007C0B39" w:rsidP="006230A0" w14:paraId="5967B233" w14:textId="77777777">
      <w:pPr>
        <w:keepNext/>
        <w:keepLines/>
        <w:widowControl/>
      </w:pPr>
    </w:p>
    <w:p w:rsidR="006230A0" w:rsidRPr="007C0B39" w:rsidP="006230A0" w14:paraId="7A2C461C" w14:textId="77777777">
      <w:pPr>
        <w:keepNext/>
        <w:keepLines/>
        <w:widowControl/>
      </w:pPr>
      <w:r w:rsidRPr="007C0B39">
        <w:t>________________________________</w:t>
      </w:r>
    </w:p>
    <w:p w:rsidR="006230A0" w:rsidRPr="002C00E8" w:rsidP="006230A0" w14:paraId="0F8A9C7B" w14:textId="77777777">
      <w:pPr>
        <w:keepLines/>
      </w:pPr>
      <w:r w:rsidRPr="007C0B39">
        <w:t>Date</w:t>
      </w:r>
    </w:p>
    <w:p w:rsidR="00412FC5" w:rsidRPr="008C4282" w:rsidP="00CF77B7" w14:paraId="53A1DB59" w14:textId="77777777">
      <w:pPr>
        <w:rPr>
          <w:szCs w:val="22"/>
        </w:rPr>
      </w:pPr>
    </w:p>
    <w:sectPr w:rsidSect="00F11389">
      <w:footnotePr>
        <w:numRestart w:val="eachSect"/>
      </w:footnotePr>
      <w:endnotePr>
        <w:numFmt w:val="decimal"/>
      </w:endnotePr>
      <w:pgSz w:w="12240" w:h="15840"/>
      <w:pgMar w:top="1267"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Times New Roman Bold">
    <w:altName w:val="Times New Roman"/>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1389" w:rsidP="00F11389" w14:paraId="62D51824" w14:textId="77777777">
    <w:pPr>
      <w:pStyle w:val="Footer"/>
      <w:jc w:val="center"/>
      <w:rPr>
        <w:noProof/>
      </w:rPr>
    </w:pPr>
    <w:r>
      <w:fldChar w:fldCharType="begin"/>
    </w:r>
    <w:r>
      <w:instrText xml:space="preserve"> PAGE   \* MERGEFORMAT </w:instrText>
    </w:r>
    <w:r>
      <w:fldChar w:fldCharType="separate"/>
    </w:r>
    <w:r w:rsidR="001A58B9">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1389" w14:paraId="7D0083D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B5CEE" w14:paraId="610056C9" w14:textId="77777777">
      <w:pPr>
        <w:rPr>
          <w:noProof/>
        </w:rPr>
      </w:pPr>
      <w:r>
        <w:rPr>
          <w:noProof/>
        </w:rPr>
        <w:separator/>
      </w:r>
    </w:p>
  </w:footnote>
  <w:footnote w:type="continuationSeparator" w:id="1">
    <w:p w:rsidR="008B5CEE" w14:paraId="72AB0A6B" w14:textId="77777777">
      <w:pPr>
        <w:rPr>
          <w:sz w:val="20"/>
        </w:rPr>
      </w:pPr>
      <w:r>
        <w:rPr>
          <w:sz w:val="20"/>
        </w:rPr>
        <w:t xml:space="preserve">(Continued from previous page)  </w:t>
      </w:r>
      <w:r>
        <w:rPr>
          <w:sz w:val="20"/>
        </w:rPr>
        <w:separator/>
      </w:r>
    </w:p>
  </w:footnote>
  <w:footnote w:type="continuationNotice" w:id="2">
    <w:p w:rsidR="008B5CEE" w14:paraId="09A45DF6" w14:textId="77777777">
      <w:pPr>
        <w:rPr>
          <w:sz w:val="20"/>
        </w:rPr>
      </w:pPr>
      <w:r>
        <w:rPr>
          <w:sz w:val="20"/>
        </w:rPr>
        <w:t>(continued….)</w:t>
      </w:r>
    </w:p>
  </w:footnote>
  <w:footnote w:id="3">
    <w:p w:rsidR="00247021" w:rsidP="00247021" w14:paraId="71A5D891" w14:textId="77777777">
      <w:pPr>
        <w:pStyle w:val="FootnoteText"/>
      </w:pPr>
      <w:r>
        <w:rPr>
          <w:rStyle w:val="FootnoteReference"/>
        </w:rPr>
        <w:footnoteRef/>
      </w:r>
      <w:r>
        <w:t xml:space="preserve"> </w:t>
      </w:r>
      <w:r w:rsidRPr="00C47FEF">
        <w:t xml:space="preserve">Any entity that is a “Small Business Concern” as defined in the Small Business Act (Pub. L. 85-536, as amended) may avail itself of rights set forth in that Act, including rights set forth in 15 U.S.C. </w:t>
      </w:r>
      <w:r>
        <w:t>§</w:t>
      </w:r>
      <w:r w:rsidRPr="00C47FEF">
        <w:t xml:space="preserve"> 657, “Oversight of Regulatory Enforcement,” in addition to other rights set forth herein.</w:t>
      </w:r>
    </w:p>
  </w:footnote>
  <w:footnote w:id="4">
    <w:p w:rsidR="00247021" w:rsidRPr="00947799" w:rsidP="00247021" w14:paraId="02722A7D" w14:textId="77777777">
      <w:pPr>
        <w:pStyle w:val="FootnoteText"/>
      </w:pPr>
      <w:r>
        <w:rPr>
          <w:rStyle w:val="FootnoteReference"/>
        </w:rPr>
        <w:footnoteRef/>
      </w:r>
      <w:r>
        <w:t xml:space="preserve"> </w:t>
      </w:r>
      <w:r>
        <w:rPr>
          <w:i/>
        </w:rPr>
        <w:t>Winston Tulloch¸ Paterson, New Jersey</w:t>
      </w:r>
      <w:r>
        <w:t>, Notice of Apparent Liability for Forfeiture, 33 FCC Rcd 3870 (EB 2018).</w:t>
      </w:r>
    </w:p>
  </w:footnote>
  <w:footnote w:id="5">
    <w:p w:rsidR="00247021" w:rsidRPr="00947799" w:rsidP="00247021" w14:paraId="70D4C1F8" w14:textId="77777777">
      <w:pPr>
        <w:pStyle w:val="FootnoteText"/>
      </w:pPr>
      <w:r>
        <w:rPr>
          <w:rStyle w:val="FootnoteReference"/>
        </w:rPr>
        <w:footnoteRef/>
      </w:r>
      <w:r>
        <w:t xml:space="preserve"> </w:t>
      </w:r>
      <w:r>
        <w:rPr>
          <w:i/>
        </w:rPr>
        <w:t>Winston Tulloch, Paterson, New Jersey</w:t>
      </w:r>
      <w:r>
        <w:t>, Forfeiture Order, DA 18-1104, __ FCC Rcd ____ (EB 2018).</w:t>
      </w:r>
    </w:p>
  </w:footnote>
  <w:footnote w:id="6">
    <w:p w:rsidR="00247021" w:rsidP="00247021" w14:paraId="2D2228A7" w14:textId="77777777">
      <w:pPr>
        <w:pStyle w:val="FootnoteText"/>
      </w:pPr>
      <w:r>
        <w:rPr>
          <w:rStyle w:val="FootnoteReference"/>
        </w:rPr>
        <w:footnoteRef/>
      </w:r>
      <w:r>
        <w:t xml:space="preserve"> 47 U.S.C. § 301.</w:t>
      </w:r>
    </w:p>
  </w:footnote>
  <w:footnote w:id="7">
    <w:p w:rsidR="00247021" w:rsidRPr="00C47FEF" w:rsidP="00247021" w14:paraId="127E6C42" w14:textId="77777777">
      <w:pPr>
        <w:pStyle w:val="FootnoteText"/>
      </w:pPr>
      <w:r>
        <w:rPr>
          <w:rStyle w:val="FootnoteReference"/>
        </w:rPr>
        <w:footnoteRef/>
      </w:r>
      <w:r>
        <w:t xml:space="preserve"> </w:t>
      </w:r>
      <w:r>
        <w:rPr>
          <w:i/>
        </w:rPr>
        <w:t>See</w:t>
      </w:r>
      <w:r>
        <w:t xml:space="preserve"> 47 CFR § 1.93(b).</w:t>
      </w:r>
    </w:p>
  </w:footnote>
  <w:footnote w:id="8">
    <w:p w:rsidR="00247021" w:rsidP="00247021" w14:paraId="170BCE6F" w14:textId="77777777">
      <w:pPr>
        <w:pStyle w:val="FootnoteText"/>
      </w:pPr>
      <w:r>
        <w:rPr>
          <w:rStyle w:val="FootnoteReference"/>
        </w:rPr>
        <w:footnoteRef/>
      </w:r>
      <w:r>
        <w:t xml:space="preserve"> 47 U.S.C. §§ 154(i), 503(b).</w:t>
      </w:r>
    </w:p>
  </w:footnote>
  <w:footnote w:id="9">
    <w:p w:rsidR="00247021" w:rsidP="00247021" w14:paraId="3AFB437A" w14:textId="77777777">
      <w:pPr>
        <w:pStyle w:val="FootnoteText"/>
      </w:pPr>
      <w:r>
        <w:rPr>
          <w:rStyle w:val="FootnoteReference"/>
        </w:rPr>
        <w:footnoteRef/>
      </w:r>
      <w:r>
        <w:t xml:space="preserve"> 47 CFR §§ 0.111, 0.311.</w:t>
      </w:r>
    </w:p>
  </w:footnote>
  <w:footnote w:id="10">
    <w:p w:rsidR="006230A0" w:rsidP="006230A0" w14:paraId="3FE4B307" w14:textId="374D7DC0">
      <w:pPr>
        <w:pStyle w:val="FootnoteText"/>
      </w:pPr>
      <w:r>
        <w:rPr>
          <w:rStyle w:val="FootnoteReference"/>
        </w:rPr>
        <w:footnoteRef/>
      </w:r>
      <w:r>
        <w:t xml:space="preserve"> </w:t>
      </w:r>
      <w:r w:rsidRPr="001B63BB">
        <w:rPr>
          <w:szCs w:val="22"/>
        </w:rPr>
        <w:t xml:space="preserve">47 U.S.C. </w:t>
      </w:r>
      <w:r w:rsidR="00AF048C">
        <w:rPr>
          <w:szCs w:val="22"/>
        </w:rPr>
        <w:t>§</w:t>
      </w:r>
      <w:r w:rsidRPr="001B63BB">
        <w:rPr>
          <w:szCs w:val="22"/>
        </w:rPr>
        <w:t>§ 151</w:t>
      </w:r>
      <w:r w:rsidR="00AF048C">
        <w:rPr>
          <w:szCs w:val="22"/>
        </w:rPr>
        <w:t>,</w:t>
      </w:r>
      <w:r w:rsidRPr="001B63BB">
        <w:rPr>
          <w:szCs w:val="22"/>
        </w:rPr>
        <w:t xml:space="preserve"> </w:t>
      </w:r>
      <w:r w:rsidRPr="001B63BB">
        <w:rPr>
          <w:i/>
          <w:szCs w:val="22"/>
        </w:rPr>
        <w:t>et seq.</w:t>
      </w:r>
    </w:p>
  </w:footnote>
  <w:footnote w:id="11">
    <w:p w:rsidR="00E8065C" w:rsidRPr="00E8065C" w14:paraId="58B09199" w14:textId="5E9388FB">
      <w:pPr>
        <w:pStyle w:val="FootnoteText"/>
      </w:pPr>
      <w:r>
        <w:rPr>
          <w:rStyle w:val="FootnoteReference"/>
        </w:rPr>
        <w:footnoteRef/>
      </w:r>
      <w:r>
        <w:t xml:space="preserve"> </w:t>
      </w:r>
      <w:r>
        <w:rPr>
          <w:i/>
        </w:rPr>
        <w:t>Winston Tulloch, Paterson, New Jersey</w:t>
      </w:r>
      <w:r>
        <w:t xml:space="preserve">, Forfeiture Order, </w:t>
      </w:r>
      <w:r w:rsidR="00AF048C">
        <w:t>DA 18-1104</w:t>
      </w:r>
      <w:r w:rsidR="00420CDF">
        <w:t>, __ FCC Rcd _____</w:t>
      </w:r>
      <w:r w:rsidR="00AF048C">
        <w:t xml:space="preserve"> </w:t>
      </w:r>
      <w:r>
        <w:t>(EB 2018)</w:t>
      </w:r>
      <w:r w:rsidR="00AF048C">
        <w:t>.</w:t>
      </w:r>
    </w:p>
  </w:footnote>
  <w:footnote w:id="12">
    <w:p w:rsidR="006230A0" w:rsidRPr="00E17CC3" w:rsidP="006230A0" w14:paraId="43B4DD33" w14:textId="111994EE">
      <w:pPr>
        <w:pStyle w:val="FootnoteText"/>
      </w:pPr>
      <w:r>
        <w:rPr>
          <w:rStyle w:val="FootnoteReference"/>
        </w:rPr>
        <w:footnoteRef/>
      </w:r>
      <w:r>
        <w:rPr>
          <w:i/>
        </w:rPr>
        <w:t xml:space="preserve"> </w:t>
      </w:r>
      <w:r w:rsidR="00E8065C">
        <w:rPr>
          <w:i/>
        </w:rPr>
        <w:t>Winston Tulloch, Paterson, New Jersey</w:t>
      </w:r>
      <w:r>
        <w:rPr>
          <w:i/>
        </w:rPr>
        <w:t>,</w:t>
      </w:r>
      <w:r>
        <w:t xml:space="preserve"> Notice of Apparent Liability for Forfeiture, </w:t>
      </w:r>
      <w:r w:rsidR="00AF048C">
        <w:t>33</w:t>
      </w:r>
      <w:r>
        <w:t xml:space="preserve"> FCC Rcd </w:t>
      </w:r>
      <w:r w:rsidR="00AF048C">
        <w:t>3870</w:t>
      </w:r>
      <w:r w:rsidR="00E8065C">
        <w:t xml:space="preserve"> </w:t>
      </w:r>
      <w:r>
        <w:t>(</w:t>
      </w:r>
      <w:r w:rsidR="00E8065C">
        <w:t xml:space="preserve">EB </w:t>
      </w:r>
      <w:r>
        <w:t>201</w:t>
      </w:r>
      <w:r w:rsidR="00E8065C">
        <w:t>8</w:t>
      </w:r>
      <w:r>
        <w:t>).</w:t>
      </w:r>
    </w:p>
  </w:footnote>
  <w:footnote w:id="13">
    <w:p w:rsidR="0028375D" w14:paraId="5BC19B27" w14:textId="46852E3A">
      <w:pPr>
        <w:pStyle w:val="FootnoteText"/>
      </w:pPr>
      <w:r>
        <w:rPr>
          <w:rStyle w:val="FootnoteReference"/>
        </w:rPr>
        <w:footnoteRef/>
      </w:r>
      <w:r>
        <w:t xml:space="preserve"> Winston Tulloch, Response to Notice of Apparent Liability for Forfeiture, </w:t>
      </w:r>
      <w:r w:rsidR="006C6DE3">
        <w:t xml:space="preserve">dated </w:t>
      </w:r>
      <w:r>
        <w:t>May 23, 2018 (on file in EB-FIELDNER-15-00019211).</w:t>
      </w:r>
    </w:p>
  </w:footnote>
  <w:footnote w:id="14">
    <w:p w:rsidR="0028375D" w14:paraId="49580539" w14:textId="61DB82CF">
      <w:pPr>
        <w:pStyle w:val="FootnoteText"/>
      </w:pPr>
      <w:r>
        <w:rPr>
          <w:rStyle w:val="FootnoteReference"/>
        </w:rPr>
        <w:footnoteRef/>
      </w:r>
      <w:r>
        <w:t xml:space="preserve"> Winston Tulloch, Petition for Reconsideration, filed on November 28, 2018 (on file in EB-FIELDNER-15-00019211).</w:t>
      </w:r>
    </w:p>
  </w:footnote>
  <w:footnote w:id="15">
    <w:p w:rsidR="006230A0" w:rsidP="006230A0" w14:paraId="0C96B636" w14:textId="77777777">
      <w:pPr>
        <w:pStyle w:val="FootnoteText"/>
      </w:pPr>
      <w:r>
        <w:rPr>
          <w:rStyle w:val="FootnoteReference"/>
        </w:rPr>
        <w:footnoteRef/>
      </w:r>
      <w:r>
        <w:t xml:space="preserve"> 47 U.S.C. </w:t>
      </w:r>
      <w:r w:rsidRPr="000F2056">
        <w:t>§</w:t>
      </w:r>
      <w:r>
        <w:t xml:space="preserve"> 301.</w:t>
      </w:r>
    </w:p>
  </w:footnote>
  <w:footnote w:id="16">
    <w:p w:rsidR="006230A0" w:rsidRPr="00A168BC" w:rsidP="006230A0" w14:paraId="0CD8F070" w14:textId="7AB1771A">
      <w:pPr>
        <w:pStyle w:val="FootnoteText"/>
      </w:pPr>
      <w:r>
        <w:rPr>
          <w:rStyle w:val="FootnoteReference"/>
        </w:rPr>
        <w:footnoteRef/>
      </w:r>
      <w:r>
        <w:t xml:space="preserve"> </w:t>
      </w:r>
      <w:r w:rsidRPr="00E436E3">
        <w:rPr>
          <w:i/>
        </w:rPr>
        <w:t>NAL</w:t>
      </w:r>
      <w:r>
        <w:t xml:space="preserve">, </w:t>
      </w:r>
      <w:r w:rsidR="00F12570">
        <w:t>33</w:t>
      </w:r>
      <w:r>
        <w:t xml:space="preserve"> FCC Rcd </w:t>
      </w:r>
      <w:r w:rsidRPr="00E436E3">
        <w:t>at</w:t>
      </w:r>
      <w:r>
        <w:t xml:space="preserve"> </w:t>
      </w:r>
      <w:r w:rsidR="00F12570">
        <w:t>3870</w:t>
      </w:r>
      <w:r w:rsidR="002F0B1D">
        <w:t>-72</w:t>
      </w:r>
      <w:r>
        <w:t xml:space="preserve">.  </w:t>
      </w:r>
      <w:r>
        <w:rPr>
          <w:iCs/>
          <w:color w:val="000000"/>
        </w:rPr>
        <w:t>T</w:t>
      </w:r>
      <w:r w:rsidRPr="00BF0CB5">
        <w:rPr>
          <w:iCs/>
          <w:color w:val="000000"/>
        </w:rPr>
        <w:t xml:space="preserve">he </w:t>
      </w:r>
      <w:r w:rsidRPr="0045325F">
        <w:rPr>
          <w:i/>
          <w:iCs/>
          <w:color w:val="000000"/>
        </w:rPr>
        <w:t>NAL</w:t>
      </w:r>
      <w:r>
        <w:rPr>
          <w:iCs/>
          <w:color w:val="000000"/>
        </w:rPr>
        <w:t xml:space="preserve"> includes a</w:t>
      </w:r>
      <w:r w:rsidRPr="00BF0CB5">
        <w:rPr>
          <w:iCs/>
          <w:color w:val="000000"/>
        </w:rPr>
        <w:t xml:space="preserve"> more complete recitation of the facts and history of this case and is inco</w:t>
      </w:r>
      <w:r w:rsidR="00540B2D">
        <w:rPr>
          <w:iCs/>
          <w:color w:val="000000"/>
        </w:rPr>
        <w:t>rporated herein by reference.</w:t>
      </w:r>
    </w:p>
  </w:footnote>
  <w:footnote w:id="17">
    <w:p w:rsidR="006230A0" w:rsidP="006230A0" w14:paraId="2816D201" w14:textId="77777777">
      <w:pPr>
        <w:pStyle w:val="FootnoteText"/>
      </w:pPr>
      <w:r>
        <w:rPr>
          <w:rStyle w:val="FootnoteReference"/>
        </w:rPr>
        <w:footnoteRef/>
      </w:r>
      <w:r>
        <w:t xml:space="preserve"> </w:t>
      </w:r>
      <w:r w:rsidRPr="00592235">
        <w:rPr>
          <w:i/>
        </w:rPr>
        <w:t>See</w:t>
      </w:r>
      <w:r>
        <w:t xml:space="preserve"> 47 CFR § 1.93(b).</w:t>
      </w:r>
    </w:p>
  </w:footnote>
  <w:footnote w:id="18">
    <w:p w:rsidR="006230A0" w:rsidP="006230A0" w14:paraId="0E833D05" w14:textId="641BBE8F">
      <w:pPr>
        <w:pStyle w:val="FootnoteText"/>
      </w:pPr>
      <w:r>
        <w:rPr>
          <w:rStyle w:val="FootnoteReference"/>
        </w:rPr>
        <w:footnoteRef/>
      </w:r>
      <w:r>
        <w:t xml:space="preserve"> Debt Collection Improvement Act of 1996, Pub. L. No. 104-134, 110 Stat. 1321, 1358 (Apr. 26, 19</w:t>
      </w:r>
      <w:r w:rsidR="0028375D">
        <w:t>96).</w:t>
      </w:r>
    </w:p>
  </w:footnote>
  <w:footnote w:id="19">
    <w:p w:rsidR="006230A0" w:rsidRPr="00042447" w:rsidP="00244AA7" w14:paraId="5BC89553" w14:textId="77777777">
      <w:pPr>
        <w:pStyle w:val="FootnoteText"/>
      </w:pPr>
      <w:r w:rsidRPr="00A07FCB">
        <w:rPr>
          <w:rStyle w:val="FootnoteReference"/>
        </w:rPr>
        <w:footnoteRef/>
      </w:r>
      <w:r w:rsidRPr="003F6349">
        <w:t xml:space="preserve"> </w:t>
      </w:r>
      <w:r w:rsidRPr="00A07FCB">
        <w:rPr>
          <w:rFonts w:eastAsia="MS Mincho" w:cs="Arial"/>
        </w:rPr>
        <w:t xml:space="preserve">An FCC Form 159 and detailed instructions for completing the form may be obtained at </w:t>
      </w:r>
      <w:hyperlink r:id="rId1" w:history="1">
        <w:r w:rsidRPr="00071C6A">
          <w:rPr>
            <w:rStyle w:val="Hyperlink"/>
            <w:rFonts w:eastAsia="MS Mincho" w:cs="Arial"/>
          </w:rPr>
          <w:t>http://www.fcc.gov/Forms/Form159/159.pdf</w:t>
        </w:r>
      </w:hyperlink>
      <w:r w:rsidRPr="00A07FCB">
        <w:rPr>
          <w:rFonts w:eastAsia="MS Mincho" w:cs="Arial"/>
        </w:rPr>
        <w:t>.</w:t>
      </w:r>
    </w:p>
  </w:footnote>
  <w:footnote w:id="20">
    <w:p w:rsidR="006230A0" w:rsidRPr="00294E09" w:rsidP="006230A0" w14:paraId="391566F2" w14:textId="77777777">
      <w:pPr>
        <w:pStyle w:val="FootnoteText"/>
        <w:rPr>
          <w:i/>
        </w:rPr>
      </w:pPr>
      <w:r>
        <w:rPr>
          <w:rStyle w:val="FootnoteReference"/>
        </w:rPr>
        <w:footnoteRef/>
      </w:r>
      <w:r>
        <w:t xml:space="preserve"> </w:t>
      </w:r>
      <w:r>
        <w:rPr>
          <w:i/>
        </w:rPr>
        <w:t>Id.</w:t>
      </w:r>
    </w:p>
  </w:footnote>
  <w:footnote w:id="21">
    <w:p w:rsidR="006230A0" w:rsidP="006230A0" w14:paraId="051B2AEF" w14:textId="77777777">
      <w:pPr>
        <w:pStyle w:val="FootnoteText"/>
      </w:pPr>
      <w:r>
        <w:rPr>
          <w:rStyle w:val="FootnoteReference"/>
        </w:rPr>
        <w:footnoteRef/>
      </w:r>
      <w:r>
        <w:t xml:space="preserve"> </w:t>
      </w:r>
      <w:r w:rsidRPr="005A42DF">
        <w:rPr>
          <w:i/>
        </w:rPr>
        <w:t>See</w:t>
      </w:r>
      <w:r>
        <w:t xml:space="preserve"> 31 CFR Part 900, </w:t>
      </w:r>
      <w:r w:rsidRPr="00AA6A84">
        <w:rPr>
          <w:i/>
        </w:rPr>
        <w:t>et seq</w:t>
      </w:r>
      <w:r>
        <w:t>.</w:t>
      </w:r>
    </w:p>
  </w:footnote>
  <w:footnote w:id="22">
    <w:p w:rsidR="006230A0" w:rsidP="006230A0" w14:paraId="7E4ABE34" w14:textId="77777777">
      <w:pPr>
        <w:pStyle w:val="FootnoteText"/>
        <w:tabs>
          <w:tab w:val="left" w:pos="810"/>
        </w:tabs>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1389" w:rsidRPr="00F60397" w:rsidP="00F11389" w14:paraId="3FD2B764" w14:textId="49DA9FCE">
    <w:pPr>
      <w:tabs>
        <w:tab w:val="center" w:pos="4680"/>
        <w:tab w:val="right" w:pos="9360"/>
      </w:tabs>
    </w:pPr>
    <w:r>
      <w:rPr>
        <w:noProof/>
      </w:rPr>
      <w:pict>
        <v:rect id="Rectangle 6"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weight="0.05pt">
          <w10:wrap anchorx="margin"/>
        </v:rect>
      </w:pict>
    </w:r>
    <w:r w:rsidRPr="00F60397">
      <w:rPr>
        <w:b/>
      </w:rPr>
      <w:tab/>
      <w:t>Federal Communications Commission</w:t>
    </w:r>
    <w:r w:rsidRPr="00F60397">
      <w:rPr>
        <w:b/>
      </w:rPr>
      <w:tab/>
    </w:r>
    <w:r>
      <w:rPr>
        <w:b/>
        <w:spacing w:val="-2"/>
      </w:rPr>
      <w:t>DA</w:t>
    </w:r>
    <w:r w:rsidRPr="00981F23">
      <w:rPr>
        <w:b/>
        <w:spacing w:val="-2"/>
      </w:rPr>
      <w:t xml:space="preserve"> </w:t>
    </w:r>
    <w:r w:rsidR="00540B2D">
      <w:rPr>
        <w:b/>
        <w:spacing w:val="-2"/>
      </w:rPr>
      <w:t>19-</w:t>
    </w:r>
    <w:r w:rsidR="00352D78">
      <w:rPr>
        <w:b/>
        <w:spacing w:val="-2"/>
      </w:rPr>
      <w:t>61</w:t>
    </w:r>
  </w:p>
  <w:p w:rsidR="00F11389" w:rsidRPr="00D3534B" w:rsidP="00F11389" w14:paraId="11D2411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1389" w:rsidRPr="00F60397" w:rsidP="00F11389" w14:paraId="19047CEE" w14:textId="5B5B897E">
    <w:pPr>
      <w:tabs>
        <w:tab w:val="center" w:pos="4680"/>
        <w:tab w:val="right" w:pos="9360"/>
      </w:tabs>
    </w:pPr>
    <w:r>
      <w:rPr>
        <w:noProof/>
      </w:rPr>
      <w:pict>
        <v:rect id="Rectangle 2"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weight="0.05pt">
          <w10:wrap anchorx="margin"/>
        </v:rect>
      </w:pict>
    </w:r>
    <w:r w:rsidRPr="00F60397">
      <w:rPr>
        <w:b/>
      </w:rPr>
      <w:tab/>
      <w:t>Federal Communications Commission</w:t>
    </w:r>
    <w:r w:rsidRPr="00F60397">
      <w:rPr>
        <w:b/>
      </w:rPr>
      <w:tab/>
    </w:r>
    <w:r>
      <w:rPr>
        <w:b/>
        <w:spacing w:val="-2"/>
      </w:rPr>
      <w:t>DA</w:t>
    </w:r>
    <w:r w:rsidRPr="00981F23">
      <w:rPr>
        <w:b/>
        <w:spacing w:val="-2"/>
      </w:rPr>
      <w:t xml:space="preserve"> </w:t>
    </w:r>
    <w:r w:rsidR="00E8065C">
      <w:rPr>
        <w:b/>
        <w:spacing w:val="-2"/>
      </w:rPr>
      <w:t>19</w:t>
    </w:r>
    <w:r w:rsidR="00FD197F">
      <w:rPr>
        <w:b/>
        <w:spacing w:val="-2"/>
      </w:rPr>
      <w:t>-</w:t>
    </w:r>
    <w:r w:rsidR="00397042">
      <w:rPr>
        <w:b/>
        <w:spacing w:val="-2"/>
      </w:rPr>
      <w:t>61</w:t>
    </w:r>
  </w:p>
  <w:p w:rsidR="00F11389" w:rsidRPr="00D3534B" w:rsidP="00F11389" w14:paraId="5C39844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17876BA"/>
    <w:multiLevelType w:val="hybridMultilevel"/>
    <w:tmpl w:val="40100EC4"/>
    <w:lvl w:ilvl="0">
      <w:start w:val="1"/>
      <w:numFmt w:val="bullet"/>
      <w:lvlText w:val=""/>
      <w:lvlJc w:val="left"/>
      <w:pPr>
        <w:ind w:left="1080" w:hanging="360"/>
      </w:pPr>
      <w:rPr>
        <w:rFonts w:ascii="Symbol" w:hAnsi="Symbol" w:hint="default"/>
        <w:b w:val="0"/>
        <w:i w:val="0"/>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E66411F"/>
    <w:multiLevelType w:val="hybridMultilevel"/>
    <w:tmpl w:val="B2CA8AA8"/>
    <w:lvl w:ilvl="0">
      <w:start w:val="1"/>
      <w:numFmt w:val="lowerLetter"/>
      <w:pStyle w:val="Paranum0"/>
      <w:lvlText w:val="%1)"/>
      <w:lvlJc w:val="left"/>
      <w:pPr>
        <w:ind w:left="1800" w:hanging="360"/>
      </w:pPr>
      <w:rPr>
        <w:rFonts w:hint="default"/>
        <w:b w:val="0"/>
      </w:rPr>
    </w:lvl>
    <w:lvl w:ilvl="1">
      <w:start w:val="1"/>
      <w:numFmt w:val="lowerRoman"/>
      <w:lvlText w:val="%2."/>
      <w:lvlJc w:val="left"/>
      <w:pPr>
        <w:ind w:left="2520" w:hanging="360"/>
      </w:pPr>
      <w:rPr>
        <w:rFonts w:ascii="Times New Roman" w:eastAsia="ヒラギノ角ゴ Pro W3" w:hAnsi="Times New Roman" w:cs="Times New Roman"/>
        <w:b w:val="0"/>
      </w:r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8"/>
  </w:num>
  <w:num w:numId="2">
    <w:abstractNumId w:val="4"/>
  </w:num>
  <w:num w:numId="3">
    <w:abstractNumId w:val="7"/>
  </w:num>
  <w:num w:numId="4">
    <w:abstractNumId w:val="1"/>
  </w:num>
  <w:num w:numId="5">
    <w:abstractNumId w:val="5"/>
  </w:num>
  <w:num w:numId="6">
    <w:abstractNumId w:val="8"/>
    <w:lvlOverride w:ilvl="0">
      <w:startOverride w:val="1"/>
    </w:lvlOverride>
  </w:num>
  <w:num w:numId="7">
    <w:abstractNumId w:val="8"/>
    <w:lvlOverride w:ilvl="0">
      <w:startOverride w:val="1"/>
    </w:lvlOverride>
  </w:num>
  <w:num w:numId="8">
    <w:abstractNumId w:val="2"/>
  </w:num>
  <w:num w:numId="9">
    <w:abstractNumId w:val="6"/>
  </w:num>
  <w:num w:numId="10">
    <w:abstractNumId w:val="3"/>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110"/>
  <w:drawingGridVerticalSpacing w:val="0"/>
  <w:displayHorizontalDrawingGridEvery w:val="0"/>
  <w:displayVerticalDrawingGridEvery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A3B"/>
    <w:rsid w:val="000046D1"/>
    <w:rsid w:val="00010E77"/>
    <w:rsid w:val="0001137C"/>
    <w:rsid w:val="00011E2E"/>
    <w:rsid w:val="00012135"/>
    <w:rsid w:val="00012FBC"/>
    <w:rsid w:val="00013878"/>
    <w:rsid w:val="000156B8"/>
    <w:rsid w:val="00020F52"/>
    <w:rsid w:val="00021062"/>
    <w:rsid w:val="000239E2"/>
    <w:rsid w:val="00023CBD"/>
    <w:rsid w:val="00032EB3"/>
    <w:rsid w:val="00036039"/>
    <w:rsid w:val="00036EBB"/>
    <w:rsid w:val="0003748A"/>
    <w:rsid w:val="00037506"/>
    <w:rsid w:val="00037F90"/>
    <w:rsid w:val="000409A7"/>
    <w:rsid w:val="00041FA4"/>
    <w:rsid w:val="00042447"/>
    <w:rsid w:val="0004267E"/>
    <w:rsid w:val="00043776"/>
    <w:rsid w:val="00044329"/>
    <w:rsid w:val="000474B4"/>
    <w:rsid w:val="000510A7"/>
    <w:rsid w:val="00051D08"/>
    <w:rsid w:val="000546E3"/>
    <w:rsid w:val="00060B19"/>
    <w:rsid w:val="00060E3B"/>
    <w:rsid w:val="00064FCE"/>
    <w:rsid w:val="00071159"/>
    <w:rsid w:val="00071C6A"/>
    <w:rsid w:val="00077556"/>
    <w:rsid w:val="00080528"/>
    <w:rsid w:val="000812CD"/>
    <w:rsid w:val="00084844"/>
    <w:rsid w:val="000849E1"/>
    <w:rsid w:val="000875BF"/>
    <w:rsid w:val="00093012"/>
    <w:rsid w:val="00094FF2"/>
    <w:rsid w:val="00096D8C"/>
    <w:rsid w:val="000A1DBA"/>
    <w:rsid w:val="000A69D0"/>
    <w:rsid w:val="000A747B"/>
    <w:rsid w:val="000A78D2"/>
    <w:rsid w:val="000B076B"/>
    <w:rsid w:val="000B4C5A"/>
    <w:rsid w:val="000B62BD"/>
    <w:rsid w:val="000B7417"/>
    <w:rsid w:val="000C0B65"/>
    <w:rsid w:val="000C1786"/>
    <w:rsid w:val="000C3C46"/>
    <w:rsid w:val="000C4982"/>
    <w:rsid w:val="000C5E7E"/>
    <w:rsid w:val="000D025B"/>
    <w:rsid w:val="000D2CE7"/>
    <w:rsid w:val="000D2FF2"/>
    <w:rsid w:val="000D4423"/>
    <w:rsid w:val="000D5B5B"/>
    <w:rsid w:val="000E156D"/>
    <w:rsid w:val="000E1A32"/>
    <w:rsid w:val="000E3D42"/>
    <w:rsid w:val="000E4D5E"/>
    <w:rsid w:val="000E57DB"/>
    <w:rsid w:val="000E5FE3"/>
    <w:rsid w:val="000E601E"/>
    <w:rsid w:val="000E6844"/>
    <w:rsid w:val="000E7BB7"/>
    <w:rsid w:val="000F1739"/>
    <w:rsid w:val="000F2056"/>
    <w:rsid w:val="000F2290"/>
    <w:rsid w:val="000F5029"/>
    <w:rsid w:val="000F5AE0"/>
    <w:rsid w:val="000F71E7"/>
    <w:rsid w:val="00104AE7"/>
    <w:rsid w:val="00107438"/>
    <w:rsid w:val="00111B57"/>
    <w:rsid w:val="001130D9"/>
    <w:rsid w:val="001163D2"/>
    <w:rsid w:val="00120C7C"/>
    <w:rsid w:val="00122BD5"/>
    <w:rsid w:val="00122F40"/>
    <w:rsid w:val="00123544"/>
    <w:rsid w:val="00123DC5"/>
    <w:rsid w:val="00124037"/>
    <w:rsid w:val="00124C05"/>
    <w:rsid w:val="001251A4"/>
    <w:rsid w:val="0012535E"/>
    <w:rsid w:val="00130E75"/>
    <w:rsid w:val="00131135"/>
    <w:rsid w:val="00133D07"/>
    <w:rsid w:val="0013464E"/>
    <w:rsid w:val="0013481A"/>
    <w:rsid w:val="0013545C"/>
    <w:rsid w:val="00150039"/>
    <w:rsid w:val="00151AF8"/>
    <w:rsid w:val="00152144"/>
    <w:rsid w:val="0015292D"/>
    <w:rsid w:val="00152E7C"/>
    <w:rsid w:val="001569B9"/>
    <w:rsid w:val="00161F7D"/>
    <w:rsid w:val="00163419"/>
    <w:rsid w:val="00164854"/>
    <w:rsid w:val="001659BF"/>
    <w:rsid w:val="001664A0"/>
    <w:rsid w:val="0017171A"/>
    <w:rsid w:val="00171F78"/>
    <w:rsid w:val="00172BF5"/>
    <w:rsid w:val="00174F9E"/>
    <w:rsid w:val="00176197"/>
    <w:rsid w:val="0017677C"/>
    <w:rsid w:val="00180D54"/>
    <w:rsid w:val="00182E46"/>
    <w:rsid w:val="001850F1"/>
    <w:rsid w:val="00187082"/>
    <w:rsid w:val="001877EB"/>
    <w:rsid w:val="00193512"/>
    <w:rsid w:val="001955C8"/>
    <w:rsid w:val="00196CFD"/>
    <w:rsid w:val="001A2FFC"/>
    <w:rsid w:val="001A5074"/>
    <w:rsid w:val="001A58B9"/>
    <w:rsid w:val="001A6AEF"/>
    <w:rsid w:val="001A7A02"/>
    <w:rsid w:val="001B4BAE"/>
    <w:rsid w:val="001B63BB"/>
    <w:rsid w:val="001C50A9"/>
    <w:rsid w:val="001C7762"/>
    <w:rsid w:val="001D10CF"/>
    <w:rsid w:val="001D63ED"/>
    <w:rsid w:val="001D67C7"/>
    <w:rsid w:val="001D6BCF"/>
    <w:rsid w:val="001E01CA"/>
    <w:rsid w:val="001E21A2"/>
    <w:rsid w:val="001E7454"/>
    <w:rsid w:val="001F0CA8"/>
    <w:rsid w:val="001F11C8"/>
    <w:rsid w:val="001F1433"/>
    <w:rsid w:val="001F278E"/>
    <w:rsid w:val="001F2BAB"/>
    <w:rsid w:val="001F660E"/>
    <w:rsid w:val="001F6641"/>
    <w:rsid w:val="00202B90"/>
    <w:rsid w:val="0020707F"/>
    <w:rsid w:val="0021043C"/>
    <w:rsid w:val="0021060B"/>
    <w:rsid w:val="00211D92"/>
    <w:rsid w:val="00211EE2"/>
    <w:rsid w:val="00221D7C"/>
    <w:rsid w:val="00223374"/>
    <w:rsid w:val="00223468"/>
    <w:rsid w:val="00231522"/>
    <w:rsid w:val="002352DC"/>
    <w:rsid w:val="00237F53"/>
    <w:rsid w:val="00240F56"/>
    <w:rsid w:val="00243018"/>
    <w:rsid w:val="00244AA7"/>
    <w:rsid w:val="00247021"/>
    <w:rsid w:val="002551FD"/>
    <w:rsid w:val="00257B0B"/>
    <w:rsid w:val="002626EB"/>
    <w:rsid w:val="002645F4"/>
    <w:rsid w:val="00273B9A"/>
    <w:rsid w:val="00274709"/>
    <w:rsid w:val="00276796"/>
    <w:rsid w:val="00276DAE"/>
    <w:rsid w:val="00277598"/>
    <w:rsid w:val="00277F32"/>
    <w:rsid w:val="002801D8"/>
    <w:rsid w:val="0028375D"/>
    <w:rsid w:val="00284E12"/>
    <w:rsid w:val="00285017"/>
    <w:rsid w:val="00285665"/>
    <w:rsid w:val="00287BA4"/>
    <w:rsid w:val="00291DFD"/>
    <w:rsid w:val="0029201C"/>
    <w:rsid w:val="00294E09"/>
    <w:rsid w:val="00295C0F"/>
    <w:rsid w:val="002A1D20"/>
    <w:rsid w:val="002A2D2E"/>
    <w:rsid w:val="002B22CB"/>
    <w:rsid w:val="002B2AA5"/>
    <w:rsid w:val="002B3194"/>
    <w:rsid w:val="002B3C8D"/>
    <w:rsid w:val="002B4338"/>
    <w:rsid w:val="002B518C"/>
    <w:rsid w:val="002B61D3"/>
    <w:rsid w:val="002C00E8"/>
    <w:rsid w:val="002C0646"/>
    <w:rsid w:val="002C30EE"/>
    <w:rsid w:val="002C67F6"/>
    <w:rsid w:val="002D2357"/>
    <w:rsid w:val="002D5341"/>
    <w:rsid w:val="002E4C64"/>
    <w:rsid w:val="002E5543"/>
    <w:rsid w:val="002F0B1D"/>
    <w:rsid w:val="002F0F20"/>
    <w:rsid w:val="002F7BE9"/>
    <w:rsid w:val="0030082F"/>
    <w:rsid w:val="003016ED"/>
    <w:rsid w:val="00302BBF"/>
    <w:rsid w:val="00305AF8"/>
    <w:rsid w:val="00314EE4"/>
    <w:rsid w:val="00315315"/>
    <w:rsid w:val="00320448"/>
    <w:rsid w:val="00320BE0"/>
    <w:rsid w:val="00327A56"/>
    <w:rsid w:val="00331532"/>
    <w:rsid w:val="003317A6"/>
    <w:rsid w:val="00334F59"/>
    <w:rsid w:val="00340918"/>
    <w:rsid w:val="00343749"/>
    <w:rsid w:val="00343B8B"/>
    <w:rsid w:val="003447A3"/>
    <w:rsid w:val="003504B7"/>
    <w:rsid w:val="003508BC"/>
    <w:rsid w:val="00350F3A"/>
    <w:rsid w:val="00351188"/>
    <w:rsid w:val="00351C94"/>
    <w:rsid w:val="00352167"/>
    <w:rsid w:val="00352D78"/>
    <w:rsid w:val="00353F2F"/>
    <w:rsid w:val="00355126"/>
    <w:rsid w:val="00357044"/>
    <w:rsid w:val="00357963"/>
    <w:rsid w:val="00357FDE"/>
    <w:rsid w:val="00360F38"/>
    <w:rsid w:val="00361141"/>
    <w:rsid w:val="003628A3"/>
    <w:rsid w:val="00365024"/>
    <w:rsid w:val="00367050"/>
    <w:rsid w:val="00367F93"/>
    <w:rsid w:val="00376EB5"/>
    <w:rsid w:val="0038137F"/>
    <w:rsid w:val="003820CD"/>
    <w:rsid w:val="00383733"/>
    <w:rsid w:val="00385BB1"/>
    <w:rsid w:val="003869A9"/>
    <w:rsid w:val="00386C09"/>
    <w:rsid w:val="00387DC6"/>
    <w:rsid w:val="00393892"/>
    <w:rsid w:val="00395BCD"/>
    <w:rsid w:val="0039663C"/>
    <w:rsid w:val="00397042"/>
    <w:rsid w:val="00397DF7"/>
    <w:rsid w:val="003A0A67"/>
    <w:rsid w:val="003A0CEB"/>
    <w:rsid w:val="003A10AC"/>
    <w:rsid w:val="003A1CBF"/>
    <w:rsid w:val="003A24DA"/>
    <w:rsid w:val="003A2596"/>
    <w:rsid w:val="003A2932"/>
    <w:rsid w:val="003A398D"/>
    <w:rsid w:val="003A45E5"/>
    <w:rsid w:val="003A4AB4"/>
    <w:rsid w:val="003A764B"/>
    <w:rsid w:val="003B0550"/>
    <w:rsid w:val="003B1CF4"/>
    <w:rsid w:val="003B403C"/>
    <w:rsid w:val="003B5217"/>
    <w:rsid w:val="003B694F"/>
    <w:rsid w:val="003B6F58"/>
    <w:rsid w:val="003C6DEB"/>
    <w:rsid w:val="003D0B3C"/>
    <w:rsid w:val="003D37C6"/>
    <w:rsid w:val="003D49D5"/>
    <w:rsid w:val="003F1126"/>
    <w:rsid w:val="003F171C"/>
    <w:rsid w:val="003F6349"/>
    <w:rsid w:val="004008FF"/>
    <w:rsid w:val="00400BCE"/>
    <w:rsid w:val="00404B01"/>
    <w:rsid w:val="0041095B"/>
    <w:rsid w:val="00412FC5"/>
    <w:rsid w:val="00414A07"/>
    <w:rsid w:val="00414BC1"/>
    <w:rsid w:val="00414BD8"/>
    <w:rsid w:val="00414F00"/>
    <w:rsid w:val="004172DB"/>
    <w:rsid w:val="00420CDF"/>
    <w:rsid w:val="00422276"/>
    <w:rsid w:val="004242F1"/>
    <w:rsid w:val="00433E5E"/>
    <w:rsid w:val="00434278"/>
    <w:rsid w:val="00434575"/>
    <w:rsid w:val="004348F7"/>
    <w:rsid w:val="004359DD"/>
    <w:rsid w:val="00435FB8"/>
    <w:rsid w:val="004409D9"/>
    <w:rsid w:val="00445A00"/>
    <w:rsid w:val="004479E5"/>
    <w:rsid w:val="00450242"/>
    <w:rsid w:val="00451B0F"/>
    <w:rsid w:val="00452FFD"/>
    <w:rsid w:val="0045325F"/>
    <w:rsid w:val="00463506"/>
    <w:rsid w:val="0046402A"/>
    <w:rsid w:val="004655CB"/>
    <w:rsid w:val="00465FD1"/>
    <w:rsid w:val="00471DDB"/>
    <w:rsid w:val="004737E2"/>
    <w:rsid w:val="00484691"/>
    <w:rsid w:val="0048602F"/>
    <w:rsid w:val="00486957"/>
    <w:rsid w:val="00486ADC"/>
    <w:rsid w:val="00490FA1"/>
    <w:rsid w:val="00491CAC"/>
    <w:rsid w:val="00492284"/>
    <w:rsid w:val="004952FF"/>
    <w:rsid w:val="0049610C"/>
    <w:rsid w:val="00497254"/>
    <w:rsid w:val="00497462"/>
    <w:rsid w:val="004A1DD7"/>
    <w:rsid w:val="004A25AB"/>
    <w:rsid w:val="004A296D"/>
    <w:rsid w:val="004A2C13"/>
    <w:rsid w:val="004A4478"/>
    <w:rsid w:val="004A55DF"/>
    <w:rsid w:val="004B441D"/>
    <w:rsid w:val="004B5795"/>
    <w:rsid w:val="004B5871"/>
    <w:rsid w:val="004B71EF"/>
    <w:rsid w:val="004C028A"/>
    <w:rsid w:val="004C2EE3"/>
    <w:rsid w:val="004C693C"/>
    <w:rsid w:val="004C6AC5"/>
    <w:rsid w:val="004C7120"/>
    <w:rsid w:val="004C7963"/>
    <w:rsid w:val="004D14D2"/>
    <w:rsid w:val="004D1DB2"/>
    <w:rsid w:val="004E2022"/>
    <w:rsid w:val="004E347E"/>
    <w:rsid w:val="004E4A22"/>
    <w:rsid w:val="004E5936"/>
    <w:rsid w:val="004F1331"/>
    <w:rsid w:val="004F3A1A"/>
    <w:rsid w:val="004F4B62"/>
    <w:rsid w:val="004F5449"/>
    <w:rsid w:val="004F5E64"/>
    <w:rsid w:val="004F5E89"/>
    <w:rsid w:val="005029BF"/>
    <w:rsid w:val="0050401D"/>
    <w:rsid w:val="005050D6"/>
    <w:rsid w:val="00505C4E"/>
    <w:rsid w:val="0051080A"/>
    <w:rsid w:val="00510F50"/>
    <w:rsid w:val="00511968"/>
    <w:rsid w:val="0051245D"/>
    <w:rsid w:val="005124D9"/>
    <w:rsid w:val="005145CB"/>
    <w:rsid w:val="00522A30"/>
    <w:rsid w:val="00525103"/>
    <w:rsid w:val="00526103"/>
    <w:rsid w:val="0052710C"/>
    <w:rsid w:val="005278FD"/>
    <w:rsid w:val="005404E4"/>
    <w:rsid w:val="00540959"/>
    <w:rsid w:val="00540B2D"/>
    <w:rsid w:val="00541786"/>
    <w:rsid w:val="005419E0"/>
    <w:rsid w:val="00541F03"/>
    <w:rsid w:val="005508BF"/>
    <w:rsid w:val="00551532"/>
    <w:rsid w:val="0055614C"/>
    <w:rsid w:val="0055639D"/>
    <w:rsid w:val="005579D5"/>
    <w:rsid w:val="00561D23"/>
    <w:rsid w:val="005626D4"/>
    <w:rsid w:val="005645B1"/>
    <w:rsid w:val="00565F9F"/>
    <w:rsid w:val="00566077"/>
    <w:rsid w:val="005660A8"/>
    <w:rsid w:val="00566822"/>
    <w:rsid w:val="00567FCE"/>
    <w:rsid w:val="005700F3"/>
    <w:rsid w:val="00572218"/>
    <w:rsid w:val="00572A65"/>
    <w:rsid w:val="005742F2"/>
    <w:rsid w:val="005776BD"/>
    <w:rsid w:val="00582969"/>
    <w:rsid w:val="00586385"/>
    <w:rsid w:val="00592235"/>
    <w:rsid w:val="00592C4C"/>
    <w:rsid w:val="00597DF3"/>
    <w:rsid w:val="005A2A94"/>
    <w:rsid w:val="005A42DF"/>
    <w:rsid w:val="005B3200"/>
    <w:rsid w:val="005B364E"/>
    <w:rsid w:val="005B431A"/>
    <w:rsid w:val="005B4565"/>
    <w:rsid w:val="005B76E1"/>
    <w:rsid w:val="005B77EC"/>
    <w:rsid w:val="005C11B2"/>
    <w:rsid w:val="005C3D6F"/>
    <w:rsid w:val="005C7E8A"/>
    <w:rsid w:val="005D0017"/>
    <w:rsid w:val="005D3EF6"/>
    <w:rsid w:val="005E0D99"/>
    <w:rsid w:val="005E221D"/>
    <w:rsid w:val="005E2EA3"/>
    <w:rsid w:val="005E31E1"/>
    <w:rsid w:val="005E4B8D"/>
    <w:rsid w:val="005E7899"/>
    <w:rsid w:val="005F3A0D"/>
    <w:rsid w:val="005F3E70"/>
    <w:rsid w:val="005F54A4"/>
    <w:rsid w:val="005F558B"/>
    <w:rsid w:val="005F615D"/>
    <w:rsid w:val="00600DB5"/>
    <w:rsid w:val="00602329"/>
    <w:rsid w:val="00603931"/>
    <w:rsid w:val="00605A3F"/>
    <w:rsid w:val="00606FF6"/>
    <w:rsid w:val="00607842"/>
    <w:rsid w:val="00607BA5"/>
    <w:rsid w:val="00607BF9"/>
    <w:rsid w:val="006100EB"/>
    <w:rsid w:val="006108AD"/>
    <w:rsid w:val="00611BC3"/>
    <w:rsid w:val="00611E7C"/>
    <w:rsid w:val="00612AA5"/>
    <w:rsid w:val="00612B4D"/>
    <w:rsid w:val="006130F1"/>
    <w:rsid w:val="006220B0"/>
    <w:rsid w:val="006225BE"/>
    <w:rsid w:val="006230A0"/>
    <w:rsid w:val="00624357"/>
    <w:rsid w:val="00624B78"/>
    <w:rsid w:val="00624FD7"/>
    <w:rsid w:val="00626EB6"/>
    <w:rsid w:val="0062799A"/>
    <w:rsid w:val="0063094A"/>
    <w:rsid w:val="006313E2"/>
    <w:rsid w:val="00640AD6"/>
    <w:rsid w:val="00645300"/>
    <w:rsid w:val="006520A5"/>
    <w:rsid w:val="006554F4"/>
    <w:rsid w:val="00655D03"/>
    <w:rsid w:val="006561B9"/>
    <w:rsid w:val="0065713D"/>
    <w:rsid w:val="00661747"/>
    <w:rsid w:val="006663EC"/>
    <w:rsid w:val="00671673"/>
    <w:rsid w:val="0067334D"/>
    <w:rsid w:val="0067516C"/>
    <w:rsid w:val="00675F97"/>
    <w:rsid w:val="00676723"/>
    <w:rsid w:val="006776B4"/>
    <w:rsid w:val="006811E0"/>
    <w:rsid w:val="006811F1"/>
    <w:rsid w:val="00683EA2"/>
    <w:rsid w:val="00683F84"/>
    <w:rsid w:val="00684C60"/>
    <w:rsid w:val="00686A51"/>
    <w:rsid w:val="00696E22"/>
    <w:rsid w:val="006A05CA"/>
    <w:rsid w:val="006A1C87"/>
    <w:rsid w:val="006A2A50"/>
    <w:rsid w:val="006A3260"/>
    <w:rsid w:val="006A331D"/>
    <w:rsid w:val="006A4D21"/>
    <w:rsid w:val="006A581E"/>
    <w:rsid w:val="006A6A81"/>
    <w:rsid w:val="006B14DD"/>
    <w:rsid w:val="006B6017"/>
    <w:rsid w:val="006C1944"/>
    <w:rsid w:val="006C48F7"/>
    <w:rsid w:val="006C6DE3"/>
    <w:rsid w:val="006C761E"/>
    <w:rsid w:val="006D015E"/>
    <w:rsid w:val="006D2DF3"/>
    <w:rsid w:val="006D6923"/>
    <w:rsid w:val="006E2904"/>
    <w:rsid w:val="006E4326"/>
    <w:rsid w:val="006E4A96"/>
    <w:rsid w:val="006E6CFC"/>
    <w:rsid w:val="006F1DFC"/>
    <w:rsid w:val="006F35AB"/>
    <w:rsid w:val="006F6AE9"/>
    <w:rsid w:val="006F7393"/>
    <w:rsid w:val="0070224F"/>
    <w:rsid w:val="0070238A"/>
    <w:rsid w:val="0070289F"/>
    <w:rsid w:val="0070589D"/>
    <w:rsid w:val="007115F7"/>
    <w:rsid w:val="00714014"/>
    <w:rsid w:val="00714062"/>
    <w:rsid w:val="0071473B"/>
    <w:rsid w:val="0071550B"/>
    <w:rsid w:val="00722CD3"/>
    <w:rsid w:val="00725C20"/>
    <w:rsid w:val="0072645F"/>
    <w:rsid w:val="007279D7"/>
    <w:rsid w:val="00733B04"/>
    <w:rsid w:val="00736852"/>
    <w:rsid w:val="007447A7"/>
    <w:rsid w:val="0074605C"/>
    <w:rsid w:val="007511CA"/>
    <w:rsid w:val="00754260"/>
    <w:rsid w:val="0075516F"/>
    <w:rsid w:val="007570F2"/>
    <w:rsid w:val="00763ED6"/>
    <w:rsid w:val="00764026"/>
    <w:rsid w:val="007661E4"/>
    <w:rsid w:val="0077084A"/>
    <w:rsid w:val="00773023"/>
    <w:rsid w:val="00774786"/>
    <w:rsid w:val="00775907"/>
    <w:rsid w:val="0077592C"/>
    <w:rsid w:val="00776233"/>
    <w:rsid w:val="00782791"/>
    <w:rsid w:val="0078544C"/>
    <w:rsid w:val="00785675"/>
    <w:rsid w:val="00785689"/>
    <w:rsid w:val="00785DDD"/>
    <w:rsid w:val="00785EA8"/>
    <w:rsid w:val="007875C0"/>
    <w:rsid w:val="007916AE"/>
    <w:rsid w:val="00792CB1"/>
    <w:rsid w:val="00793ABE"/>
    <w:rsid w:val="0079527C"/>
    <w:rsid w:val="00795338"/>
    <w:rsid w:val="007953B5"/>
    <w:rsid w:val="0079587C"/>
    <w:rsid w:val="0079754B"/>
    <w:rsid w:val="007A14F7"/>
    <w:rsid w:val="007A1E6D"/>
    <w:rsid w:val="007A247C"/>
    <w:rsid w:val="007A73E0"/>
    <w:rsid w:val="007A7BA1"/>
    <w:rsid w:val="007B0C25"/>
    <w:rsid w:val="007B37B7"/>
    <w:rsid w:val="007B3BDA"/>
    <w:rsid w:val="007B4F15"/>
    <w:rsid w:val="007B4F9B"/>
    <w:rsid w:val="007C0B39"/>
    <w:rsid w:val="007C4B67"/>
    <w:rsid w:val="007C6255"/>
    <w:rsid w:val="007C66A7"/>
    <w:rsid w:val="007C73C4"/>
    <w:rsid w:val="007D3344"/>
    <w:rsid w:val="007D3517"/>
    <w:rsid w:val="007D3BC9"/>
    <w:rsid w:val="007E04E4"/>
    <w:rsid w:val="007E10BA"/>
    <w:rsid w:val="007E1B57"/>
    <w:rsid w:val="007E2BD7"/>
    <w:rsid w:val="007E2D92"/>
    <w:rsid w:val="007E460A"/>
    <w:rsid w:val="007F25D2"/>
    <w:rsid w:val="008044E4"/>
    <w:rsid w:val="00805856"/>
    <w:rsid w:val="008067EA"/>
    <w:rsid w:val="00810FC9"/>
    <w:rsid w:val="00811D58"/>
    <w:rsid w:val="008128B3"/>
    <w:rsid w:val="00815E84"/>
    <w:rsid w:val="008217DF"/>
    <w:rsid w:val="0082290F"/>
    <w:rsid w:val="00822CE0"/>
    <w:rsid w:val="00823DB9"/>
    <w:rsid w:val="00824015"/>
    <w:rsid w:val="0082410C"/>
    <w:rsid w:val="0082670C"/>
    <w:rsid w:val="0082735A"/>
    <w:rsid w:val="00831C59"/>
    <w:rsid w:val="008346E7"/>
    <w:rsid w:val="0083739F"/>
    <w:rsid w:val="00841AB1"/>
    <w:rsid w:val="00843A5F"/>
    <w:rsid w:val="00844998"/>
    <w:rsid w:val="008472AC"/>
    <w:rsid w:val="00850DBC"/>
    <w:rsid w:val="008511B9"/>
    <w:rsid w:val="00852F69"/>
    <w:rsid w:val="00853AEC"/>
    <w:rsid w:val="00860B3E"/>
    <w:rsid w:val="008644A6"/>
    <w:rsid w:val="0086518D"/>
    <w:rsid w:val="00867B1A"/>
    <w:rsid w:val="00867C75"/>
    <w:rsid w:val="00874A0C"/>
    <w:rsid w:val="00880BA8"/>
    <w:rsid w:val="00881DA6"/>
    <w:rsid w:val="00883302"/>
    <w:rsid w:val="00890101"/>
    <w:rsid w:val="00891B9B"/>
    <w:rsid w:val="008947F4"/>
    <w:rsid w:val="00897120"/>
    <w:rsid w:val="008A0994"/>
    <w:rsid w:val="008A1228"/>
    <w:rsid w:val="008A2310"/>
    <w:rsid w:val="008A267C"/>
    <w:rsid w:val="008A37FE"/>
    <w:rsid w:val="008A466E"/>
    <w:rsid w:val="008A5341"/>
    <w:rsid w:val="008A5BA8"/>
    <w:rsid w:val="008A6BA6"/>
    <w:rsid w:val="008A7C03"/>
    <w:rsid w:val="008A7EA5"/>
    <w:rsid w:val="008B082A"/>
    <w:rsid w:val="008B5CEE"/>
    <w:rsid w:val="008C14DE"/>
    <w:rsid w:val="008C2D54"/>
    <w:rsid w:val="008C4282"/>
    <w:rsid w:val="008D046F"/>
    <w:rsid w:val="008D579C"/>
    <w:rsid w:val="008D66A7"/>
    <w:rsid w:val="008E08DB"/>
    <w:rsid w:val="008E35F2"/>
    <w:rsid w:val="008E6279"/>
    <w:rsid w:val="008F546F"/>
    <w:rsid w:val="008F5609"/>
    <w:rsid w:val="008F6354"/>
    <w:rsid w:val="009000B2"/>
    <w:rsid w:val="00903487"/>
    <w:rsid w:val="00903E19"/>
    <w:rsid w:val="009052A4"/>
    <w:rsid w:val="009102C4"/>
    <w:rsid w:val="00910F04"/>
    <w:rsid w:val="009112E9"/>
    <w:rsid w:val="00911882"/>
    <w:rsid w:val="00912507"/>
    <w:rsid w:val="00912A4B"/>
    <w:rsid w:val="0091396F"/>
    <w:rsid w:val="00917CD4"/>
    <w:rsid w:val="00921803"/>
    <w:rsid w:val="0092218F"/>
    <w:rsid w:val="00922F5C"/>
    <w:rsid w:val="00925EC6"/>
    <w:rsid w:val="00926503"/>
    <w:rsid w:val="0092745B"/>
    <w:rsid w:val="00931485"/>
    <w:rsid w:val="009317FB"/>
    <w:rsid w:val="009319F8"/>
    <w:rsid w:val="009332A1"/>
    <w:rsid w:val="0093446F"/>
    <w:rsid w:val="0093490E"/>
    <w:rsid w:val="00935E3A"/>
    <w:rsid w:val="00937484"/>
    <w:rsid w:val="0094240B"/>
    <w:rsid w:val="0094347F"/>
    <w:rsid w:val="00943560"/>
    <w:rsid w:val="00947799"/>
    <w:rsid w:val="00950EB7"/>
    <w:rsid w:val="00956027"/>
    <w:rsid w:val="00956337"/>
    <w:rsid w:val="00962945"/>
    <w:rsid w:val="009632A6"/>
    <w:rsid w:val="00964237"/>
    <w:rsid w:val="00966371"/>
    <w:rsid w:val="009676BC"/>
    <w:rsid w:val="00970C6B"/>
    <w:rsid w:val="009711A2"/>
    <w:rsid w:val="0097256B"/>
    <w:rsid w:val="009741B1"/>
    <w:rsid w:val="00975449"/>
    <w:rsid w:val="00976233"/>
    <w:rsid w:val="0097651C"/>
    <w:rsid w:val="00981C93"/>
    <w:rsid w:val="00981F23"/>
    <w:rsid w:val="0098449D"/>
    <w:rsid w:val="0098461D"/>
    <w:rsid w:val="00987F4E"/>
    <w:rsid w:val="00987FB6"/>
    <w:rsid w:val="0099140B"/>
    <w:rsid w:val="009929F0"/>
    <w:rsid w:val="00992C14"/>
    <w:rsid w:val="00992F4D"/>
    <w:rsid w:val="009942A1"/>
    <w:rsid w:val="009A40C2"/>
    <w:rsid w:val="009A4C16"/>
    <w:rsid w:val="009A7EE4"/>
    <w:rsid w:val="009B5A50"/>
    <w:rsid w:val="009C33C5"/>
    <w:rsid w:val="009D2142"/>
    <w:rsid w:val="009D332B"/>
    <w:rsid w:val="009D66D5"/>
    <w:rsid w:val="009E2677"/>
    <w:rsid w:val="009E4E15"/>
    <w:rsid w:val="009E58C9"/>
    <w:rsid w:val="009E5BD6"/>
    <w:rsid w:val="009F04D5"/>
    <w:rsid w:val="009F286B"/>
    <w:rsid w:val="009F3A92"/>
    <w:rsid w:val="009F617B"/>
    <w:rsid w:val="009F77E2"/>
    <w:rsid w:val="009F7C04"/>
    <w:rsid w:val="00A00B66"/>
    <w:rsid w:val="00A027EA"/>
    <w:rsid w:val="00A02AFD"/>
    <w:rsid w:val="00A03DB3"/>
    <w:rsid w:val="00A05473"/>
    <w:rsid w:val="00A06315"/>
    <w:rsid w:val="00A0704F"/>
    <w:rsid w:val="00A07FCB"/>
    <w:rsid w:val="00A12F28"/>
    <w:rsid w:val="00A14DB5"/>
    <w:rsid w:val="00A15A52"/>
    <w:rsid w:val="00A15CBD"/>
    <w:rsid w:val="00A16466"/>
    <w:rsid w:val="00A168BC"/>
    <w:rsid w:val="00A17A3B"/>
    <w:rsid w:val="00A20FF3"/>
    <w:rsid w:val="00A214C3"/>
    <w:rsid w:val="00A23AF4"/>
    <w:rsid w:val="00A27ACB"/>
    <w:rsid w:val="00A35883"/>
    <w:rsid w:val="00A35CE8"/>
    <w:rsid w:val="00A3732E"/>
    <w:rsid w:val="00A453E0"/>
    <w:rsid w:val="00A45F4F"/>
    <w:rsid w:val="00A4658E"/>
    <w:rsid w:val="00A5227B"/>
    <w:rsid w:val="00A5575C"/>
    <w:rsid w:val="00A5729D"/>
    <w:rsid w:val="00A57B31"/>
    <w:rsid w:val="00A600A9"/>
    <w:rsid w:val="00A60258"/>
    <w:rsid w:val="00A606BF"/>
    <w:rsid w:val="00A6117C"/>
    <w:rsid w:val="00A61ED7"/>
    <w:rsid w:val="00A66336"/>
    <w:rsid w:val="00A669A9"/>
    <w:rsid w:val="00A67E88"/>
    <w:rsid w:val="00A74DB8"/>
    <w:rsid w:val="00A75E0B"/>
    <w:rsid w:val="00A77D25"/>
    <w:rsid w:val="00A81E40"/>
    <w:rsid w:val="00A82494"/>
    <w:rsid w:val="00A87C06"/>
    <w:rsid w:val="00A919E3"/>
    <w:rsid w:val="00A936BB"/>
    <w:rsid w:val="00A95282"/>
    <w:rsid w:val="00A96A5E"/>
    <w:rsid w:val="00AA2600"/>
    <w:rsid w:val="00AA2E8D"/>
    <w:rsid w:val="00AA4B16"/>
    <w:rsid w:val="00AA55B7"/>
    <w:rsid w:val="00AA5B9E"/>
    <w:rsid w:val="00AA6A84"/>
    <w:rsid w:val="00AA7463"/>
    <w:rsid w:val="00AA7622"/>
    <w:rsid w:val="00AB2407"/>
    <w:rsid w:val="00AB2C10"/>
    <w:rsid w:val="00AB39F3"/>
    <w:rsid w:val="00AB4688"/>
    <w:rsid w:val="00AB4CF8"/>
    <w:rsid w:val="00AB53DF"/>
    <w:rsid w:val="00AC12AD"/>
    <w:rsid w:val="00AC2247"/>
    <w:rsid w:val="00AC377A"/>
    <w:rsid w:val="00AC3D20"/>
    <w:rsid w:val="00AC5A7C"/>
    <w:rsid w:val="00AD010D"/>
    <w:rsid w:val="00AD0ADA"/>
    <w:rsid w:val="00AD2496"/>
    <w:rsid w:val="00AD3587"/>
    <w:rsid w:val="00AD6C34"/>
    <w:rsid w:val="00AE00CA"/>
    <w:rsid w:val="00AE1D47"/>
    <w:rsid w:val="00AE27F8"/>
    <w:rsid w:val="00AE43B7"/>
    <w:rsid w:val="00AE4DB3"/>
    <w:rsid w:val="00AE4E54"/>
    <w:rsid w:val="00AF03D6"/>
    <w:rsid w:val="00AF048C"/>
    <w:rsid w:val="00AF5348"/>
    <w:rsid w:val="00AF6522"/>
    <w:rsid w:val="00AF7DAD"/>
    <w:rsid w:val="00B00166"/>
    <w:rsid w:val="00B02B1C"/>
    <w:rsid w:val="00B02DC2"/>
    <w:rsid w:val="00B02FB8"/>
    <w:rsid w:val="00B07321"/>
    <w:rsid w:val="00B07DE3"/>
    <w:rsid w:val="00B07E5C"/>
    <w:rsid w:val="00B10576"/>
    <w:rsid w:val="00B128F1"/>
    <w:rsid w:val="00B13350"/>
    <w:rsid w:val="00B141B4"/>
    <w:rsid w:val="00B14FAF"/>
    <w:rsid w:val="00B15877"/>
    <w:rsid w:val="00B1792B"/>
    <w:rsid w:val="00B17E4A"/>
    <w:rsid w:val="00B211FD"/>
    <w:rsid w:val="00B239D9"/>
    <w:rsid w:val="00B24755"/>
    <w:rsid w:val="00B26EE6"/>
    <w:rsid w:val="00B277A4"/>
    <w:rsid w:val="00B302CB"/>
    <w:rsid w:val="00B32157"/>
    <w:rsid w:val="00B33901"/>
    <w:rsid w:val="00B34188"/>
    <w:rsid w:val="00B36C9E"/>
    <w:rsid w:val="00B44A4F"/>
    <w:rsid w:val="00B4634C"/>
    <w:rsid w:val="00B47311"/>
    <w:rsid w:val="00B508D0"/>
    <w:rsid w:val="00B50ECA"/>
    <w:rsid w:val="00B517BE"/>
    <w:rsid w:val="00B5414A"/>
    <w:rsid w:val="00B62518"/>
    <w:rsid w:val="00B6331B"/>
    <w:rsid w:val="00B64EC5"/>
    <w:rsid w:val="00B6557F"/>
    <w:rsid w:val="00B65EF8"/>
    <w:rsid w:val="00B66445"/>
    <w:rsid w:val="00B66F5A"/>
    <w:rsid w:val="00B67077"/>
    <w:rsid w:val="00B75912"/>
    <w:rsid w:val="00B761CF"/>
    <w:rsid w:val="00B80DF6"/>
    <w:rsid w:val="00B811F7"/>
    <w:rsid w:val="00B816A7"/>
    <w:rsid w:val="00B84E6C"/>
    <w:rsid w:val="00B860D7"/>
    <w:rsid w:val="00B872DE"/>
    <w:rsid w:val="00B87679"/>
    <w:rsid w:val="00BA3B91"/>
    <w:rsid w:val="00BA5DC6"/>
    <w:rsid w:val="00BA6196"/>
    <w:rsid w:val="00BA7F12"/>
    <w:rsid w:val="00BB0606"/>
    <w:rsid w:val="00BB0C03"/>
    <w:rsid w:val="00BB1C64"/>
    <w:rsid w:val="00BB365A"/>
    <w:rsid w:val="00BB5512"/>
    <w:rsid w:val="00BC2CFF"/>
    <w:rsid w:val="00BC5D56"/>
    <w:rsid w:val="00BC68DF"/>
    <w:rsid w:val="00BC6D8C"/>
    <w:rsid w:val="00BC76F9"/>
    <w:rsid w:val="00BD129C"/>
    <w:rsid w:val="00BD24F4"/>
    <w:rsid w:val="00BE2581"/>
    <w:rsid w:val="00BE2B2B"/>
    <w:rsid w:val="00BE56B5"/>
    <w:rsid w:val="00BE73DC"/>
    <w:rsid w:val="00BE7722"/>
    <w:rsid w:val="00BF0234"/>
    <w:rsid w:val="00BF0CB5"/>
    <w:rsid w:val="00BF1EEC"/>
    <w:rsid w:val="00C02FA9"/>
    <w:rsid w:val="00C04D36"/>
    <w:rsid w:val="00C06E84"/>
    <w:rsid w:val="00C1071A"/>
    <w:rsid w:val="00C10ADD"/>
    <w:rsid w:val="00C11E29"/>
    <w:rsid w:val="00C218DC"/>
    <w:rsid w:val="00C26F5F"/>
    <w:rsid w:val="00C34006"/>
    <w:rsid w:val="00C36F6A"/>
    <w:rsid w:val="00C4174C"/>
    <w:rsid w:val="00C426B1"/>
    <w:rsid w:val="00C438ED"/>
    <w:rsid w:val="00C447D2"/>
    <w:rsid w:val="00C46929"/>
    <w:rsid w:val="00C473A8"/>
    <w:rsid w:val="00C47A0C"/>
    <w:rsid w:val="00C47FEF"/>
    <w:rsid w:val="00C518D0"/>
    <w:rsid w:val="00C523B9"/>
    <w:rsid w:val="00C52CF8"/>
    <w:rsid w:val="00C550B2"/>
    <w:rsid w:val="00C5750F"/>
    <w:rsid w:val="00C6071D"/>
    <w:rsid w:val="00C612AC"/>
    <w:rsid w:val="00C615DD"/>
    <w:rsid w:val="00C65FCF"/>
    <w:rsid w:val="00C67932"/>
    <w:rsid w:val="00C700F9"/>
    <w:rsid w:val="00C713BD"/>
    <w:rsid w:val="00C74062"/>
    <w:rsid w:val="00C7579F"/>
    <w:rsid w:val="00C76BB9"/>
    <w:rsid w:val="00C85DCF"/>
    <w:rsid w:val="00C90D6A"/>
    <w:rsid w:val="00C9246B"/>
    <w:rsid w:val="00C92F97"/>
    <w:rsid w:val="00C93A14"/>
    <w:rsid w:val="00C95D80"/>
    <w:rsid w:val="00CA21C0"/>
    <w:rsid w:val="00CA247E"/>
    <w:rsid w:val="00CA7078"/>
    <w:rsid w:val="00CB260B"/>
    <w:rsid w:val="00CB51FE"/>
    <w:rsid w:val="00CC2691"/>
    <w:rsid w:val="00CC28B3"/>
    <w:rsid w:val="00CC4A43"/>
    <w:rsid w:val="00CC532C"/>
    <w:rsid w:val="00CC596B"/>
    <w:rsid w:val="00CC72B6"/>
    <w:rsid w:val="00CC746A"/>
    <w:rsid w:val="00CD0180"/>
    <w:rsid w:val="00CD2C9B"/>
    <w:rsid w:val="00CD45F8"/>
    <w:rsid w:val="00CE1849"/>
    <w:rsid w:val="00CE1A0C"/>
    <w:rsid w:val="00CE428F"/>
    <w:rsid w:val="00CE632C"/>
    <w:rsid w:val="00CE76C6"/>
    <w:rsid w:val="00CF1C0F"/>
    <w:rsid w:val="00CF2F47"/>
    <w:rsid w:val="00CF77B7"/>
    <w:rsid w:val="00D0218D"/>
    <w:rsid w:val="00D0240B"/>
    <w:rsid w:val="00D03AD8"/>
    <w:rsid w:val="00D046D2"/>
    <w:rsid w:val="00D05A77"/>
    <w:rsid w:val="00D1069B"/>
    <w:rsid w:val="00D10745"/>
    <w:rsid w:val="00D14D6B"/>
    <w:rsid w:val="00D15C14"/>
    <w:rsid w:val="00D23E19"/>
    <w:rsid w:val="00D257FE"/>
    <w:rsid w:val="00D25C5E"/>
    <w:rsid w:val="00D25ED7"/>
    <w:rsid w:val="00D26289"/>
    <w:rsid w:val="00D3032A"/>
    <w:rsid w:val="00D31663"/>
    <w:rsid w:val="00D34498"/>
    <w:rsid w:val="00D34844"/>
    <w:rsid w:val="00D3490E"/>
    <w:rsid w:val="00D3534B"/>
    <w:rsid w:val="00D35731"/>
    <w:rsid w:val="00D377A5"/>
    <w:rsid w:val="00D4054C"/>
    <w:rsid w:val="00D42D5D"/>
    <w:rsid w:val="00D44790"/>
    <w:rsid w:val="00D44CDD"/>
    <w:rsid w:val="00D52151"/>
    <w:rsid w:val="00D52555"/>
    <w:rsid w:val="00D528BF"/>
    <w:rsid w:val="00D55448"/>
    <w:rsid w:val="00D55502"/>
    <w:rsid w:val="00D5619D"/>
    <w:rsid w:val="00D56630"/>
    <w:rsid w:val="00D603E7"/>
    <w:rsid w:val="00D630D3"/>
    <w:rsid w:val="00D67F84"/>
    <w:rsid w:val="00D704AA"/>
    <w:rsid w:val="00D70822"/>
    <w:rsid w:val="00D71CDA"/>
    <w:rsid w:val="00D72794"/>
    <w:rsid w:val="00D81FA0"/>
    <w:rsid w:val="00D82EB7"/>
    <w:rsid w:val="00D83129"/>
    <w:rsid w:val="00D84548"/>
    <w:rsid w:val="00D86532"/>
    <w:rsid w:val="00D91240"/>
    <w:rsid w:val="00D943A2"/>
    <w:rsid w:val="00D94F49"/>
    <w:rsid w:val="00D95AC5"/>
    <w:rsid w:val="00D95C94"/>
    <w:rsid w:val="00D9774A"/>
    <w:rsid w:val="00D978A8"/>
    <w:rsid w:val="00D97B34"/>
    <w:rsid w:val="00DA0016"/>
    <w:rsid w:val="00DA2529"/>
    <w:rsid w:val="00DA2BA0"/>
    <w:rsid w:val="00DA2CFF"/>
    <w:rsid w:val="00DA2DB9"/>
    <w:rsid w:val="00DA4667"/>
    <w:rsid w:val="00DA7E2A"/>
    <w:rsid w:val="00DB0422"/>
    <w:rsid w:val="00DB130A"/>
    <w:rsid w:val="00DB4B14"/>
    <w:rsid w:val="00DB5B28"/>
    <w:rsid w:val="00DC10A1"/>
    <w:rsid w:val="00DC1BFB"/>
    <w:rsid w:val="00DC5271"/>
    <w:rsid w:val="00DC5DD8"/>
    <w:rsid w:val="00DC655F"/>
    <w:rsid w:val="00DC6E68"/>
    <w:rsid w:val="00DC6EB4"/>
    <w:rsid w:val="00DD0B59"/>
    <w:rsid w:val="00DD1CEE"/>
    <w:rsid w:val="00DD6824"/>
    <w:rsid w:val="00DD7967"/>
    <w:rsid w:val="00DD7DE0"/>
    <w:rsid w:val="00DD7EBD"/>
    <w:rsid w:val="00DE0C2F"/>
    <w:rsid w:val="00DE31E5"/>
    <w:rsid w:val="00DE704A"/>
    <w:rsid w:val="00DE7126"/>
    <w:rsid w:val="00DF05A3"/>
    <w:rsid w:val="00DF0FAA"/>
    <w:rsid w:val="00DF123C"/>
    <w:rsid w:val="00DF1C0C"/>
    <w:rsid w:val="00DF4504"/>
    <w:rsid w:val="00DF465C"/>
    <w:rsid w:val="00DF47DF"/>
    <w:rsid w:val="00DF5AF8"/>
    <w:rsid w:val="00DF5C09"/>
    <w:rsid w:val="00DF62B6"/>
    <w:rsid w:val="00DF7138"/>
    <w:rsid w:val="00E03633"/>
    <w:rsid w:val="00E037E1"/>
    <w:rsid w:val="00E069F9"/>
    <w:rsid w:val="00E07225"/>
    <w:rsid w:val="00E139A0"/>
    <w:rsid w:val="00E141AE"/>
    <w:rsid w:val="00E17CC3"/>
    <w:rsid w:val="00E211FE"/>
    <w:rsid w:val="00E2203F"/>
    <w:rsid w:val="00E32005"/>
    <w:rsid w:val="00E3204A"/>
    <w:rsid w:val="00E3378C"/>
    <w:rsid w:val="00E35272"/>
    <w:rsid w:val="00E40864"/>
    <w:rsid w:val="00E41B30"/>
    <w:rsid w:val="00E421F8"/>
    <w:rsid w:val="00E436E3"/>
    <w:rsid w:val="00E440DF"/>
    <w:rsid w:val="00E44AC6"/>
    <w:rsid w:val="00E465A8"/>
    <w:rsid w:val="00E51FFC"/>
    <w:rsid w:val="00E52DC7"/>
    <w:rsid w:val="00E5409F"/>
    <w:rsid w:val="00E54C87"/>
    <w:rsid w:val="00E57147"/>
    <w:rsid w:val="00E63070"/>
    <w:rsid w:val="00E70486"/>
    <w:rsid w:val="00E73616"/>
    <w:rsid w:val="00E76A80"/>
    <w:rsid w:val="00E76AE5"/>
    <w:rsid w:val="00E774C6"/>
    <w:rsid w:val="00E8065C"/>
    <w:rsid w:val="00E828C5"/>
    <w:rsid w:val="00E843BC"/>
    <w:rsid w:val="00E86022"/>
    <w:rsid w:val="00E87831"/>
    <w:rsid w:val="00E93679"/>
    <w:rsid w:val="00E94865"/>
    <w:rsid w:val="00E95C94"/>
    <w:rsid w:val="00EA1A3D"/>
    <w:rsid w:val="00EA21F8"/>
    <w:rsid w:val="00EA296C"/>
    <w:rsid w:val="00EA367A"/>
    <w:rsid w:val="00EB0F91"/>
    <w:rsid w:val="00EB1673"/>
    <w:rsid w:val="00EB1EA6"/>
    <w:rsid w:val="00EB2E40"/>
    <w:rsid w:val="00EB356C"/>
    <w:rsid w:val="00EB6225"/>
    <w:rsid w:val="00EB752D"/>
    <w:rsid w:val="00EC0FE1"/>
    <w:rsid w:val="00EC4602"/>
    <w:rsid w:val="00EC5684"/>
    <w:rsid w:val="00EC5841"/>
    <w:rsid w:val="00EC58BD"/>
    <w:rsid w:val="00EC663A"/>
    <w:rsid w:val="00EC767E"/>
    <w:rsid w:val="00ED1A85"/>
    <w:rsid w:val="00ED419F"/>
    <w:rsid w:val="00ED48FF"/>
    <w:rsid w:val="00ED5746"/>
    <w:rsid w:val="00ED64B0"/>
    <w:rsid w:val="00EE0C8E"/>
    <w:rsid w:val="00EE6488"/>
    <w:rsid w:val="00EF1C44"/>
    <w:rsid w:val="00EF1CC7"/>
    <w:rsid w:val="00EF28F5"/>
    <w:rsid w:val="00EF3095"/>
    <w:rsid w:val="00EF4CF7"/>
    <w:rsid w:val="00EF505E"/>
    <w:rsid w:val="00EF7F44"/>
    <w:rsid w:val="00F00CE8"/>
    <w:rsid w:val="00F01B86"/>
    <w:rsid w:val="00F021FA"/>
    <w:rsid w:val="00F038E2"/>
    <w:rsid w:val="00F05A65"/>
    <w:rsid w:val="00F11389"/>
    <w:rsid w:val="00F12570"/>
    <w:rsid w:val="00F125D4"/>
    <w:rsid w:val="00F162E3"/>
    <w:rsid w:val="00F240C3"/>
    <w:rsid w:val="00F24FF8"/>
    <w:rsid w:val="00F34394"/>
    <w:rsid w:val="00F360F9"/>
    <w:rsid w:val="00F361E6"/>
    <w:rsid w:val="00F3638F"/>
    <w:rsid w:val="00F3676D"/>
    <w:rsid w:val="00F40F2C"/>
    <w:rsid w:val="00F442BB"/>
    <w:rsid w:val="00F44F3A"/>
    <w:rsid w:val="00F60397"/>
    <w:rsid w:val="00F62E97"/>
    <w:rsid w:val="00F64209"/>
    <w:rsid w:val="00F6525C"/>
    <w:rsid w:val="00F65CE9"/>
    <w:rsid w:val="00F66CE5"/>
    <w:rsid w:val="00F70E6D"/>
    <w:rsid w:val="00F71F68"/>
    <w:rsid w:val="00F723E4"/>
    <w:rsid w:val="00F72AB6"/>
    <w:rsid w:val="00F74D07"/>
    <w:rsid w:val="00F80663"/>
    <w:rsid w:val="00F810BC"/>
    <w:rsid w:val="00F82C43"/>
    <w:rsid w:val="00F84126"/>
    <w:rsid w:val="00F84BCA"/>
    <w:rsid w:val="00F85EA2"/>
    <w:rsid w:val="00F87A23"/>
    <w:rsid w:val="00F90847"/>
    <w:rsid w:val="00F92977"/>
    <w:rsid w:val="00F9306A"/>
    <w:rsid w:val="00F931E1"/>
    <w:rsid w:val="00F93BF5"/>
    <w:rsid w:val="00F93D2A"/>
    <w:rsid w:val="00F95B76"/>
    <w:rsid w:val="00F9709E"/>
    <w:rsid w:val="00FA17D3"/>
    <w:rsid w:val="00FA2727"/>
    <w:rsid w:val="00FA3550"/>
    <w:rsid w:val="00FB0D07"/>
    <w:rsid w:val="00FB0DE7"/>
    <w:rsid w:val="00FB0E8A"/>
    <w:rsid w:val="00FB124B"/>
    <w:rsid w:val="00FB2F25"/>
    <w:rsid w:val="00FB4E7B"/>
    <w:rsid w:val="00FB57F6"/>
    <w:rsid w:val="00FB627B"/>
    <w:rsid w:val="00FB7136"/>
    <w:rsid w:val="00FB79FD"/>
    <w:rsid w:val="00FC1B2D"/>
    <w:rsid w:val="00FC2E88"/>
    <w:rsid w:val="00FC521A"/>
    <w:rsid w:val="00FC6D19"/>
    <w:rsid w:val="00FD197F"/>
    <w:rsid w:val="00FD2F8B"/>
    <w:rsid w:val="00FD32B6"/>
    <w:rsid w:val="00FD5FA7"/>
    <w:rsid w:val="00FE0139"/>
    <w:rsid w:val="00FE1E94"/>
    <w:rsid w:val="00FE44B4"/>
    <w:rsid w:val="00FE6A5A"/>
    <w:rsid w:val="00FE7172"/>
    <w:rsid w:val="00FF001A"/>
    <w:rsid w:val="00FF0162"/>
    <w:rsid w:val="00FF605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63B7796-0F60-43BD-A02A-1858CC82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A0C"/>
    <w:pPr>
      <w:widowControl w:val="0"/>
    </w:pPr>
    <w:rPr>
      <w:snapToGrid w:val="0"/>
      <w:kern w:val="28"/>
      <w:sz w:val="22"/>
    </w:rPr>
  </w:style>
  <w:style w:type="paragraph" w:styleId="Heading1">
    <w:name w:val="heading 1"/>
    <w:basedOn w:val="Normal"/>
    <w:next w:val="ParaNum"/>
    <w:link w:val="Heading1Char"/>
    <w:qFormat/>
    <w:rsid w:val="00874A0C"/>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74A0C"/>
    <w:pPr>
      <w:keepNext/>
      <w:numPr>
        <w:ilvl w:val="1"/>
        <w:numId w:val="2"/>
      </w:numPr>
      <w:spacing w:after="120"/>
      <w:outlineLvl w:val="1"/>
    </w:pPr>
    <w:rPr>
      <w:b/>
    </w:rPr>
  </w:style>
  <w:style w:type="paragraph" w:styleId="Heading3">
    <w:name w:val="heading 3"/>
    <w:basedOn w:val="Normal"/>
    <w:next w:val="ParaNum"/>
    <w:qFormat/>
    <w:rsid w:val="00874A0C"/>
    <w:pPr>
      <w:keepNext/>
      <w:numPr>
        <w:ilvl w:val="2"/>
        <w:numId w:val="2"/>
      </w:numPr>
      <w:tabs>
        <w:tab w:val="left" w:pos="2160"/>
      </w:tabs>
      <w:spacing w:after="120"/>
      <w:outlineLvl w:val="2"/>
    </w:pPr>
    <w:rPr>
      <w:b/>
    </w:rPr>
  </w:style>
  <w:style w:type="paragraph" w:styleId="Heading4">
    <w:name w:val="heading 4"/>
    <w:basedOn w:val="Normal"/>
    <w:next w:val="ParaNum"/>
    <w:qFormat/>
    <w:rsid w:val="00874A0C"/>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874A0C"/>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874A0C"/>
    <w:pPr>
      <w:numPr>
        <w:ilvl w:val="5"/>
        <w:numId w:val="2"/>
      </w:numPr>
      <w:tabs>
        <w:tab w:val="left" w:pos="4320"/>
      </w:tabs>
      <w:spacing w:after="120"/>
      <w:outlineLvl w:val="5"/>
    </w:pPr>
    <w:rPr>
      <w:b/>
    </w:rPr>
  </w:style>
  <w:style w:type="paragraph" w:styleId="Heading7">
    <w:name w:val="heading 7"/>
    <w:basedOn w:val="Normal"/>
    <w:next w:val="ParaNum"/>
    <w:qFormat/>
    <w:rsid w:val="00874A0C"/>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874A0C"/>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874A0C"/>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74A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4A0C"/>
  </w:style>
  <w:style w:type="paragraph" w:customStyle="1" w:styleId="ParaNum">
    <w:name w:val="ParaNum"/>
    <w:basedOn w:val="Normal"/>
    <w:link w:val="ParaNumChar0"/>
    <w:rsid w:val="00874A0C"/>
    <w:pPr>
      <w:numPr>
        <w:numId w:val="1"/>
      </w:numPr>
      <w:tabs>
        <w:tab w:val="clear" w:pos="1080"/>
        <w:tab w:val="num" w:pos="1440"/>
      </w:tabs>
      <w:spacing w:after="120"/>
    </w:pPr>
  </w:style>
  <w:style w:type="paragraph" w:styleId="EndnoteText">
    <w:name w:val="endnote text"/>
    <w:basedOn w:val="Normal"/>
    <w:semiHidden/>
    <w:rsid w:val="00874A0C"/>
    <w:rPr>
      <w:sz w:val="20"/>
    </w:rPr>
  </w:style>
  <w:style w:type="character" w:styleId="EndnoteReference">
    <w:name w:val="endnote reference"/>
    <w:semiHidden/>
    <w:rsid w:val="00874A0C"/>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rsid w:val="00874A0C"/>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874A0C"/>
    <w:rPr>
      <w:rFonts w:ascii="Times New Roman" w:hAnsi="Times New Roman"/>
      <w:dstrike w:val="0"/>
      <w:color w:val="auto"/>
      <w:sz w:val="20"/>
      <w:vertAlign w:val="superscript"/>
    </w:rPr>
  </w:style>
  <w:style w:type="paragraph" w:styleId="TOC1">
    <w:name w:val="toc 1"/>
    <w:basedOn w:val="Normal"/>
    <w:next w:val="Normal"/>
    <w:semiHidden/>
    <w:rsid w:val="00874A0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74A0C"/>
    <w:pPr>
      <w:tabs>
        <w:tab w:val="left" w:pos="720"/>
        <w:tab w:val="right" w:leader="dot" w:pos="9360"/>
      </w:tabs>
      <w:suppressAutoHyphens/>
      <w:ind w:left="720" w:right="720" w:hanging="360"/>
    </w:pPr>
    <w:rPr>
      <w:noProof/>
    </w:rPr>
  </w:style>
  <w:style w:type="paragraph" w:styleId="TOC3">
    <w:name w:val="toc 3"/>
    <w:basedOn w:val="Normal"/>
    <w:next w:val="Normal"/>
    <w:semiHidden/>
    <w:rsid w:val="00874A0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74A0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74A0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74A0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74A0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74A0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74A0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74A0C"/>
    <w:pPr>
      <w:tabs>
        <w:tab w:val="right" w:pos="9360"/>
      </w:tabs>
      <w:suppressAutoHyphens/>
    </w:pPr>
  </w:style>
  <w:style w:type="character" w:customStyle="1" w:styleId="EquationCaption">
    <w:name w:val="_Equation Caption"/>
    <w:rsid w:val="00874A0C"/>
  </w:style>
  <w:style w:type="paragraph" w:styleId="Header">
    <w:name w:val="header"/>
    <w:basedOn w:val="Normal"/>
    <w:link w:val="HeaderChar"/>
    <w:autoRedefine/>
    <w:rsid w:val="00874A0C"/>
    <w:pPr>
      <w:tabs>
        <w:tab w:val="center" w:pos="4680"/>
        <w:tab w:val="right" w:pos="9360"/>
      </w:tabs>
    </w:pPr>
    <w:rPr>
      <w:b/>
    </w:rPr>
  </w:style>
  <w:style w:type="paragraph" w:styleId="Footer">
    <w:name w:val="footer"/>
    <w:basedOn w:val="Normal"/>
    <w:link w:val="FooterChar"/>
    <w:uiPriority w:val="99"/>
    <w:rsid w:val="00874A0C"/>
    <w:pPr>
      <w:tabs>
        <w:tab w:val="center" w:pos="4320"/>
        <w:tab w:val="right" w:pos="8640"/>
      </w:tabs>
    </w:pPr>
  </w:style>
  <w:style w:type="character" w:styleId="PageNumber">
    <w:name w:val="page number"/>
    <w:rsid w:val="00874A0C"/>
  </w:style>
  <w:style w:type="paragraph" w:styleId="BlockText">
    <w:name w:val="Block Text"/>
    <w:basedOn w:val="Normal"/>
    <w:rsid w:val="00874A0C"/>
    <w:pPr>
      <w:spacing w:after="240"/>
      <w:ind w:left="1440" w:right="1440"/>
    </w:pPr>
  </w:style>
  <w:style w:type="paragraph" w:customStyle="1" w:styleId="Paratitle">
    <w:name w:val="Para title"/>
    <w:basedOn w:val="Normal"/>
    <w:rsid w:val="00874A0C"/>
    <w:pPr>
      <w:tabs>
        <w:tab w:val="center" w:pos="9270"/>
      </w:tabs>
      <w:spacing w:after="240"/>
    </w:pPr>
    <w:rPr>
      <w:spacing w:val="-2"/>
    </w:rPr>
  </w:style>
  <w:style w:type="paragraph" w:customStyle="1" w:styleId="Bullet">
    <w:name w:val="Bullet"/>
    <w:basedOn w:val="Normal"/>
    <w:rsid w:val="00874A0C"/>
    <w:pPr>
      <w:tabs>
        <w:tab w:val="left" w:pos="2160"/>
      </w:tabs>
      <w:spacing w:after="220"/>
      <w:ind w:left="2160" w:hanging="720"/>
    </w:pPr>
  </w:style>
  <w:style w:type="paragraph" w:customStyle="1" w:styleId="TableFormat">
    <w:name w:val="TableFormat"/>
    <w:basedOn w:val="Bullet"/>
    <w:rsid w:val="00874A0C"/>
    <w:pPr>
      <w:tabs>
        <w:tab w:val="clear" w:pos="2160"/>
        <w:tab w:val="left" w:pos="5040"/>
      </w:tabs>
      <w:ind w:left="5040" w:hanging="3600"/>
    </w:pPr>
  </w:style>
  <w:style w:type="paragraph" w:customStyle="1" w:styleId="TOCTitle">
    <w:name w:val="TOC Title"/>
    <w:basedOn w:val="Normal"/>
    <w:rsid w:val="00874A0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74A0C"/>
    <w:pPr>
      <w:jc w:val="center"/>
    </w:pPr>
    <w:rPr>
      <w:rFonts w:ascii="Times New Roman Bold" w:hAnsi="Times New Roman Bold"/>
      <w:b/>
      <w:bCs/>
      <w:caps/>
      <w:szCs w:val="22"/>
    </w:rPr>
  </w:style>
  <w:style w:type="character" w:styleId="Hyperlink">
    <w:name w:val="Hyperlink"/>
    <w:rsid w:val="00874A0C"/>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uiPriority w:val="99"/>
    <w:rsid w:val="00A17A3B"/>
    <w:pPr>
      <w:tabs>
        <w:tab w:val="left" w:pos="1080"/>
      </w:tabs>
      <w:ind w:firstLine="720"/>
    </w:pPr>
    <w:rPr>
      <w:rFonts w:eastAsia="ヒラギノ角ゴ Pro W3"/>
      <w:color w:val="000000"/>
      <w:sz w:val="22"/>
    </w:rPr>
  </w:style>
  <w:style w:type="character" w:customStyle="1" w:styleId="ParanumChar">
    <w:name w:val="Paranum Char"/>
    <w:uiPriority w:val="99"/>
    <w:rsid w:val="00A17A3B"/>
    <w:rPr>
      <w:color w:val="000000"/>
      <w:sz w:val="22"/>
      <w:lang w:val="en-US"/>
    </w:rPr>
  </w:style>
  <w:style w:type="paragraph" w:customStyle="1" w:styleId="Paranum0">
    <w:name w:val="Paranum"/>
    <w:autoRedefine/>
    <w:uiPriority w:val="99"/>
    <w:rsid w:val="00A81E40"/>
    <w:pPr>
      <w:numPr>
        <w:numId w:val="3"/>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semiHidden/>
    <w:rsid w:val="00064FCE"/>
    <w:rPr>
      <w:rFonts w:ascii="Tahoma" w:hAnsi="Tahoma" w:cs="Tahoma"/>
      <w:sz w:val="16"/>
      <w:szCs w:val="16"/>
    </w:rPr>
  </w:style>
  <w:style w:type="character" w:styleId="CommentReference">
    <w:name w:val="annotation reference"/>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fn Char Char1,rrfootnote Char,rrfootnote Char Char Char Char Char,rrfootnote Char1 Char"/>
    <w:semiHidden/>
    <w:locked/>
    <w:rsid w:val="00A4658E"/>
    <w:rPr>
      <w:lang w:val="en-US" w:eastAsia="en-US" w:bidi="ar-SA"/>
    </w:rPr>
  </w:style>
  <w:style w:type="character" w:customStyle="1" w:styleId="par1Char">
    <w:name w:val="par1 Char"/>
    <w:link w:val="par1"/>
    <w:uiPriority w:val="99"/>
    <w:locked/>
    <w:rsid w:val="006C1944"/>
    <w:rPr>
      <w:rFonts w:eastAsia="ヒラギノ角ゴ Pro W3"/>
      <w:color w:val="000000"/>
      <w:sz w:val="22"/>
      <w:lang w:bidi="ar-SA"/>
    </w:rPr>
  </w:style>
  <w:style w:type="character" w:customStyle="1" w:styleId="FootnoteTextChar3">
    <w:name w:val="Footnote Text Char3"/>
    <w:aliases w:val="ALTS FOOTNOTE Char1,FOOTNOTE Char1,Footnote Text 2 Char1,Footnote Text Char Char1,Footnote Text Char Char5 Char Char Char1,Footnote Text Char1 Char1 Char Char1,Footnote Text Char2 Char1 Char1,Footnote text Char1,fn Char1,ft Char2"/>
    <w:locked/>
    <w:rsid w:val="004A4478"/>
    <w:rPr>
      <w:sz w:val="24"/>
      <w:lang w:val="en-US" w:eastAsia="en-US"/>
    </w:rPr>
  </w:style>
  <w:style w:type="character" w:customStyle="1" w:styleId="ParaNumChar0">
    <w:name w:val="ParaNum Char"/>
    <w:link w:val="ParaNum"/>
    <w:rsid w:val="00F84BCA"/>
    <w:rPr>
      <w:snapToGrid w:val="0"/>
      <w:kern w:val="28"/>
      <w:sz w:val="22"/>
    </w:rPr>
  </w:style>
  <w:style w:type="character" w:customStyle="1" w:styleId="HeaderChar">
    <w:name w:val="Header Char"/>
    <w:link w:val="Header"/>
    <w:rsid w:val="00B277A4"/>
    <w:rPr>
      <w:b/>
      <w:snapToGrid w:val="0"/>
      <w:kern w:val="28"/>
      <w:sz w:val="22"/>
    </w:rPr>
  </w:style>
  <w:style w:type="character" w:customStyle="1" w:styleId="Heading1Char">
    <w:name w:val="Heading 1 Char"/>
    <w:link w:val="Heading1"/>
    <w:locked/>
    <w:rsid w:val="006230A0"/>
    <w:rPr>
      <w:rFonts w:ascii="Times New Roman Bold" w:hAnsi="Times New Roman Bold"/>
      <w:b/>
      <w:caps/>
      <w:snapToGrid w:val="0"/>
      <w:kern w:val="28"/>
      <w:sz w:val="22"/>
    </w:rPr>
  </w:style>
  <w:style w:type="character" w:customStyle="1" w:styleId="FooterChar">
    <w:name w:val="Footer Char"/>
    <w:link w:val="Footer"/>
    <w:uiPriority w:val="99"/>
    <w:rsid w:val="00874A0C"/>
    <w:rPr>
      <w:snapToGrid w:val="0"/>
      <w:kern w:val="28"/>
      <w:sz w:val="22"/>
    </w:rPr>
  </w:style>
  <w:style w:type="character" w:customStyle="1" w:styleId="UnresolvedMention">
    <w:name w:val="Unresolved Mention"/>
    <w:uiPriority w:val="99"/>
    <w:semiHidden/>
    <w:unhideWhenUsed/>
    <w:rsid w:val="00A02A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ield@fcc.gov" TargetMode="External" /><Relationship Id="rId11" Type="http://schemas.openxmlformats.org/officeDocument/2006/relationships/hyperlink" Target="mailto:EBResponse@fcc.gov" TargetMode="External" /><Relationship Id="rId12" Type="http://schemas.openxmlformats.org/officeDocument/2006/relationships/hyperlink" Target="mailto:ARINQUIRIES@fcc.gov"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yperlink" Target="mailto:Matthew.Gibson@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