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C2EE3">
      <w:pPr>
        <w:jc w:val="center"/>
        <w:rPr>
          <w:b/>
        </w:rPr>
      </w:pPr>
      <w:r w:rsidRPr="0070224F">
        <w:rPr>
          <w:rFonts w:ascii="Times New Roman Bold" w:hAnsi="Times New Roman Bold"/>
          <w:b/>
          <w:kern w:val="0"/>
          <w:szCs w:val="22"/>
        </w:rPr>
        <w:t>Before</w:t>
      </w:r>
      <w:r>
        <w:rPr>
          <w:b/>
        </w:rPr>
        <w:t xml:space="preserve"> the</w:t>
      </w:r>
    </w:p>
    <w:p w:rsidR="00921803" w:rsidP="00921803">
      <w:pPr>
        <w:pStyle w:val="StyleBoldCentered"/>
      </w:pPr>
      <w:r>
        <w:t>F</w:t>
      </w:r>
      <w:r>
        <w:rPr>
          <w:caps w:val="0"/>
        </w:rPr>
        <w:t>ederal Communications Commission</w:t>
      </w:r>
    </w:p>
    <w:p w:rsidR="004C2EE3" w:rsidP="00096D8C">
      <w:pPr>
        <w:pStyle w:val="StyleBoldCentered"/>
      </w:pPr>
      <w:r>
        <w:rPr>
          <w:caps w:val="0"/>
        </w:rPr>
        <w:t>Washington, D.C. 20554</w:t>
      </w:r>
    </w:p>
    <w:p w:rsidR="004C2EE3" w:rsidP="0070224F"/>
    <w:p w:rsidR="004C2EE3" w:rsidP="0070224F"/>
    <w:tbl>
      <w:tblPr>
        <w:tblW w:w="0" w:type="auto"/>
        <w:tblLayout w:type="fixed"/>
        <w:tblLook w:val="0000"/>
      </w:tblPr>
      <w:tblGrid>
        <w:gridCol w:w="4698"/>
        <w:gridCol w:w="630"/>
        <w:gridCol w:w="4248"/>
      </w:tblGrid>
      <w:tr>
        <w:tblPrEx>
          <w:tblW w:w="0" w:type="auto"/>
          <w:tblLayout w:type="fixed"/>
          <w:tblLook w:val="0000"/>
        </w:tblPrEx>
        <w:tc>
          <w:tcPr>
            <w:tcW w:w="4698" w:type="dxa"/>
          </w:tcPr>
          <w:p w:rsidR="004C2EE3">
            <w:pPr>
              <w:tabs>
                <w:tab w:val="center" w:pos="4680"/>
              </w:tabs>
              <w:suppressAutoHyphens/>
              <w:rPr>
                <w:spacing w:val="-2"/>
              </w:rPr>
            </w:pPr>
            <w:r>
              <w:rPr>
                <w:spacing w:val="-2"/>
              </w:rPr>
              <w:t>In the Matter of</w:t>
            </w:r>
          </w:p>
          <w:p w:rsidR="004C2EE3">
            <w:pPr>
              <w:tabs>
                <w:tab w:val="center" w:pos="4680"/>
              </w:tabs>
              <w:suppressAutoHyphens/>
              <w:rPr>
                <w:spacing w:val="-2"/>
              </w:rPr>
            </w:pPr>
          </w:p>
          <w:p w:rsidR="004C2EE3" w:rsidRPr="007115F7" w:rsidP="007115F7">
            <w:pPr>
              <w:tabs>
                <w:tab w:val="center" w:pos="4680"/>
              </w:tabs>
              <w:suppressAutoHyphens/>
              <w:rPr>
                <w:spacing w:val="-2"/>
              </w:rPr>
            </w:pPr>
            <w:r>
              <w:t>Universal Service Contribution Methodology</w:t>
            </w:r>
          </w:p>
        </w:tc>
        <w:tc>
          <w:tcPr>
            <w:tcW w:w="630" w:type="dxa"/>
          </w:tcPr>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rsidRPr="006E1E46">
            <w:pPr>
              <w:tabs>
                <w:tab w:val="center" w:pos="4680"/>
              </w:tabs>
              <w:suppressAutoHyphens/>
              <w:rPr>
                <w:b/>
                <w:spacing w:val="-2"/>
              </w:rPr>
            </w:pPr>
          </w:p>
        </w:tc>
        <w:tc>
          <w:tcPr>
            <w:tcW w:w="4248" w:type="dxa"/>
          </w:tcPr>
          <w:p w:rsidR="004C2EE3">
            <w:pPr>
              <w:tabs>
                <w:tab w:val="center" w:pos="4680"/>
              </w:tabs>
              <w:suppressAutoHyphens/>
              <w:rPr>
                <w:spacing w:val="-2"/>
              </w:rPr>
            </w:pPr>
          </w:p>
          <w:p w:rsidR="004C2EE3">
            <w:pPr>
              <w:pStyle w:val="TOAHeading"/>
              <w:tabs>
                <w:tab w:val="center" w:pos="4680"/>
                <w:tab w:val="clear" w:pos="9360"/>
              </w:tabs>
              <w:rPr>
                <w:spacing w:val="-2"/>
              </w:rPr>
            </w:pPr>
          </w:p>
          <w:p w:rsidR="004C2EE3">
            <w:pPr>
              <w:tabs>
                <w:tab w:val="center" w:pos="4680"/>
              </w:tabs>
              <w:suppressAutoHyphens/>
              <w:rPr>
                <w:spacing w:val="-2"/>
              </w:rPr>
            </w:pPr>
            <w:r>
              <w:rPr>
                <w:spacing w:val="-2"/>
              </w:rPr>
              <w:t xml:space="preserve">WC Docket No. </w:t>
            </w:r>
            <w:r w:rsidRPr="00924FA0">
              <w:rPr>
                <w:spacing w:val="-2"/>
              </w:rPr>
              <w:t>06-122</w:t>
            </w:r>
          </w:p>
        </w:tc>
      </w:tr>
    </w:tbl>
    <w:p w:rsidR="004C2EE3" w:rsidP="0070224F"/>
    <w:p w:rsidR="00841AB1" w:rsidP="00F021FA">
      <w:pPr>
        <w:pStyle w:val="StyleBoldCentered"/>
      </w:pPr>
      <w:r>
        <w:t>Order</w:t>
      </w:r>
    </w:p>
    <w:p w:rsidR="004C2EE3">
      <w:pPr>
        <w:tabs>
          <w:tab w:val="left" w:pos="-720"/>
        </w:tabs>
        <w:suppressAutoHyphens/>
        <w:spacing w:line="227" w:lineRule="auto"/>
        <w:rPr>
          <w:spacing w:val="-2"/>
        </w:rPr>
      </w:pPr>
    </w:p>
    <w:p w:rsidR="004C2EE3" w:rsidP="00133F79">
      <w:pPr>
        <w:tabs>
          <w:tab w:val="left" w:pos="720"/>
          <w:tab w:val="right" w:pos="9360"/>
        </w:tabs>
        <w:suppressAutoHyphens/>
        <w:spacing w:line="227" w:lineRule="auto"/>
        <w:rPr>
          <w:b/>
          <w:spacing w:val="-2"/>
        </w:rPr>
      </w:pPr>
      <w:r>
        <w:rPr>
          <w:b/>
          <w:spacing w:val="-2"/>
        </w:rPr>
        <w:t xml:space="preserve">Adopted:  </w:t>
      </w:r>
      <w:r w:rsidR="00393351">
        <w:rPr>
          <w:b/>
          <w:spacing w:val="-2"/>
        </w:rPr>
        <w:t xml:space="preserve">July </w:t>
      </w:r>
      <w:r w:rsidRPr="00F24B96" w:rsidR="00F24B96">
        <w:rPr>
          <w:b/>
          <w:spacing w:val="-2"/>
        </w:rPr>
        <w:t>5</w:t>
      </w:r>
      <w:r w:rsidR="00393351">
        <w:rPr>
          <w:b/>
          <w:spacing w:val="-2"/>
        </w:rPr>
        <w:t>, 2019</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393351">
        <w:rPr>
          <w:b/>
          <w:spacing w:val="-2"/>
        </w:rPr>
        <w:t xml:space="preserve">July </w:t>
      </w:r>
      <w:r w:rsidRPr="00F24B96" w:rsidR="00F24B96">
        <w:rPr>
          <w:b/>
          <w:spacing w:val="-2"/>
        </w:rPr>
        <w:t>5</w:t>
      </w:r>
      <w:r w:rsidR="00393351">
        <w:rPr>
          <w:b/>
          <w:spacing w:val="-2"/>
        </w:rPr>
        <w:t>, 2019</w:t>
      </w:r>
    </w:p>
    <w:p w:rsidR="00393351" w:rsidP="00133F79">
      <w:pPr>
        <w:tabs>
          <w:tab w:val="left" w:pos="720"/>
          <w:tab w:val="right" w:pos="9360"/>
        </w:tabs>
        <w:suppressAutoHyphens/>
        <w:spacing w:line="227" w:lineRule="auto"/>
        <w:rPr>
          <w:spacing w:val="-2"/>
        </w:rPr>
      </w:pPr>
    </w:p>
    <w:p w:rsidR="00393351" w:rsidRPr="009A22DE" w:rsidP="00393351">
      <w:pPr>
        <w:rPr>
          <w:b/>
          <w:szCs w:val="22"/>
        </w:rPr>
      </w:pPr>
      <w:r>
        <w:rPr>
          <w:b/>
          <w:szCs w:val="22"/>
        </w:rPr>
        <w:t>Extended Filing Deadline for</w:t>
      </w:r>
      <w:r w:rsidRPr="009A22DE">
        <w:rPr>
          <w:b/>
          <w:szCs w:val="22"/>
        </w:rPr>
        <w:t xml:space="preserve"> Comments: July 29, 2019 </w:t>
      </w:r>
    </w:p>
    <w:p w:rsidR="00393351" w:rsidRPr="000421E2" w:rsidP="00393351">
      <w:pPr>
        <w:rPr>
          <w:b/>
          <w:szCs w:val="22"/>
        </w:rPr>
      </w:pPr>
      <w:r>
        <w:rPr>
          <w:b/>
          <w:szCs w:val="22"/>
        </w:rPr>
        <w:t>Extended Filing Deadline for</w:t>
      </w:r>
      <w:r w:rsidRPr="009A22DE">
        <w:rPr>
          <w:b/>
          <w:szCs w:val="22"/>
        </w:rPr>
        <w:t xml:space="preserve"> Reply Comments: August 26, 2019</w:t>
      </w:r>
      <w:r>
        <w:rPr>
          <w:b/>
          <w:szCs w:val="22"/>
        </w:rPr>
        <w:t xml:space="preserve"> </w:t>
      </w:r>
      <w:bookmarkStart w:id="0" w:name="_GoBack"/>
      <w:bookmarkEnd w:id="0"/>
    </w:p>
    <w:p w:rsidR="00822CE0"/>
    <w:p w:rsidR="004C2EE3">
      <w:pPr>
        <w:rPr>
          <w:spacing w:val="-2"/>
        </w:rPr>
      </w:pPr>
      <w:r>
        <w:t xml:space="preserve">By </w:t>
      </w:r>
      <w:r w:rsidR="004E4A22">
        <w:t>the</w:t>
      </w:r>
      <w:r w:rsidR="002A2D2E">
        <w:t xml:space="preserve"> </w:t>
      </w:r>
      <w:r w:rsidR="00393351">
        <w:rPr>
          <w:spacing w:val="-2"/>
        </w:rPr>
        <w:t>Chief, Wireline Competition Bureau</w:t>
      </w:r>
      <w:r>
        <w:rPr>
          <w:spacing w:val="-2"/>
        </w:rPr>
        <w:t>:</w:t>
      </w:r>
    </w:p>
    <w:p w:rsidR="00822CE0">
      <w:pPr>
        <w:rPr>
          <w:spacing w:val="-2"/>
        </w:rPr>
      </w:pPr>
    </w:p>
    <w:p w:rsidR="00393351" w:rsidP="00393351">
      <w:pPr>
        <w:pStyle w:val="ParaNum"/>
      </w:pPr>
      <w:r>
        <w:t>On May 31, 2019, the Commission released a Notice of Proposed Rulemaking (</w:t>
      </w:r>
      <w:r>
        <w:rPr>
          <w:i/>
        </w:rPr>
        <w:t>“Notice”</w:t>
      </w:r>
      <w:r>
        <w:t>) seeking comment on establishing a cap on the Universal Service Fund (USF) and ways it could enable the Commission to evaluate the financial aspects of the four USF programs in a more holistic way, and thereby better achieve the overarching universal service principles Congress directed the Commission to preserve and advance.</w:t>
      </w:r>
      <w:r>
        <w:rPr>
          <w:rStyle w:val="FootnoteReference"/>
          <w:szCs w:val="22"/>
        </w:rPr>
        <w:footnoteReference w:id="3"/>
      </w:r>
      <w:r>
        <w:t xml:space="preserve">  The </w:t>
      </w:r>
      <w:r>
        <w:rPr>
          <w:i/>
        </w:rPr>
        <w:t xml:space="preserve">Notice </w:t>
      </w:r>
      <w:r>
        <w:t xml:space="preserve">set deadlines for filing comments and reply comments at 30 days and 60 days, respectively, after publication of the </w:t>
      </w:r>
      <w:r>
        <w:rPr>
          <w:i/>
        </w:rPr>
        <w:t xml:space="preserve">Notice </w:t>
      </w:r>
      <w:r>
        <w:t xml:space="preserve">in the </w:t>
      </w:r>
      <w:r>
        <w:rPr>
          <w:i/>
        </w:rPr>
        <w:t>Federal Register</w:t>
      </w:r>
      <w:r>
        <w:t>.</w:t>
      </w:r>
      <w:r>
        <w:rPr>
          <w:rStyle w:val="FootnoteReference"/>
          <w:szCs w:val="22"/>
        </w:rPr>
        <w:footnoteReference w:id="4"/>
      </w:r>
      <w:r>
        <w:t xml:space="preserve">  A summary was published in the </w:t>
      </w:r>
      <w:r w:rsidRPr="00B93B70">
        <w:rPr>
          <w:i/>
        </w:rPr>
        <w:t>Federal Register</w:t>
      </w:r>
      <w:r>
        <w:t xml:space="preserve"> on June 13, 2019.</w:t>
      </w:r>
      <w:r>
        <w:rPr>
          <w:rStyle w:val="FootnoteReference"/>
          <w:szCs w:val="22"/>
        </w:rPr>
        <w:footnoteReference w:id="5"/>
      </w:r>
      <w:r>
        <w:t xml:space="preserve">  Accordingly, the filing dates were initially established as July 15, 2019 for comments and August 12, 2019 for reply comments.</w:t>
      </w:r>
    </w:p>
    <w:p w:rsidR="00393351" w:rsidP="00393351">
      <w:pPr>
        <w:pStyle w:val="ParaNum"/>
      </w:pPr>
      <w:r>
        <w:t>The Education and Library Networks Coalition (</w:t>
      </w:r>
      <w:r>
        <w:t>EdLiNC</w:t>
      </w:r>
      <w:r>
        <w:t>) and a stakeholder group</w:t>
      </w:r>
      <w:r>
        <w:rPr>
          <w:rStyle w:val="FootnoteReference"/>
          <w:szCs w:val="22"/>
        </w:rPr>
        <w:footnoteReference w:id="6"/>
      </w:r>
      <w:r>
        <w:t xml:space="preserve"> each submitted filings in WC Docket No. 06-122 seeking an extension of time for the comment cycle.</w:t>
      </w:r>
      <w:r>
        <w:rPr>
          <w:rStyle w:val="FootnoteReference"/>
          <w:szCs w:val="22"/>
        </w:rPr>
        <w:footnoteReference w:id="7"/>
      </w:r>
      <w:r>
        <w:t xml:space="preserve">  The parties specifically request that the comment and reply comment deadlines are extended until September 30, 2019 and October 30, 2019, respectively.</w:t>
      </w:r>
      <w:r>
        <w:rPr>
          <w:rStyle w:val="FootnoteReference"/>
          <w:szCs w:val="22"/>
        </w:rPr>
        <w:footnoteReference w:id="8"/>
      </w:r>
      <w:r>
        <w:t xml:space="preserve">  The parties argue the instant proceeding is complex, may significantly alter the allocation of USF resources, and that there is inadequate time to provide meaningful responses due to the fact that the current comment period coincides with summer break, new school year preparations, and filing deadlines for additional Commission proceedings that impact the affected parties.</w:t>
      </w:r>
      <w:r>
        <w:rPr>
          <w:rStyle w:val="FootnoteReference"/>
          <w:szCs w:val="22"/>
        </w:rPr>
        <w:footnoteReference w:id="9"/>
      </w:r>
      <w:r>
        <w:t xml:space="preserve">  </w:t>
      </w:r>
      <w:r>
        <w:t>The parties contend that additional time to prepare comments and reply comments will benefit, not disadvantage, other interested parties, the public, and the Commission by facilitating the development of a complete and robust record.</w:t>
      </w:r>
      <w:r>
        <w:rPr>
          <w:rStyle w:val="FootnoteReference"/>
          <w:szCs w:val="22"/>
        </w:rPr>
        <w:footnoteReference w:id="10"/>
      </w:r>
    </w:p>
    <w:p w:rsidR="00301E0A" w:rsidP="00393351">
      <w:pPr>
        <w:pStyle w:val="ParaNum"/>
      </w:pPr>
      <w:r w:rsidRPr="002142D8">
        <w:t>As set forth in Section 1.46 of the Commission’s Rules</w:t>
      </w:r>
      <w:r>
        <w:t xml:space="preserve">, the Commission’s policy is that </w:t>
      </w:r>
      <w:r w:rsidRPr="002142D8">
        <w:t>extensions of time for filing comments in rulemaking proceedings shall not be routinely granted.</w:t>
      </w:r>
      <w:r>
        <w:rPr>
          <w:rStyle w:val="FootnoteReference"/>
          <w:szCs w:val="22"/>
        </w:rPr>
        <w:footnoteReference w:id="11"/>
      </w:r>
      <w:r>
        <w:t xml:space="preserve">  </w:t>
      </w:r>
      <w:r w:rsidRPr="002142D8">
        <w:t xml:space="preserve">In this case, however, an extension of </w:t>
      </w:r>
      <w:r>
        <w:t>the</w:t>
      </w:r>
      <w:r w:rsidRPr="002142D8">
        <w:t xml:space="preserve"> comment</w:t>
      </w:r>
      <w:r>
        <w:t xml:space="preserve"> and reply</w:t>
      </w:r>
      <w:r w:rsidRPr="002142D8">
        <w:t xml:space="preserve"> period is warranted to enable commenters to adequately respond to the </w:t>
      </w:r>
      <w:r>
        <w:t>issues presented in the</w:t>
      </w:r>
      <w:r w:rsidRPr="002142D8">
        <w:t xml:space="preserve"> </w:t>
      </w:r>
      <w:r w:rsidRPr="0058173D">
        <w:rPr>
          <w:i/>
        </w:rPr>
        <w:t>Notice</w:t>
      </w:r>
      <w:r w:rsidRPr="002142D8">
        <w:t>.</w:t>
      </w:r>
      <w:r>
        <w:t xml:space="preserve">  </w:t>
      </w:r>
      <w:r w:rsidRPr="002142D8">
        <w:t>We decline, however, to grant the full extension requested by the parties.</w:t>
      </w:r>
      <w:r>
        <w:t xml:space="preserve">  </w:t>
      </w:r>
      <w:r w:rsidR="00862ECE">
        <w:t xml:space="preserve">We find that none of the arguments presented </w:t>
      </w:r>
      <w:r w:rsidR="00403AAD">
        <w:t>justify</w:t>
      </w:r>
      <w:r w:rsidR="00862ECE">
        <w:t xml:space="preserve"> the requested delay in the comment cycle in this proceeding.  </w:t>
      </w:r>
    </w:p>
    <w:p w:rsidR="00393351" w:rsidRPr="008453C0" w:rsidP="00393351">
      <w:pPr>
        <w:pStyle w:val="ParaNum"/>
      </w:pPr>
      <w:r>
        <w:t>First, t</w:t>
      </w:r>
      <w:r w:rsidR="00862ECE">
        <w:t xml:space="preserve">he complexity of the issues and the range of proposed rule changes do not </w:t>
      </w:r>
      <w:r w:rsidR="00403AAD">
        <w:t>warrant</w:t>
      </w:r>
      <w:r w:rsidR="00862ECE">
        <w:t xml:space="preserve"> </w:t>
      </w:r>
      <w:r>
        <w:t xml:space="preserve">such a lengthy </w:t>
      </w:r>
      <w:r w:rsidR="00862ECE">
        <w:t>extension</w:t>
      </w:r>
      <w:r>
        <w:t xml:space="preserve"> of time</w:t>
      </w:r>
      <w:r w:rsidR="00862ECE">
        <w:t xml:space="preserve">.  </w:t>
      </w:r>
      <w:r>
        <w:t xml:space="preserve">Second, overlapping </w:t>
      </w:r>
      <w:r w:rsidR="00A9298B">
        <w:t xml:space="preserve">filing deadlines and </w:t>
      </w:r>
      <w:r>
        <w:t xml:space="preserve">comment cycles are </w:t>
      </w:r>
      <w:r w:rsidR="00301E0A">
        <w:t xml:space="preserve">not unusual, given the </w:t>
      </w:r>
      <w:r w:rsidR="00D42C1F">
        <w:t>press of Commission bus</w:t>
      </w:r>
      <w:r w:rsidR="004E025A">
        <w:t>iness</w:t>
      </w:r>
      <w:r w:rsidR="00301E0A">
        <w:t>.</w:t>
      </w:r>
      <w:r>
        <w:rPr>
          <w:rStyle w:val="FootnoteReference"/>
        </w:rPr>
        <w:footnoteReference w:id="12"/>
      </w:r>
      <w:r w:rsidR="00301E0A">
        <w:t xml:space="preserve">  </w:t>
      </w:r>
      <w:r w:rsidR="00862ECE">
        <w:t xml:space="preserve">Similarly, </w:t>
      </w:r>
      <w:r w:rsidR="00403AAD">
        <w:t>s</w:t>
      </w:r>
      <w:r>
        <w:t xml:space="preserve">cheduling conflicts </w:t>
      </w:r>
      <w:r w:rsidR="00403AAD">
        <w:t xml:space="preserve">of interested organizations occur year-round, and granting extensions based on </w:t>
      </w:r>
      <w:r>
        <w:t>such conflicts</w:t>
      </w:r>
      <w:r w:rsidR="00403AAD">
        <w:t xml:space="preserve"> would make it impossible to maintain comment cycles in rulemaking proceedings that implicate the interests of a wide range of parties and associations.  </w:t>
      </w:r>
      <w:r w:rsidRPr="002142D8">
        <w:t xml:space="preserve">With the extension granted herein, interested parties will now have </w:t>
      </w:r>
      <w:r w:rsidR="00820B1D">
        <w:t xml:space="preserve">14 </w:t>
      </w:r>
      <w:r>
        <w:t xml:space="preserve">additional </w:t>
      </w:r>
      <w:r w:rsidRPr="002142D8">
        <w:t>days to prepare comments</w:t>
      </w:r>
      <w:r>
        <w:t xml:space="preserve"> and reply comments.  We believe that this provides parties with ample time to prepare responses to the </w:t>
      </w:r>
      <w:r>
        <w:rPr>
          <w:i/>
        </w:rPr>
        <w:t>Notice</w:t>
      </w:r>
      <w:r>
        <w:t>.</w:t>
      </w:r>
      <w:r w:rsidR="00301E0A">
        <w:t xml:space="preserve">  If commenters have additional relevant information to provide after the reply comments are due, they may provide that through </w:t>
      </w:r>
      <w:r w:rsidR="00301E0A">
        <w:rPr>
          <w:i/>
        </w:rPr>
        <w:t>ex parte</w:t>
      </w:r>
      <w:r w:rsidR="00301E0A">
        <w:t xml:space="preserve"> filings in the docket.</w:t>
      </w:r>
      <w:r>
        <w:rPr>
          <w:rStyle w:val="FootnoteReference"/>
        </w:rPr>
        <w:footnoteReference w:id="13"/>
      </w:r>
    </w:p>
    <w:p w:rsidR="00393351" w:rsidP="00E46ED2">
      <w:pPr>
        <w:pStyle w:val="ParaNum"/>
      </w:pPr>
      <w:r>
        <w:t xml:space="preserve">Accordingly, </w:t>
      </w:r>
      <w:r w:rsidRPr="0061338E">
        <w:t>IT IS ORDERED</w:t>
      </w:r>
      <w:r>
        <w:t xml:space="preserve">, pursuant to </w:t>
      </w:r>
      <w:r w:rsidR="0061338E">
        <w:t>s</w:t>
      </w:r>
      <w:r>
        <w:t>ections 4(</w:t>
      </w:r>
      <w:r>
        <w:t>i</w:t>
      </w:r>
      <w:r>
        <w:t>), 4(j), 303(r)</w:t>
      </w:r>
      <w:r w:rsidRPr="00DF6879">
        <w:t xml:space="preserve"> </w:t>
      </w:r>
      <w:r>
        <w:t xml:space="preserve">of the Communications Act of 1934, as amended, </w:t>
      </w:r>
      <w:r w:rsidRPr="00DF6879">
        <w:t xml:space="preserve">47 U.S.C. §§ </w:t>
      </w:r>
      <w:r>
        <w:t>154(</w:t>
      </w:r>
      <w:r>
        <w:t>i</w:t>
      </w:r>
      <w:r>
        <w:t>)</w:t>
      </w:r>
      <w:r w:rsidRPr="00DF6879">
        <w:t xml:space="preserve">, </w:t>
      </w:r>
      <w:r>
        <w:t>154(j), and 303(r), and sections 0.91, 0.291, 1.46, and 1.415 of the Commission’s rules, 47 C</w:t>
      </w:r>
      <w:r w:rsidR="000528CF">
        <w:t>.</w:t>
      </w:r>
      <w:r>
        <w:t>F</w:t>
      </w:r>
      <w:r w:rsidR="000528CF">
        <w:t>.</w:t>
      </w:r>
      <w:r>
        <w:t>R</w:t>
      </w:r>
      <w:r w:rsidR="000528CF">
        <w:t>.</w:t>
      </w:r>
      <w:r>
        <w:t xml:space="preserve"> </w:t>
      </w:r>
      <w:r w:rsidRPr="00DF6879">
        <w:t>§§</w:t>
      </w:r>
      <w:r>
        <w:t xml:space="preserve"> 0.91, 0.291, 1.46, and 1.415, that the Motion for Extension of Time filed by SHLB et al</w:t>
      </w:r>
      <w:r w:rsidR="0061338E">
        <w:t>.</w:t>
      </w:r>
      <w:r>
        <w:t xml:space="preserve"> and the Request for </w:t>
      </w:r>
      <w:r w:rsidR="00987354">
        <w:t>Extended Comment Period</w:t>
      </w:r>
      <w:r>
        <w:t xml:space="preserve"> filed</w:t>
      </w:r>
      <w:r w:rsidR="0061338E">
        <w:t xml:space="preserve"> by</w:t>
      </w:r>
      <w:r>
        <w:t xml:space="preserve"> </w:t>
      </w:r>
      <w:r>
        <w:t>EdLiNC</w:t>
      </w:r>
      <w:r>
        <w:t xml:space="preserve"> are </w:t>
      </w:r>
      <w:r w:rsidRPr="0061338E">
        <w:t>GRANTED</w:t>
      </w:r>
      <w:r w:rsidRPr="0061338E" w:rsidR="0061338E">
        <w:t>,</w:t>
      </w:r>
      <w:r>
        <w:t xml:space="preserve"> to the extent described above.  </w:t>
      </w:r>
      <w:r>
        <w:t xml:space="preserve">The deadline for filing comments is extended </w:t>
      </w:r>
      <w:r w:rsidRPr="004E1145">
        <w:t xml:space="preserve">to </w:t>
      </w:r>
      <w:r w:rsidRPr="00E46ED2">
        <w:rPr>
          <w:b/>
        </w:rPr>
        <w:t>July 29, 2019</w:t>
      </w:r>
      <w:r>
        <w:t xml:space="preserve">, and the deadline for filing reply comments is extended to </w:t>
      </w:r>
      <w:r w:rsidRPr="00E46ED2">
        <w:rPr>
          <w:b/>
        </w:rPr>
        <w:t>August 26, 2019</w:t>
      </w:r>
      <w:r>
        <w:t xml:space="preserve">. </w:t>
      </w:r>
    </w:p>
    <w:p w:rsidR="00E46ED2" w:rsidP="00E46ED2">
      <w:pPr>
        <w:pStyle w:val="ParaNum"/>
        <w:numPr>
          <w:ilvl w:val="0"/>
          <w:numId w:val="0"/>
        </w:numPr>
        <w:ind w:firstLine="720"/>
      </w:pPr>
    </w:p>
    <w:p w:rsidR="00E46ED2" w:rsidP="00E46ED2">
      <w:pPr>
        <w:pStyle w:val="ParaNum"/>
        <w:numPr>
          <w:ilvl w:val="0"/>
          <w:numId w:val="0"/>
        </w:numPr>
        <w:ind w:left="3600" w:firstLine="720"/>
      </w:pPr>
      <w:r>
        <w:t>FEDERAL COMMUNICATIONS COMMISSION</w:t>
      </w:r>
    </w:p>
    <w:p w:rsidR="00E46ED2" w:rsidP="00E46ED2">
      <w:pPr>
        <w:pStyle w:val="ParaNum"/>
        <w:numPr>
          <w:ilvl w:val="0"/>
          <w:numId w:val="0"/>
        </w:numPr>
        <w:ind w:left="3600" w:firstLine="720"/>
      </w:pPr>
      <w:r>
        <w:br/>
      </w:r>
    </w:p>
    <w:p w:rsidR="00E46ED2" w:rsidP="00E46ED2">
      <w:pPr>
        <w:pStyle w:val="ParaNum"/>
        <w:numPr>
          <w:ilvl w:val="0"/>
          <w:numId w:val="0"/>
        </w:numPr>
        <w:ind w:left="3600" w:firstLine="720"/>
      </w:pPr>
    </w:p>
    <w:p w:rsidR="00E46ED2" w:rsidP="00E96A7A">
      <w:pPr>
        <w:pStyle w:val="ParaNum"/>
        <w:numPr>
          <w:ilvl w:val="0"/>
          <w:numId w:val="0"/>
        </w:numPr>
        <w:spacing w:after="0"/>
        <w:ind w:left="3600" w:firstLine="720"/>
      </w:pPr>
      <w:r>
        <w:t>Kris Anne Monteith</w:t>
      </w:r>
    </w:p>
    <w:p w:rsidR="00A736FD" w:rsidP="00E96A7A">
      <w:pPr>
        <w:pStyle w:val="ParaNum"/>
        <w:numPr>
          <w:ilvl w:val="0"/>
          <w:numId w:val="0"/>
        </w:numPr>
        <w:spacing w:after="0"/>
        <w:ind w:left="3600" w:firstLine="720"/>
      </w:pPr>
      <w:r>
        <w:t>Chief</w:t>
      </w:r>
    </w:p>
    <w:p w:rsidR="00E46ED2" w:rsidP="00E96A7A">
      <w:pPr>
        <w:pStyle w:val="ParaNum"/>
        <w:numPr>
          <w:ilvl w:val="0"/>
          <w:numId w:val="0"/>
        </w:numPr>
        <w:spacing w:after="0"/>
        <w:ind w:left="3600" w:firstLine="720"/>
      </w:pPr>
      <w:r>
        <w:t>Wireline Competition Bureau</w:t>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A7822">
      <w:r>
        <w:separator/>
      </w:r>
    </w:p>
  </w:footnote>
  <w:footnote w:type="continuationSeparator" w:id="1">
    <w:p w:rsidR="009A7822" w:rsidP="00C721AC">
      <w:pPr>
        <w:spacing w:before="120"/>
        <w:rPr>
          <w:sz w:val="20"/>
        </w:rPr>
      </w:pPr>
      <w:r>
        <w:rPr>
          <w:sz w:val="20"/>
        </w:rPr>
        <w:t xml:space="preserve">(Continued from previous page)  </w:t>
      </w:r>
      <w:r>
        <w:rPr>
          <w:sz w:val="20"/>
        </w:rPr>
        <w:separator/>
      </w:r>
    </w:p>
  </w:footnote>
  <w:footnote w:type="continuationNotice" w:id="2">
    <w:p w:rsidR="009A7822" w:rsidP="00C721AC">
      <w:pPr>
        <w:jc w:val="right"/>
        <w:rPr>
          <w:sz w:val="20"/>
        </w:rPr>
      </w:pPr>
    </w:p>
  </w:footnote>
  <w:footnote w:id="3">
    <w:p w:rsidR="00393351" w:rsidRPr="00F453EB" w:rsidP="00393351">
      <w:pPr>
        <w:pStyle w:val="FootnoteText"/>
      </w:pPr>
      <w:r>
        <w:rPr>
          <w:rStyle w:val="FootnoteReference"/>
        </w:rPr>
        <w:footnoteRef/>
      </w:r>
      <w:r>
        <w:t xml:space="preserve"> </w:t>
      </w:r>
      <w:r>
        <w:rPr>
          <w:i/>
        </w:rPr>
        <w:t>See Universal Service Contribution Methodology</w:t>
      </w:r>
      <w:r>
        <w:t xml:space="preserve">, WC Docket No. 06-122, Notice of Proposed Rulemaking, </w:t>
      </w:r>
      <w:r w:rsidRPr="00D16DE1">
        <w:t>FCC 19-46</w:t>
      </w:r>
      <w:r>
        <w:t xml:space="preserve"> (rel. May 31, 2019) (</w:t>
      </w:r>
      <w:r>
        <w:rPr>
          <w:i/>
        </w:rPr>
        <w:t>“Notice”</w:t>
      </w:r>
      <w:r>
        <w:t xml:space="preserve">). </w:t>
      </w:r>
    </w:p>
  </w:footnote>
  <w:footnote w:id="4">
    <w:p w:rsidR="00393351" w:rsidRPr="00EF40F2" w:rsidP="00393351">
      <w:pPr>
        <w:pStyle w:val="FootnoteText"/>
      </w:pPr>
      <w:r>
        <w:rPr>
          <w:rStyle w:val="FootnoteReference"/>
        </w:rPr>
        <w:footnoteRef/>
      </w:r>
      <w:r>
        <w:t xml:space="preserve"> </w:t>
      </w:r>
      <w:r>
        <w:rPr>
          <w:i/>
        </w:rPr>
        <w:t xml:space="preserve">Id. </w:t>
      </w:r>
      <w:r>
        <w:t>at 1.</w:t>
      </w:r>
    </w:p>
  </w:footnote>
  <w:footnote w:id="5">
    <w:p w:rsidR="00393351" w:rsidP="00393351">
      <w:pPr>
        <w:pStyle w:val="FootnoteText"/>
      </w:pPr>
      <w:r>
        <w:rPr>
          <w:rStyle w:val="FootnoteReference"/>
        </w:rPr>
        <w:footnoteRef/>
      </w:r>
      <w:r>
        <w:t xml:space="preserve"> 84 FR 27570 (June 13, 2019). </w:t>
      </w:r>
    </w:p>
  </w:footnote>
  <w:footnote w:id="6">
    <w:p w:rsidR="00393351" w:rsidP="00393351">
      <w:pPr>
        <w:pStyle w:val="FootnoteText"/>
      </w:pPr>
      <w:r>
        <w:rPr>
          <w:rStyle w:val="FootnoteReference"/>
        </w:rPr>
        <w:footnoteRef/>
      </w:r>
      <w:r>
        <w:t xml:space="preserve"> The School, Health &amp; Libraries Broadband (SHLB) Coalition and the National Consumer Law Center submitted a Motion signed by thirty-five organizations, representing an array of public interest, civil rights, consumer, education, libraries, and healthcare interests. </w:t>
      </w:r>
    </w:p>
  </w:footnote>
  <w:footnote w:id="7">
    <w:p w:rsidR="00393351" w:rsidP="00393351">
      <w:pPr>
        <w:pStyle w:val="FootnoteText"/>
      </w:pPr>
      <w:r>
        <w:rPr>
          <w:rStyle w:val="FootnoteReference"/>
        </w:rPr>
        <w:footnoteRef/>
      </w:r>
      <w:r>
        <w:t xml:space="preserve"> </w:t>
      </w:r>
      <w:r w:rsidRPr="005D18D7">
        <w:rPr>
          <w:i/>
        </w:rPr>
        <w:t>See</w:t>
      </w:r>
      <w:r>
        <w:t xml:space="preserve"> Letter from </w:t>
      </w:r>
      <w:r w:rsidRPr="009770A5">
        <w:t>Education and Library Networks Coalition</w:t>
      </w:r>
      <w:r>
        <w:t xml:space="preserve"> (</w:t>
      </w:r>
      <w:r>
        <w:t>EdLiNC</w:t>
      </w:r>
      <w:r>
        <w:t>)</w:t>
      </w:r>
      <w:r>
        <w:rPr>
          <w:i/>
        </w:rPr>
        <w:t xml:space="preserve"> </w:t>
      </w:r>
      <w:r>
        <w:t xml:space="preserve">to </w:t>
      </w:r>
      <w:r>
        <w:t>Ajit</w:t>
      </w:r>
      <w:r>
        <w:t xml:space="preserve"> Pai, Chairman, Federal Communications Commission, WC Docket No. 06-122 (filed June 13, 2019) (</w:t>
      </w:r>
      <w:r w:rsidRPr="00FE2D73">
        <w:rPr>
          <w:i/>
        </w:rPr>
        <w:t>“</w:t>
      </w:r>
      <w:r>
        <w:rPr>
          <w:i/>
        </w:rPr>
        <w:t>EdLiNC</w:t>
      </w:r>
      <w:r>
        <w:rPr>
          <w:i/>
        </w:rPr>
        <w:t xml:space="preserve"> Letter”</w:t>
      </w:r>
      <w:r>
        <w:t>); Schools, Health &amp; Libraries (SHLB) Coalition and National Consumer Law Center, Motion for Extension of Time, WC Docket No. 06-122 (filed June 26, 2019) (</w:t>
      </w:r>
      <w:r>
        <w:rPr>
          <w:i/>
        </w:rPr>
        <w:t>“SHLB et al. Motion”</w:t>
      </w:r>
      <w:r>
        <w:t>).</w:t>
      </w:r>
    </w:p>
  </w:footnote>
  <w:footnote w:id="8">
    <w:p w:rsidR="00393351" w:rsidRPr="0097412E" w:rsidP="00393351">
      <w:pPr>
        <w:pStyle w:val="FootnoteText"/>
      </w:pPr>
      <w:r>
        <w:rPr>
          <w:rStyle w:val="FootnoteReference"/>
        </w:rPr>
        <w:footnoteRef/>
      </w:r>
      <w:r>
        <w:t xml:space="preserve"> </w:t>
      </w:r>
      <w:r w:rsidRPr="005D18D7">
        <w:rPr>
          <w:i/>
        </w:rPr>
        <w:t>See</w:t>
      </w:r>
      <w:r>
        <w:t xml:space="preserve"> </w:t>
      </w:r>
      <w:r>
        <w:rPr>
          <w:i/>
        </w:rPr>
        <w:t>SHLB et al. Motion</w:t>
      </w:r>
      <w:r>
        <w:t xml:space="preserve"> at 1, 4.  </w:t>
      </w:r>
      <w:r>
        <w:rPr>
          <w:i/>
        </w:rPr>
        <w:t xml:space="preserve">See also </w:t>
      </w:r>
      <w:r>
        <w:rPr>
          <w:i/>
        </w:rPr>
        <w:t>EdLiNC</w:t>
      </w:r>
      <w:r>
        <w:rPr>
          <w:i/>
        </w:rPr>
        <w:t xml:space="preserve"> Letter</w:t>
      </w:r>
      <w:r>
        <w:t xml:space="preserve"> at 1-2.</w:t>
      </w:r>
    </w:p>
  </w:footnote>
  <w:footnote w:id="9">
    <w:p w:rsidR="00393351" w:rsidRPr="00F07C99" w:rsidP="00393351">
      <w:pPr>
        <w:pStyle w:val="FootnoteText"/>
      </w:pPr>
      <w:r>
        <w:rPr>
          <w:rStyle w:val="FootnoteReference"/>
        </w:rPr>
        <w:footnoteRef/>
      </w:r>
      <w:r>
        <w:t xml:space="preserve"> </w:t>
      </w:r>
      <w:r>
        <w:rPr>
          <w:i/>
        </w:rPr>
        <w:t xml:space="preserve">See </w:t>
      </w:r>
      <w:r>
        <w:rPr>
          <w:i/>
        </w:rPr>
        <w:t>EdLiNC</w:t>
      </w:r>
      <w:r>
        <w:rPr>
          <w:i/>
        </w:rPr>
        <w:t xml:space="preserve"> Letter </w:t>
      </w:r>
      <w:r>
        <w:t xml:space="preserve">at 1-2; </w:t>
      </w:r>
      <w:r>
        <w:rPr>
          <w:i/>
        </w:rPr>
        <w:t xml:space="preserve">SHLB et al. Motion </w:t>
      </w:r>
      <w:r>
        <w:t xml:space="preserve">at 1-4. </w:t>
      </w:r>
    </w:p>
  </w:footnote>
  <w:footnote w:id="10">
    <w:p w:rsidR="00393351" w:rsidRPr="00D20B26" w:rsidP="00393351">
      <w:pPr>
        <w:pStyle w:val="FootnoteText"/>
      </w:pPr>
      <w:r>
        <w:rPr>
          <w:rStyle w:val="FootnoteReference"/>
        </w:rPr>
        <w:footnoteRef/>
      </w:r>
      <w:r>
        <w:t xml:space="preserve"> </w:t>
      </w:r>
      <w:r>
        <w:rPr>
          <w:i/>
        </w:rPr>
        <w:t>See</w:t>
      </w:r>
      <w:r>
        <w:t xml:space="preserve"> </w:t>
      </w:r>
      <w:r>
        <w:rPr>
          <w:i/>
        </w:rPr>
        <w:t>EdLiNC</w:t>
      </w:r>
      <w:r>
        <w:rPr>
          <w:i/>
        </w:rPr>
        <w:t xml:space="preserve"> Letter </w:t>
      </w:r>
      <w:r>
        <w:t xml:space="preserve">at 1-2; </w:t>
      </w:r>
      <w:r>
        <w:rPr>
          <w:i/>
        </w:rPr>
        <w:t xml:space="preserve">SHLB et al. Motion </w:t>
      </w:r>
      <w:r>
        <w:t>at 1-2, 4.</w:t>
      </w:r>
    </w:p>
  </w:footnote>
  <w:footnote w:id="11">
    <w:p w:rsidR="00393351" w:rsidP="00393351">
      <w:pPr>
        <w:pStyle w:val="FootnoteText"/>
      </w:pPr>
      <w:r>
        <w:rPr>
          <w:rStyle w:val="FootnoteReference"/>
        </w:rPr>
        <w:footnoteRef/>
      </w:r>
      <w:r>
        <w:t xml:space="preserve"> 47 CFR. § 1.46. </w:t>
      </w:r>
    </w:p>
  </w:footnote>
  <w:footnote w:id="12">
    <w:p w:rsidR="004E025A" w:rsidRPr="004E025A">
      <w:pPr>
        <w:pStyle w:val="FootnoteText"/>
      </w:pPr>
      <w:r>
        <w:rPr>
          <w:rStyle w:val="FootnoteReference"/>
        </w:rPr>
        <w:footnoteRef/>
      </w:r>
      <w:r>
        <w:t xml:space="preserve"> </w:t>
      </w:r>
      <w:r>
        <w:rPr>
          <w:i/>
        </w:rPr>
        <w:t>See, e.g.</w:t>
      </w:r>
      <w:r>
        <w:t>,</w:t>
      </w:r>
      <w:r>
        <w:rPr>
          <w:i/>
        </w:rPr>
        <w:t xml:space="preserve"> Connect America Fund </w:t>
      </w:r>
      <w:r>
        <w:t xml:space="preserve">et al., Order, 29 FCC </w:t>
      </w:r>
      <w:r>
        <w:t>Rcd</w:t>
      </w:r>
      <w:r>
        <w:t xml:space="preserve"> 10468 (WCB/WTB Sept. 3, 2014); </w:t>
      </w:r>
      <w:r>
        <w:rPr>
          <w:i/>
        </w:rPr>
        <w:t>Protecting the Privacy of Customer of Broadband and Other Telecommunications Services</w:t>
      </w:r>
      <w:r>
        <w:t xml:space="preserve">, Order, 31 FCC </w:t>
      </w:r>
      <w:r>
        <w:t>Rcd</w:t>
      </w:r>
      <w:r>
        <w:t xml:space="preserve"> 3943 (WCB Apr. 29, 2016).</w:t>
      </w:r>
    </w:p>
  </w:footnote>
  <w:footnote w:id="13">
    <w:p w:rsidR="00992724">
      <w:pPr>
        <w:pStyle w:val="FootnoteText"/>
      </w:pPr>
      <w:r>
        <w:rPr>
          <w:rStyle w:val="FootnoteReference"/>
        </w:rPr>
        <w:footnoteRef/>
      </w:r>
      <w:r>
        <w:t xml:space="preserve"> </w:t>
      </w:r>
      <w:r w:rsidRPr="00277789" w:rsidR="00105878">
        <w:t>The proceeding th</w:t>
      </w:r>
      <w:r w:rsidR="00105878">
        <w:t>e</w:t>
      </w:r>
      <w:r w:rsidRPr="00277789" w:rsidR="00105878">
        <w:t xml:space="preserve"> </w:t>
      </w:r>
      <w:r w:rsidRPr="00992724" w:rsidR="00105878">
        <w:rPr>
          <w:i/>
        </w:rPr>
        <w:t>Notice</w:t>
      </w:r>
      <w:r w:rsidRPr="00277789" w:rsidR="00105878">
        <w:t xml:space="preserve"> initiates shall be treated as a </w:t>
      </w:r>
      <w:r w:rsidR="00105878">
        <w:t>“</w:t>
      </w:r>
      <w:r w:rsidRPr="00277789" w:rsidR="00105878">
        <w:t>permit-but-disclose</w:t>
      </w:r>
      <w:r w:rsidR="00105878">
        <w:t>”</w:t>
      </w:r>
      <w:r w:rsidRPr="00277789" w:rsidR="00105878">
        <w:t xml:space="preserve"> proceeding in accordance with the Commission</w:t>
      </w:r>
      <w:r w:rsidR="00105878">
        <w:t>’</w:t>
      </w:r>
      <w:r w:rsidRPr="00277789" w:rsidR="00105878">
        <w:t xml:space="preserve">s </w:t>
      </w:r>
      <w:r w:rsidRPr="00277789" w:rsidR="00105878">
        <w:rPr>
          <w:i/>
          <w:iCs/>
        </w:rPr>
        <w:t xml:space="preserve">ex parte </w:t>
      </w:r>
      <w:r w:rsidRPr="00277789" w:rsidR="00105878">
        <w:t>rules</w:t>
      </w:r>
      <w:r w:rsidR="00105878">
        <w:t>.</w:t>
      </w:r>
      <w:r w:rsidR="00105878">
        <w:rPr>
          <w:rStyle w:val="FootnoteReference"/>
        </w:rPr>
        <w:t xml:space="preserve"> </w:t>
      </w:r>
      <w:r w:rsidR="00105878">
        <w:t xml:space="preserve">  </w:t>
      </w:r>
      <w:r w:rsidRPr="00105878" w:rsidR="00105878">
        <w:rPr>
          <w:i/>
        </w:rPr>
        <w:t>See</w:t>
      </w:r>
      <w:r w:rsidR="00105878">
        <w:t xml:space="preserve"> </w:t>
      </w:r>
      <w:r>
        <w:rPr>
          <w:i/>
        </w:rPr>
        <w:t xml:space="preserve">Notice </w:t>
      </w:r>
      <w:r>
        <w:t xml:space="preserve">at para. 27; </w:t>
      </w:r>
      <w:r w:rsidRPr="001D7AE2">
        <w:t xml:space="preserve">47 CFR §§ 1.1200 </w:t>
      </w:r>
      <w:r w:rsidRPr="001D7AE2">
        <w:rPr>
          <w:i/>
          <w:iCs/>
        </w:rPr>
        <w:t>et seq.</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5512C1">
      <w:t>DA 19-628</w:t>
    </w:r>
  </w:p>
  <w:p w:rsidR="00D25FB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393351">
      <w:rPr>
        <w:spacing w:val="-2"/>
      </w:rPr>
      <w:t xml:space="preserve">DA </w:t>
    </w:r>
    <w:r w:rsidRPr="005512C1" w:rsidR="00393351">
      <w:rPr>
        <w:spacing w:val="-2"/>
      </w:rPr>
      <w:t>19-</w:t>
    </w:r>
    <w:r w:rsidRPr="005512C1" w:rsidR="005512C1">
      <w:rPr>
        <w:spacing w:val="-2"/>
      </w:rPr>
      <w:t>628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822"/>
    <w:rsid w:val="00036039"/>
    <w:rsid w:val="00037F90"/>
    <w:rsid w:val="000421E2"/>
    <w:rsid w:val="000528CF"/>
    <w:rsid w:val="000875BF"/>
    <w:rsid w:val="00096D8C"/>
    <w:rsid w:val="000C0B65"/>
    <w:rsid w:val="000E05FE"/>
    <w:rsid w:val="000E3D42"/>
    <w:rsid w:val="00105878"/>
    <w:rsid w:val="00122BD5"/>
    <w:rsid w:val="00133F79"/>
    <w:rsid w:val="00190874"/>
    <w:rsid w:val="00194A66"/>
    <w:rsid w:val="001D6BCF"/>
    <w:rsid w:val="001D7AE2"/>
    <w:rsid w:val="001E01CA"/>
    <w:rsid w:val="002142D8"/>
    <w:rsid w:val="00275CF5"/>
    <w:rsid w:val="00277789"/>
    <w:rsid w:val="0028301F"/>
    <w:rsid w:val="00285017"/>
    <w:rsid w:val="002A2D2E"/>
    <w:rsid w:val="002C00E8"/>
    <w:rsid w:val="00301E0A"/>
    <w:rsid w:val="00343749"/>
    <w:rsid w:val="003660ED"/>
    <w:rsid w:val="00393351"/>
    <w:rsid w:val="003B0550"/>
    <w:rsid w:val="003B694F"/>
    <w:rsid w:val="003F171C"/>
    <w:rsid w:val="00403AAD"/>
    <w:rsid w:val="0040412E"/>
    <w:rsid w:val="00412FC5"/>
    <w:rsid w:val="00422276"/>
    <w:rsid w:val="004242F1"/>
    <w:rsid w:val="0043732A"/>
    <w:rsid w:val="00445A00"/>
    <w:rsid w:val="00451B0F"/>
    <w:rsid w:val="004B0ECE"/>
    <w:rsid w:val="004C2EE3"/>
    <w:rsid w:val="004E025A"/>
    <w:rsid w:val="004E1145"/>
    <w:rsid w:val="004E4A22"/>
    <w:rsid w:val="00511968"/>
    <w:rsid w:val="005512C1"/>
    <w:rsid w:val="0055614C"/>
    <w:rsid w:val="00566D06"/>
    <w:rsid w:val="0058173D"/>
    <w:rsid w:val="005D18D7"/>
    <w:rsid w:val="005E14C2"/>
    <w:rsid w:val="00607BA5"/>
    <w:rsid w:val="0061180A"/>
    <w:rsid w:val="0061338E"/>
    <w:rsid w:val="00626EB6"/>
    <w:rsid w:val="00655D03"/>
    <w:rsid w:val="00667128"/>
    <w:rsid w:val="006767D9"/>
    <w:rsid w:val="00683388"/>
    <w:rsid w:val="00683F84"/>
    <w:rsid w:val="006A6A81"/>
    <w:rsid w:val="006E1E46"/>
    <w:rsid w:val="006F0887"/>
    <w:rsid w:val="006F7393"/>
    <w:rsid w:val="0070224F"/>
    <w:rsid w:val="007115F7"/>
    <w:rsid w:val="00785689"/>
    <w:rsid w:val="0079754B"/>
    <w:rsid w:val="007A1E6D"/>
    <w:rsid w:val="007B0EB2"/>
    <w:rsid w:val="00810B6F"/>
    <w:rsid w:val="00820B1D"/>
    <w:rsid w:val="00822CE0"/>
    <w:rsid w:val="00841AB1"/>
    <w:rsid w:val="008453C0"/>
    <w:rsid w:val="00862ECE"/>
    <w:rsid w:val="008C68F1"/>
    <w:rsid w:val="008E180D"/>
    <w:rsid w:val="00921803"/>
    <w:rsid w:val="00924FA0"/>
    <w:rsid w:val="00926503"/>
    <w:rsid w:val="009726D8"/>
    <w:rsid w:val="0097412E"/>
    <w:rsid w:val="009770A5"/>
    <w:rsid w:val="00987354"/>
    <w:rsid w:val="00992724"/>
    <w:rsid w:val="009A22DE"/>
    <w:rsid w:val="009A7822"/>
    <w:rsid w:val="009D7308"/>
    <w:rsid w:val="009E1F15"/>
    <w:rsid w:val="009F76DB"/>
    <w:rsid w:val="00A32C3B"/>
    <w:rsid w:val="00A45F4F"/>
    <w:rsid w:val="00A600A9"/>
    <w:rsid w:val="00A736FD"/>
    <w:rsid w:val="00A9298B"/>
    <w:rsid w:val="00AA55B7"/>
    <w:rsid w:val="00AA5B9E"/>
    <w:rsid w:val="00AB2407"/>
    <w:rsid w:val="00AB53DF"/>
    <w:rsid w:val="00AF2E28"/>
    <w:rsid w:val="00B07E5C"/>
    <w:rsid w:val="00B811F7"/>
    <w:rsid w:val="00B93B70"/>
    <w:rsid w:val="00BA5DC6"/>
    <w:rsid w:val="00BA6196"/>
    <w:rsid w:val="00BC6D8C"/>
    <w:rsid w:val="00C34006"/>
    <w:rsid w:val="00C36B4C"/>
    <w:rsid w:val="00C426B1"/>
    <w:rsid w:val="00C66160"/>
    <w:rsid w:val="00C721AC"/>
    <w:rsid w:val="00C90D6A"/>
    <w:rsid w:val="00CA247E"/>
    <w:rsid w:val="00CA6D21"/>
    <w:rsid w:val="00CC72B6"/>
    <w:rsid w:val="00D0218D"/>
    <w:rsid w:val="00D16DE1"/>
    <w:rsid w:val="00D20B26"/>
    <w:rsid w:val="00D25FB5"/>
    <w:rsid w:val="00D42C1F"/>
    <w:rsid w:val="00D44223"/>
    <w:rsid w:val="00D623CD"/>
    <w:rsid w:val="00DA2529"/>
    <w:rsid w:val="00DB130A"/>
    <w:rsid w:val="00DB2EBB"/>
    <w:rsid w:val="00DC10A1"/>
    <w:rsid w:val="00DC655F"/>
    <w:rsid w:val="00DD0B59"/>
    <w:rsid w:val="00DD7EBD"/>
    <w:rsid w:val="00DF62B6"/>
    <w:rsid w:val="00DF6879"/>
    <w:rsid w:val="00E07225"/>
    <w:rsid w:val="00E0772B"/>
    <w:rsid w:val="00E07ACA"/>
    <w:rsid w:val="00E46ED2"/>
    <w:rsid w:val="00E5409F"/>
    <w:rsid w:val="00E96A7A"/>
    <w:rsid w:val="00EA4718"/>
    <w:rsid w:val="00EE6488"/>
    <w:rsid w:val="00EF40F2"/>
    <w:rsid w:val="00F021FA"/>
    <w:rsid w:val="00F07C99"/>
    <w:rsid w:val="00F14300"/>
    <w:rsid w:val="00F24B96"/>
    <w:rsid w:val="00F453EB"/>
    <w:rsid w:val="00F62E97"/>
    <w:rsid w:val="00F64209"/>
    <w:rsid w:val="00F84AC5"/>
    <w:rsid w:val="00F93BF5"/>
    <w:rsid w:val="00FE2D7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F491F359-75E6-49A1-946D-EE8D51011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128"/>
    <w:pPr>
      <w:widowControl w:val="0"/>
    </w:pPr>
    <w:rPr>
      <w:snapToGrid w:val="0"/>
      <w:kern w:val="28"/>
      <w:sz w:val="22"/>
    </w:rPr>
  </w:style>
  <w:style w:type="paragraph" w:styleId="Heading1">
    <w:name w:val="heading 1"/>
    <w:basedOn w:val="Normal"/>
    <w:next w:val="ParaNum"/>
    <w:qFormat/>
    <w:rsid w:val="00667128"/>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667128"/>
    <w:pPr>
      <w:keepNext/>
      <w:numPr>
        <w:ilvl w:val="1"/>
        <w:numId w:val="3"/>
      </w:numPr>
      <w:spacing w:after="120"/>
      <w:outlineLvl w:val="1"/>
    </w:pPr>
    <w:rPr>
      <w:b/>
    </w:rPr>
  </w:style>
  <w:style w:type="paragraph" w:styleId="Heading3">
    <w:name w:val="heading 3"/>
    <w:basedOn w:val="Normal"/>
    <w:next w:val="ParaNum"/>
    <w:qFormat/>
    <w:rsid w:val="00667128"/>
    <w:pPr>
      <w:keepNext/>
      <w:numPr>
        <w:ilvl w:val="2"/>
        <w:numId w:val="3"/>
      </w:numPr>
      <w:tabs>
        <w:tab w:val="left" w:pos="2160"/>
      </w:tabs>
      <w:spacing w:after="120"/>
      <w:outlineLvl w:val="2"/>
    </w:pPr>
    <w:rPr>
      <w:b/>
    </w:rPr>
  </w:style>
  <w:style w:type="paragraph" w:styleId="Heading4">
    <w:name w:val="heading 4"/>
    <w:basedOn w:val="Normal"/>
    <w:next w:val="ParaNum"/>
    <w:qFormat/>
    <w:rsid w:val="00667128"/>
    <w:pPr>
      <w:keepNext/>
      <w:numPr>
        <w:ilvl w:val="3"/>
        <w:numId w:val="3"/>
      </w:numPr>
      <w:tabs>
        <w:tab w:val="left" w:pos="2880"/>
      </w:tabs>
      <w:spacing w:after="120"/>
      <w:outlineLvl w:val="3"/>
    </w:pPr>
    <w:rPr>
      <w:b/>
    </w:rPr>
  </w:style>
  <w:style w:type="paragraph" w:styleId="Heading5">
    <w:name w:val="heading 5"/>
    <w:basedOn w:val="Normal"/>
    <w:next w:val="ParaNum"/>
    <w:qFormat/>
    <w:rsid w:val="0066712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667128"/>
    <w:pPr>
      <w:numPr>
        <w:ilvl w:val="5"/>
        <w:numId w:val="3"/>
      </w:numPr>
      <w:tabs>
        <w:tab w:val="left" w:pos="4320"/>
      </w:tabs>
      <w:spacing w:after="120"/>
      <w:outlineLvl w:val="5"/>
    </w:pPr>
    <w:rPr>
      <w:b/>
    </w:rPr>
  </w:style>
  <w:style w:type="paragraph" w:styleId="Heading7">
    <w:name w:val="heading 7"/>
    <w:basedOn w:val="Normal"/>
    <w:next w:val="ParaNum"/>
    <w:qFormat/>
    <w:rsid w:val="00667128"/>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667128"/>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667128"/>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66712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67128"/>
  </w:style>
  <w:style w:type="paragraph" w:customStyle="1" w:styleId="ParaNum">
    <w:name w:val="ParaNum"/>
    <w:basedOn w:val="Normal"/>
    <w:rsid w:val="00667128"/>
    <w:pPr>
      <w:numPr>
        <w:numId w:val="2"/>
      </w:numPr>
      <w:tabs>
        <w:tab w:val="clear" w:pos="1080"/>
        <w:tab w:val="num" w:pos="1440"/>
      </w:tabs>
      <w:spacing w:after="120"/>
    </w:pPr>
  </w:style>
  <w:style w:type="paragraph" w:styleId="EndnoteText">
    <w:name w:val="endnote text"/>
    <w:basedOn w:val="Normal"/>
    <w:semiHidden/>
    <w:rsid w:val="00667128"/>
    <w:rPr>
      <w:sz w:val="20"/>
    </w:rPr>
  </w:style>
  <w:style w:type="character" w:styleId="EndnoteReference">
    <w:name w:val="endnote reference"/>
    <w:semiHidden/>
    <w:rsid w:val="00667128"/>
    <w:rPr>
      <w:vertAlign w:val="superscript"/>
    </w:rPr>
  </w:style>
  <w:style w:type="paragraph" w:styleId="FootnoteText">
    <w:name w:val="footnote text"/>
    <w:rsid w:val="00667128"/>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667128"/>
    <w:rPr>
      <w:rFonts w:ascii="Times New Roman" w:hAnsi="Times New Roman"/>
      <w:dstrike w:val="0"/>
      <w:color w:val="auto"/>
      <w:sz w:val="20"/>
      <w:vertAlign w:val="superscript"/>
    </w:rPr>
  </w:style>
  <w:style w:type="paragraph" w:styleId="TOC1">
    <w:name w:val="toc 1"/>
    <w:basedOn w:val="Normal"/>
    <w:next w:val="Normal"/>
    <w:semiHidden/>
    <w:rsid w:val="00667128"/>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667128"/>
    <w:pPr>
      <w:tabs>
        <w:tab w:val="left" w:pos="720"/>
        <w:tab w:val="right" w:leader="dot" w:pos="9360"/>
      </w:tabs>
      <w:suppressAutoHyphens/>
      <w:ind w:left="720" w:right="720" w:hanging="360"/>
    </w:pPr>
    <w:rPr>
      <w:noProof/>
    </w:rPr>
  </w:style>
  <w:style w:type="paragraph" w:styleId="TOC3">
    <w:name w:val="toc 3"/>
    <w:basedOn w:val="Normal"/>
    <w:next w:val="Normal"/>
    <w:semiHidden/>
    <w:rsid w:val="00667128"/>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667128"/>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66712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66712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66712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66712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667128"/>
    <w:pPr>
      <w:tabs>
        <w:tab w:val="left" w:pos="3240"/>
        <w:tab w:val="right" w:leader="dot" w:pos="9360"/>
      </w:tabs>
      <w:suppressAutoHyphens/>
      <w:ind w:left="3240" w:hanging="360"/>
    </w:pPr>
    <w:rPr>
      <w:noProof/>
    </w:rPr>
  </w:style>
  <w:style w:type="paragraph" w:styleId="TOAHeading">
    <w:name w:val="toa heading"/>
    <w:basedOn w:val="Normal"/>
    <w:next w:val="Normal"/>
    <w:semiHidden/>
    <w:rsid w:val="00667128"/>
    <w:pPr>
      <w:tabs>
        <w:tab w:val="right" w:pos="9360"/>
      </w:tabs>
      <w:suppressAutoHyphens/>
    </w:pPr>
  </w:style>
  <w:style w:type="character" w:customStyle="1" w:styleId="EquationCaption">
    <w:name w:val="_Equation Caption"/>
    <w:rsid w:val="00667128"/>
  </w:style>
  <w:style w:type="paragraph" w:styleId="Header">
    <w:name w:val="header"/>
    <w:basedOn w:val="Normal"/>
    <w:autoRedefine/>
    <w:rsid w:val="00667128"/>
    <w:pPr>
      <w:tabs>
        <w:tab w:val="center" w:pos="4680"/>
        <w:tab w:val="right" w:pos="9360"/>
      </w:tabs>
    </w:pPr>
    <w:rPr>
      <w:b/>
    </w:rPr>
  </w:style>
  <w:style w:type="paragraph" w:styleId="Footer">
    <w:name w:val="footer"/>
    <w:basedOn w:val="Normal"/>
    <w:link w:val="FooterChar"/>
    <w:uiPriority w:val="99"/>
    <w:rsid w:val="00667128"/>
    <w:pPr>
      <w:tabs>
        <w:tab w:val="center" w:pos="4320"/>
        <w:tab w:val="right" w:pos="8640"/>
      </w:tabs>
    </w:pPr>
  </w:style>
  <w:style w:type="character" w:styleId="PageNumber">
    <w:name w:val="page number"/>
    <w:basedOn w:val="DefaultParagraphFont"/>
    <w:rsid w:val="00667128"/>
  </w:style>
  <w:style w:type="paragraph" w:styleId="BlockText">
    <w:name w:val="Block Text"/>
    <w:basedOn w:val="Normal"/>
    <w:rsid w:val="00667128"/>
    <w:pPr>
      <w:spacing w:after="240"/>
      <w:ind w:left="1440" w:right="1440"/>
    </w:pPr>
  </w:style>
  <w:style w:type="paragraph" w:customStyle="1" w:styleId="Paratitle">
    <w:name w:val="Para title"/>
    <w:basedOn w:val="Normal"/>
    <w:rsid w:val="00667128"/>
    <w:pPr>
      <w:tabs>
        <w:tab w:val="center" w:pos="9270"/>
      </w:tabs>
      <w:spacing w:after="240"/>
    </w:pPr>
    <w:rPr>
      <w:spacing w:val="-2"/>
    </w:rPr>
  </w:style>
  <w:style w:type="paragraph" w:customStyle="1" w:styleId="Bullet">
    <w:name w:val="Bullet"/>
    <w:basedOn w:val="Normal"/>
    <w:rsid w:val="00667128"/>
    <w:pPr>
      <w:tabs>
        <w:tab w:val="left" w:pos="2160"/>
      </w:tabs>
      <w:spacing w:after="220"/>
      <w:ind w:left="2160" w:hanging="720"/>
    </w:pPr>
  </w:style>
  <w:style w:type="paragraph" w:customStyle="1" w:styleId="TableFormat">
    <w:name w:val="TableFormat"/>
    <w:basedOn w:val="Bullet"/>
    <w:rsid w:val="00667128"/>
    <w:pPr>
      <w:tabs>
        <w:tab w:val="clear" w:pos="2160"/>
        <w:tab w:val="left" w:pos="5040"/>
      </w:tabs>
      <w:ind w:left="5040" w:hanging="3600"/>
    </w:pPr>
  </w:style>
  <w:style w:type="paragraph" w:customStyle="1" w:styleId="TOCTitle">
    <w:name w:val="TOC Title"/>
    <w:basedOn w:val="Normal"/>
    <w:rsid w:val="0066712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667128"/>
    <w:pPr>
      <w:jc w:val="center"/>
    </w:pPr>
    <w:rPr>
      <w:rFonts w:ascii="Times New Roman Bold" w:hAnsi="Times New Roman Bold"/>
      <w:b/>
      <w:bCs/>
      <w:caps/>
      <w:szCs w:val="22"/>
    </w:rPr>
  </w:style>
  <w:style w:type="character" w:styleId="Hyperlink">
    <w:name w:val="Hyperlink"/>
    <w:rsid w:val="00667128"/>
    <w:rPr>
      <w:color w:val="0000FF"/>
      <w:u w:val="single"/>
    </w:rPr>
  </w:style>
  <w:style w:type="character" w:customStyle="1" w:styleId="FooterChar">
    <w:name w:val="Footer Char"/>
    <w:link w:val="Footer"/>
    <w:uiPriority w:val="99"/>
    <w:rsid w:val="00667128"/>
    <w:rPr>
      <w:snapToGrid w:val="0"/>
      <w:kern w:val="28"/>
      <w:sz w:val="22"/>
    </w:rPr>
  </w:style>
  <w:style w:type="character" w:styleId="CommentReference">
    <w:name w:val="annotation reference"/>
    <w:basedOn w:val="DefaultParagraphFont"/>
    <w:rsid w:val="00820B1D"/>
    <w:rPr>
      <w:sz w:val="16"/>
      <w:szCs w:val="16"/>
    </w:rPr>
  </w:style>
  <w:style w:type="paragraph" w:styleId="CommentText">
    <w:name w:val="annotation text"/>
    <w:basedOn w:val="Normal"/>
    <w:link w:val="CommentTextChar"/>
    <w:rsid w:val="00820B1D"/>
    <w:rPr>
      <w:sz w:val="20"/>
    </w:rPr>
  </w:style>
  <w:style w:type="character" w:customStyle="1" w:styleId="CommentTextChar">
    <w:name w:val="Comment Text Char"/>
    <w:basedOn w:val="DefaultParagraphFont"/>
    <w:link w:val="CommentText"/>
    <w:rsid w:val="00820B1D"/>
    <w:rPr>
      <w:snapToGrid w:val="0"/>
      <w:kern w:val="28"/>
    </w:rPr>
  </w:style>
  <w:style w:type="paragraph" w:styleId="CommentSubject">
    <w:name w:val="annotation subject"/>
    <w:basedOn w:val="CommentText"/>
    <w:next w:val="CommentText"/>
    <w:link w:val="CommentSubjectChar"/>
    <w:rsid w:val="00820B1D"/>
    <w:rPr>
      <w:b/>
      <w:bCs/>
    </w:rPr>
  </w:style>
  <w:style w:type="character" w:customStyle="1" w:styleId="CommentSubjectChar">
    <w:name w:val="Comment Subject Char"/>
    <w:basedOn w:val="CommentTextChar"/>
    <w:link w:val="CommentSubject"/>
    <w:rsid w:val="00820B1D"/>
    <w:rPr>
      <w:b/>
      <w:bCs/>
      <w:snapToGrid w:val="0"/>
      <w:kern w:val="28"/>
    </w:rPr>
  </w:style>
  <w:style w:type="paragraph" w:styleId="BalloonText">
    <w:name w:val="Balloon Text"/>
    <w:basedOn w:val="Normal"/>
    <w:link w:val="BalloonTextChar"/>
    <w:rsid w:val="00820B1D"/>
    <w:rPr>
      <w:rFonts w:ascii="Segoe UI" w:hAnsi="Segoe UI" w:cs="Segoe UI"/>
      <w:sz w:val="18"/>
      <w:szCs w:val="18"/>
    </w:rPr>
  </w:style>
  <w:style w:type="character" w:customStyle="1" w:styleId="BalloonTextChar">
    <w:name w:val="Balloon Text Char"/>
    <w:basedOn w:val="DefaultParagraphFont"/>
    <w:link w:val="BalloonText"/>
    <w:rsid w:val="00820B1D"/>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