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1404EC">
        <w:rPr>
          <w:szCs w:val="22"/>
        </w:rPr>
        <w:t xml:space="preserve"> </w:t>
      </w:r>
      <w:r w:rsidR="006253CB">
        <w:rPr>
          <w:szCs w:val="22"/>
        </w:rPr>
        <w:t xml:space="preserve"> </w:t>
      </w:r>
    </w:p>
    <w:p w:rsidR="002710BB" w:rsidRPr="006B29E2" w:rsidP="00312E20">
      <w:pPr>
        <w:ind w:left="6480" w:firstLine="720"/>
        <w:rPr>
          <w:b/>
          <w:szCs w:val="22"/>
        </w:rPr>
      </w:pPr>
      <w:bookmarkStart w:id="1" w:name="_Hlk13232710"/>
      <w:r w:rsidRPr="006B29E2">
        <w:rPr>
          <w:b/>
          <w:szCs w:val="22"/>
        </w:rPr>
        <w:t xml:space="preserve">DA </w:t>
      </w:r>
      <w:r w:rsidR="004241B2">
        <w:rPr>
          <w:b/>
          <w:szCs w:val="22"/>
        </w:rPr>
        <w:t>19-</w:t>
      </w:r>
      <w:r w:rsidR="005546D4">
        <w:rPr>
          <w:b/>
          <w:szCs w:val="22"/>
        </w:rPr>
        <w:t>629</w:t>
      </w:r>
    </w:p>
    <w:p w:rsidR="002710BB" w:rsidRPr="006B29E2" w:rsidP="00312E20">
      <w:pPr>
        <w:spacing w:before="60"/>
        <w:ind w:left="7200"/>
        <w:rPr>
          <w:b/>
          <w:szCs w:val="22"/>
        </w:rPr>
      </w:pPr>
      <w:r>
        <w:rPr>
          <w:b/>
          <w:szCs w:val="22"/>
        </w:rPr>
        <w:t xml:space="preserve">July </w:t>
      </w:r>
      <w:r w:rsidR="00CB0686">
        <w:rPr>
          <w:b/>
          <w:szCs w:val="22"/>
        </w:rPr>
        <w:t>5</w:t>
      </w:r>
      <w:r w:rsidRPr="006B29E2">
        <w:rPr>
          <w:b/>
          <w:szCs w:val="22"/>
        </w:rPr>
        <w:t>, 201</w:t>
      </w:r>
      <w:r w:rsidR="00CE3E5D">
        <w:rPr>
          <w:b/>
          <w:szCs w:val="22"/>
        </w:rPr>
        <w:t>9</w:t>
      </w:r>
    </w:p>
    <w:p w:rsidR="002710BB" w:rsidRPr="006B29E2" w:rsidP="002710BB">
      <w:pPr>
        <w:tabs>
          <w:tab w:val="left" w:pos="5900"/>
        </w:tabs>
        <w:rPr>
          <w:szCs w:val="22"/>
        </w:rPr>
      </w:pPr>
      <w:r w:rsidRPr="006B29E2">
        <w:rPr>
          <w:szCs w:val="22"/>
        </w:rPr>
        <w:tab/>
      </w:r>
    </w:p>
    <w:p w:rsidR="00585942" w:rsidP="00F54506">
      <w:pPr>
        <w:autoSpaceDE w:val="0"/>
        <w:autoSpaceDN w:val="0"/>
        <w:adjustRightInd w:val="0"/>
        <w:jc w:val="center"/>
        <w:rPr>
          <w:b/>
          <w:bCs/>
          <w:szCs w:val="22"/>
        </w:rPr>
      </w:pPr>
      <w:bookmarkStart w:id="2" w:name="_Hlk519509475"/>
      <w:bookmarkStart w:id="3" w:name="_Hlk502044717"/>
      <w:bookmarkStart w:id="4" w:name="_Hlk516578398"/>
      <w:r w:rsidRPr="009F1D82">
        <w:rPr>
          <w:b/>
          <w:bCs/>
          <w:szCs w:val="22"/>
        </w:rPr>
        <w:t>APPLICATION</w:t>
      </w:r>
      <w:r>
        <w:rPr>
          <w:b/>
          <w:bCs/>
          <w:szCs w:val="22"/>
        </w:rPr>
        <w:t>S</w:t>
      </w:r>
      <w:r w:rsidRPr="009F1D82">
        <w:rPr>
          <w:b/>
          <w:bCs/>
          <w:szCs w:val="22"/>
        </w:rPr>
        <w:t xml:space="preserve"> FILED FOR THE TRANSFER OF CONTROL </w:t>
      </w:r>
      <w:r w:rsidRPr="009F1D82" w:rsidR="00F54506">
        <w:rPr>
          <w:b/>
          <w:bCs/>
          <w:szCs w:val="22"/>
        </w:rPr>
        <w:t xml:space="preserve">OF </w:t>
      </w:r>
    </w:p>
    <w:p w:rsidR="008700D8" w:rsidP="00F54506">
      <w:pPr>
        <w:autoSpaceDE w:val="0"/>
        <w:autoSpaceDN w:val="0"/>
        <w:adjustRightInd w:val="0"/>
        <w:jc w:val="center"/>
        <w:rPr>
          <w:b/>
          <w:bCs/>
          <w:szCs w:val="22"/>
        </w:rPr>
      </w:pPr>
      <w:r>
        <w:rPr>
          <w:b/>
          <w:bCs/>
          <w:szCs w:val="22"/>
        </w:rPr>
        <w:t xml:space="preserve">ZAYO GROUP, LLC, ELECTRIC LIGHTWAVE, LLC, AND </w:t>
      </w:r>
    </w:p>
    <w:p w:rsidR="004241B2" w:rsidP="00F54506">
      <w:pPr>
        <w:autoSpaceDE w:val="0"/>
        <w:autoSpaceDN w:val="0"/>
        <w:adjustRightInd w:val="0"/>
        <w:jc w:val="center"/>
        <w:rPr>
          <w:b/>
          <w:bCs/>
          <w:szCs w:val="22"/>
        </w:rPr>
      </w:pPr>
      <w:r>
        <w:rPr>
          <w:b/>
          <w:bCs/>
          <w:szCs w:val="22"/>
        </w:rPr>
        <w:t>ALLSTREAM BUSINESS US, LLC TO FRONT RANGE TOPCO, INC.</w:t>
      </w:r>
      <w:r w:rsidRPr="009F1D82" w:rsidR="00F54506">
        <w:rPr>
          <w:b/>
          <w:bCs/>
          <w:szCs w:val="22"/>
        </w:rPr>
        <w:t xml:space="preserve"> </w:t>
      </w:r>
    </w:p>
    <w:bookmarkEnd w:id="2"/>
    <w:bookmarkEnd w:id="3"/>
    <w:bookmarkEnd w:id="4"/>
    <w:p w:rsidR="00F54506" w:rsidP="00F54506">
      <w:pPr>
        <w:autoSpaceDE w:val="0"/>
        <w:autoSpaceDN w:val="0"/>
        <w:adjustRightInd w:val="0"/>
        <w:rPr>
          <w:b/>
          <w:bCs/>
          <w:szCs w:val="22"/>
        </w:rPr>
      </w:pPr>
    </w:p>
    <w:p w:rsidR="002710BB" w:rsidRPr="006B29E2" w:rsidP="00F54506">
      <w:pPr>
        <w:autoSpaceDE w:val="0"/>
        <w:autoSpaceDN w:val="0"/>
        <w:adjustRightInd w:val="0"/>
        <w:jc w:val="center"/>
        <w:rPr>
          <w:b/>
          <w:szCs w:val="22"/>
        </w:rPr>
      </w:pPr>
      <w:r w:rsidRPr="006B29E2">
        <w:rPr>
          <w:b/>
          <w:szCs w:val="22"/>
        </w:rPr>
        <w:t>PLEADING CYCLE ESTABLISHED</w:t>
      </w:r>
    </w:p>
    <w:p w:rsidR="002710BB" w:rsidRPr="006B29E2" w:rsidP="002710BB">
      <w:pPr>
        <w:jc w:val="center"/>
        <w:rPr>
          <w:b/>
          <w:szCs w:val="22"/>
        </w:rPr>
      </w:pPr>
      <w:bookmarkStart w:id="5" w:name="_GoBack"/>
      <w:bookmarkEnd w:id="5"/>
    </w:p>
    <w:p w:rsidR="002710BB" w:rsidP="002710BB">
      <w:pPr>
        <w:jc w:val="center"/>
        <w:rPr>
          <w:b/>
          <w:szCs w:val="22"/>
        </w:rPr>
      </w:pPr>
      <w:r>
        <w:rPr>
          <w:b/>
          <w:szCs w:val="22"/>
        </w:rPr>
        <w:t xml:space="preserve"> WC Docket No. 1</w:t>
      </w:r>
      <w:r w:rsidR="00CE3E5D">
        <w:rPr>
          <w:b/>
          <w:szCs w:val="22"/>
        </w:rPr>
        <w:t>9</w:t>
      </w:r>
      <w:r>
        <w:rPr>
          <w:b/>
          <w:szCs w:val="22"/>
        </w:rPr>
        <w:t>-</w:t>
      </w:r>
      <w:r w:rsidR="009C3364">
        <w:rPr>
          <w:b/>
          <w:szCs w:val="22"/>
        </w:rPr>
        <w:t>166</w:t>
      </w:r>
    </w:p>
    <w:p w:rsidR="002710BB" w:rsidRPr="006B29E2" w:rsidP="002710BB">
      <w:pPr>
        <w:jc w:val="center"/>
        <w:rPr>
          <w:szCs w:val="22"/>
        </w:rPr>
      </w:pPr>
    </w:p>
    <w:p w:rsidR="002710BB" w:rsidRPr="006B29E2" w:rsidP="002710BB">
      <w:pPr>
        <w:pStyle w:val="NoSpacing"/>
        <w:rPr>
          <w:b/>
          <w:szCs w:val="22"/>
        </w:rPr>
      </w:pPr>
      <w:r>
        <w:rPr>
          <w:b/>
          <w:szCs w:val="22"/>
        </w:rPr>
        <w:t xml:space="preserve">Comments Due:  </w:t>
      </w:r>
      <w:r w:rsidR="00CA29F2">
        <w:rPr>
          <w:b/>
          <w:szCs w:val="22"/>
        </w:rPr>
        <w:t>Ju</w:t>
      </w:r>
      <w:r w:rsidR="004241B2">
        <w:rPr>
          <w:b/>
          <w:szCs w:val="22"/>
        </w:rPr>
        <w:t xml:space="preserve">ly </w:t>
      </w:r>
      <w:r w:rsidR="00EB3FED">
        <w:rPr>
          <w:b/>
          <w:szCs w:val="22"/>
        </w:rPr>
        <w:t>1</w:t>
      </w:r>
      <w:r w:rsidR="00CB0686">
        <w:rPr>
          <w:b/>
          <w:szCs w:val="22"/>
        </w:rPr>
        <w:t>9</w:t>
      </w:r>
      <w:r w:rsidRPr="006B29E2">
        <w:rPr>
          <w:b/>
          <w:szCs w:val="22"/>
        </w:rPr>
        <w:t>, 201</w:t>
      </w:r>
      <w:r w:rsidR="00CE3E5D">
        <w:rPr>
          <w:b/>
          <w:szCs w:val="22"/>
        </w:rPr>
        <w:t>9</w:t>
      </w:r>
    </w:p>
    <w:p w:rsidR="00590D65" w:rsidRPr="006B29E2" w:rsidP="002710BB">
      <w:pPr>
        <w:pStyle w:val="NoSpacing"/>
        <w:rPr>
          <w:b/>
          <w:szCs w:val="22"/>
        </w:rPr>
      </w:pPr>
      <w:r w:rsidRPr="006B29E2">
        <w:rPr>
          <w:b/>
          <w:szCs w:val="22"/>
        </w:rPr>
        <w:t xml:space="preserve">Reply Comments Due:  </w:t>
      </w:r>
      <w:r w:rsidR="00B13C3F">
        <w:rPr>
          <w:b/>
          <w:szCs w:val="22"/>
        </w:rPr>
        <w:t>Ju</w:t>
      </w:r>
      <w:r w:rsidR="004241B2">
        <w:rPr>
          <w:b/>
          <w:szCs w:val="22"/>
        </w:rPr>
        <w:t xml:space="preserve">ly </w:t>
      </w:r>
      <w:r w:rsidR="00EB3FED">
        <w:rPr>
          <w:b/>
          <w:szCs w:val="22"/>
        </w:rPr>
        <w:t>2</w:t>
      </w:r>
      <w:r w:rsidR="00CB0686">
        <w:rPr>
          <w:b/>
          <w:szCs w:val="22"/>
        </w:rPr>
        <w:t>6</w:t>
      </w:r>
      <w:r w:rsidRPr="006B29E2">
        <w:rPr>
          <w:b/>
          <w:szCs w:val="22"/>
        </w:rPr>
        <w:t>, 201</w:t>
      </w:r>
      <w:r w:rsidR="00CE3E5D">
        <w:rPr>
          <w:b/>
          <w:szCs w:val="22"/>
        </w:rPr>
        <w:t>9</w:t>
      </w:r>
    </w:p>
    <w:p w:rsidR="002710BB" w:rsidRPr="006B29E2" w:rsidP="002710BB">
      <w:pPr>
        <w:autoSpaceDE w:val="0"/>
        <w:autoSpaceDN w:val="0"/>
        <w:adjustRightInd w:val="0"/>
        <w:rPr>
          <w:rFonts w:ascii="TimesNewRomanPSMT" w:hAnsi="TimesNewRomanPSMT" w:cs="TimesNewRomanPSMT"/>
          <w:szCs w:val="22"/>
        </w:rPr>
      </w:pPr>
    </w:p>
    <w:p w:rsidR="00E261C6" w:rsidP="006956A7">
      <w:pPr>
        <w:autoSpaceDE w:val="0"/>
        <w:autoSpaceDN w:val="0"/>
        <w:adjustRightInd w:val="0"/>
        <w:ind w:firstLine="720"/>
        <w:rPr>
          <w:szCs w:val="22"/>
        </w:rPr>
      </w:pPr>
      <w:r w:rsidRPr="00FB3EDD">
        <w:rPr>
          <w:szCs w:val="22"/>
        </w:rPr>
        <w:t>By this Public Notice, the Wireline Competition Bureau</w:t>
      </w:r>
      <w:r w:rsidR="00377A13">
        <w:rPr>
          <w:szCs w:val="22"/>
        </w:rPr>
        <w:t xml:space="preserve">, International Bureau, </w:t>
      </w:r>
      <w:r w:rsidRPr="001212A4" w:rsidR="00377A13">
        <w:rPr>
          <w:szCs w:val="22"/>
        </w:rPr>
        <w:t xml:space="preserve">and Wireless </w:t>
      </w:r>
      <w:r w:rsidR="00332E1C">
        <w:rPr>
          <w:szCs w:val="22"/>
        </w:rPr>
        <w:t xml:space="preserve">Telecommunications </w:t>
      </w:r>
      <w:r w:rsidRPr="001212A4" w:rsidR="00377A13">
        <w:rPr>
          <w:szCs w:val="22"/>
        </w:rPr>
        <w:t>Bureau</w:t>
      </w:r>
      <w:r w:rsidRPr="00FB3EDD">
        <w:rPr>
          <w:szCs w:val="22"/>
        </w:rPr>
        <w:t xml:space="preserve"> seek comment from interested parties on</w:t>
      </w:r>
      <w:r w:rsidR="00585942">
        <w:rPr>
          <w:szCs w:val="22"/>
        </w:rPr>
        <w:t xml:space="preserve"> </w:t>
      </w:r>
      <w:r w:rsidRPr="00FB3EDD">
        <w:rPr>
          <w:szCs w:val="22"/>
        </w:rPr>
        <w:t>application</w:t>
      </w:r>
      <w:r w:rsidR="00585942">
        <w:rPr>
          <w:szCs w:val="22"/>
        </w:rPr>
        <w:t>s</w:t>
      </w:r>
      <w:r w:rsidRPr="00FB3EDD">
        <w:rPr>
          <w:szCs w:val="22"/>
        </w:rPr>
        <w:t xml:space="preserve"> filed by</w:t>
      </w:r>
      <w:r w:rsidRPr="00FB3EDD" w:rsidR="001419AD">
        <w:rPr>
          <w:color w:val="231F20"/>
          <w:szCs w:val="22"/>
        </w:rPr>
        <w:t xml:space="preserve"> </w:t>
      </w:r>
      <w:r w:rsidR="004241B2">
        <w:rPr>
          <w:color w:val="231F20"/>
          <w:szCs w:val="22"/>
        </w:rPr>
        <w:t>Zayo Group Holdings</w:t>
      </w:r>
      <w:r w:rsidR="006956A7">
        <w:rPr>
          <w:color w:val="231F20"/>
          <w:szCs w:val="22"/>
        </w:rPr>
        <w:t xml:space="preserve">, Inc. (Zayo) and its </w:t>
      </w:r>
      <w:r w:rsidR="000861FE">
        <w:rPr>
          <w:color w:val="231F20"/>
          <w:szCs w:val="22"/>
        </w:rPr>
        <w:t>subsidiaries</w:t>
      </w:r>
      <w:r w:rsidR="007656E1">
        <w:rPr>
          <w:color w:val="231F20"/>
          <w:szCs w:val="22"/>
        </w:rPr>
        <w:t>,</w:t>
      </w:r>
      <w:r w:rsidR="006956A7">
        <w:rPr>
          <w:color w:val="231F20"/>
          <w:szCs w:val="22"/>
        </w:rPr>
        <w:t xml:space="preserve"> </w:t>
      </w:r>
      <w:r w:rsidR="006519AD">
        <w:rPr>
          <w:color w:val="231F20"/>
          <w:szCs w:val="22"/>
        </w:rPr>
        <w:t>Zayo Group, LLC (ZGL)</w:t>
      </w:r>
      <w:r w:rsidR="006956A7">
        <w:rPr>
          <w:color w:val="231F20"/>
          <w:szCs w:val="22"/>
        </w:rPr>
        <w:t xml:space="preserve">, </w:t>
      </w:r>
      <w:r w:rsidR="004241B2">
        <w:rPr>
          <w:color w:val="231F20"/>
          <w:szCs w:val="22"/>
        </w:rPr>
        <w:t>Electric</w:t>
      </w:r>
      <w:r w:rsidR="006956A7">
        <w:rPr>
          <w:color w:val="231F20"/>
          <w:szCs w:val="22"/>
        </w:rPr>
        <w:t xml:space="preserve"> Lightwave, LLC (Electric Lightwave), </w:t>
      </w:r>
      <w:r w:rsidR="006519AD">
        <w:rPr>
          <w:color w:val="231F20"/>
          <w:szCs w:val="22"/>
        </w:rPr>
        <w:t xml:space="preserve">and Allstream Business US, LLC (Allstream) </w:t>
      </w:r>
      <w:r w:rsidR="006956A7">
        <w:rPr>
          <w:color w:val="231F20"/>
          <w:szCs w:val="22"/>
        </w:rPr>
        <w:t>(</w:t>
      </w:r>
      <w:r w:rsidR="006519AD">
        <w:rPr>
          <w:color w:val="231F20"/>
          <w:szCs w:val="22"/>
        </w:rPr>
        <w:t>ZGL</w:t>
      </w:r>
      <w:r w:rsidR="006956A7">
        <w:rPr>
          <w:color w:val="231F20"/>
          <w:szCs w:val="22"/>
        </w:rPr>
        <w:t>, Electric Lightwave, and</w:t>
      </w:r>
      <w:r w:rsidRPr="006519AD" w:rsidR="006519AD">
        <w:rPr>
          <w:color w:val="231F20"/>
          <w:szCs w:val="22"/>
        </w:rPr>
        <w:t xml:space="preserve"> </w:t>
      </w:r>
      <w:r w:rsidR="006519AD">
        <w:rPr>
          <w:color w:val="231F20"/>
          <w:szCs w:val="22"/>
        </w:rPr>
        <w:t>Allstream</w:t>
      </w:r>
      <w:r w:rsidR="006956A7">
        <w:rPr>
          <w:color w:val="231F20"/>
          <w:szCs w:val="22"/>
        </w:rPr>
        <w:t xml:space="preserve">, </w:t>
      </w:r>
      <w:r w:rsidR="007656E1">
        <w:rPr>
          <w:color w:val="231F20"/>
          <w:szCs w:val="22"/>
        </w:rPr>
        <w:t>together</w:t>
      </w:r>
      <w:r w:rsidR="005200CE">
        <w:rPr>
          <w:color w:val="231F20"/>
          <w:szCs w:val="22"/>
        </w:rPr>
        <w:t>,</w:t>
      </w:r>
      <w:r w:rsidR="006956A7">
        <w:rPr>
          <w:color w:val="231F20"/>
          <w:szCs w:val="22"/>
        </w:rPr>
        <w:t xml:space="preserve"> Licensees), and Front Range TopCo, Inc. (Front Range)</w:t>
      </w:r>
      <w:r w:rsidR="006956A7">
        <w:rPr>
          <w:szCs w:val="22"/>
        </w:rPr>
        <w:t xml:space="preserve"> </w:t>
      </w:r>
      <w:r w:rsidRPr="00FB3EDD" w:rsidR="001419AD">
        <w:rPr>
          <w:color w:val="231F20"/>
          <w:szCs w:val="22"/>
        </w:rPr>
        <w:t>(</w:t>
      </w:r>
      <w:r w:rsidR="006956A7">
        <w:rPr>
          <w:color w:val="231F20"/>
          <w:szCs w:val="22"/>
        </w:rPr>
        <w:t>Zayo</w:t>
      </w:r>
      <w:r w:rsidRPr="00FB3EDD" w:rsidR="001419AD">
        <w:rPr>
          <w:color w:val="231F20"/>
          <w:szCs w:val="22"/>
        </w:rPr>
        <w:t>,</w:t>
      </w:r>
      <w:r w:rsidR="006956A7">
        <w:rPr>
          <w:color w:val="231F20"/>
          <w:szCs w:val="22"/>
        </w:rPr>
        <w:t xml:space="preserve"> Licensees, and Front Range, collectively</w:t>
      </w:r>
      <w:r w:rsidR="000308A3">
        <w:rPr>
          <w:color w:val="231F20"/>
          <w:szCs w:val="22"/>
        </w:rPr>
        <w:t>,</w:t>
      </w:r>
      <w:r w:rsidRPr="00FB3EDD" w:rsidR="001419AD">
        <w:rPr>
          <w:color w:val="231F20"/>
          <w:szCs w:val="22"/>
        </w:rPr>
        <w:t xml:space="preserve"> Applicants), </w:t>
      </w:r>
      <w:r w:rsidRPr="007656E1" w:rsidR="007656E1">
        <w:rPr>
          <w:snapToGrid w:val="0"/>
          <w:kern w:val="28"/>
          <w:szCs w:val="22"/>
        </w:rPr>
        <w:t>pursuant to sections 214 and 310(d) of the Communications Act of 1934, as amended (Act),</w:t>
      </w:r>
      <w:r>
        <w:rPr>
          <w:rStyle w:val="FootnoteReference"/>
          <w:snapToGrid w:val="0"/>
          <w:kern w:val="28"/>
          <w:szCs w:val="22"/>
        </w:rPr>
        <w:footnoteReference w:id="3"/>
      </w:r>
      <w:r w:rsidRPr="007656E1" w:rsidR="007656E1">
        <w:rPr>
          <w:snapToGrid w:val="0"/>
          <w:kern w:val="28"/>
          <w:szCs w:val="22"/>
        </w:rPr>
        <w:t xml:space="preserve"> </w:t>
      </w:r>
      <w:r w:rsidR="00D035B5">
        <w:rPr>
          <w:color w:val="000000"/>
          <w:szCs w:val="22"/>
        </w:rPr>
        <w:t>the Cable Landing License Act of 1921,</w:t>
      </w:r>
      <w:r>
        <w:rPr>
          <w:rStyle w:val="FootnoteReference"/>
          <w:color w:val="000000"/>
          <w:szCs w:val="22"/>
        </w:rPr>
        <w:footnoteReference w:id="4"/>
      </w:r>
      <w:r w:rsidR="00D035B5">
        <w:rPr>
          <w:color w:val="000000"/>
          <w:szCs w:val="22"/>
        </w:rPr>
        <w:t xml:space="preserve"> </w:t>
      </w:r>
      <w:r w:rsidRPr="007656E1" w:rsidR="007656E1">
        <w:rPr>
          <w:snapToGrid w:val="0"/>
          <w:kern w:val="28"/>
          <w:szCs w:val="22"/>
        </w:rPr>
        <w:t xml:space="preserve">and sections </w:t>
      </w:r>
      <w:r w:rsidR="00D035B5">
        <w:rPr>
          <w:snapToGrid w:val="0"/>
          <w:kern w:val="28"/>
          <w:szCs w:val="22"/>
        </w:rPr>
        <w:t xml:space="preserve">1.767, </w:t>
      </w:r>
      <w:r w:rsidR="00BF05AA">
        <w:rPr>
          <w:snapToGrid w:val="0"/>
          <w:kern w:val="28"/>
          <w:szCs w:val="22"/>
        </w:rPr>
        <w:t xml:space="preserve">1.948, </w:t>
      </w:r>
      <w:r w:rsidRPr="007656E1" w:rsidR="007656E1">
        <w:rPr>
          <w:snapToGrid w:val="0"/>
          <w:kern w:val="28"/>
          <w:szCs w:val="22"/>
        </w:rPr>
        <w:t>63.03-04, 63.18, and 63.24 of the Commission’s rules</w:t>
      </w:r>
      <w:r w:rsidR="002015A7">
        <w:rPr>
          <w:snapToGrid w:val="0"/>
          <w:kern w:val="28"/>
          <w:szCs w:val="22"/>
        </w:rPr>
        <w:t>,</w:t>
      </w:r>
      <w:r>
        <w:rPr>
          <w:snapToGrid w:val="0"/>
          <w:kern w:val="28"/>
          <w:szCs w:val="22"/>
          <w:vertAlign w:val="superscript"/>
        </w:rPr>
        <w:footnoteReference w:id="5"/>
      </w:r>
      <w:r w:rsidRPr="00FB3EDD" w:rsidR="00681F18">
        <w:rPr>
          <w:szCs w:val="22"/>
        </w:rPr>
        <w:t xml:space="preserve"> requesting consent </w:t>
      </w:r>
      <w:r w:rsidR="00FA27FB">
        <w:rPr>
          <w:szCs w:val="22"/>
        </w:rPr>
        <w:t>for the</w:t>
      </w:r>
      <w:r w:rsidRPr="00FB3EDD" w:rsidR="00FB3EDD">
        <w:rPr>
          <w:szCs w:val="22"/>
        </w:rPr>
        <w:t xml:space="preserve"> </w:t>
      </w:r>
      <w:r w:rsidR="009831F8">
        <w:rPr>
          <w:szCs w:val="22"/>
        </w:rPr>
        <w:t>transfer</w:t>
      </w:r>
      <w:r w:rsidR="00FA27FB">
        <w:rPr>
          <w:szCs w:val="22"/>
        </w:rPr>
        <w:t xml:space="preserve"> of</w:t>
      </w:r>
      <w:r w:rsidR="009831F8">
        <w:rPr>
          <w:szCs w:val="22"/>
        </w:rPr>
        <w:t xml:space="preserve"> </w:t>
      </w:r>
      <w:r w:rsidRPr="00FB3EDD" w:rsidR="00FB3EDD">
        <w:rPr>
          <w:szCs w:val="22"/>
        </w:rPr>
        <w:t>control of</w:t>
      </w:r>
      <w:r w:rsidR="006956A7">
        <w:rPr>
          <w:szCs w:val="22"/>
        </w:rPr>
        <w:t xml:space="preserve"> </w:t>
      </w:r>
      <w:r w:rsidR="005E7171">
        <w:rPr>
          <w:szCs w:val="22"/>
        </w:rPr>
        <w:t xml:space="preserve">Zayo and </w:t>
      </w:r>
      <w:r w:rsidR="006956A7">
        <w:rPr>
          <w:szCs w:val="22"/>
        </w:rPr>
        <w:t>the Licensees to Front R</w:t>
      </w:r>
      <w:r w:rsidR="00115EE2">
        <w:rPr>
          <w:szCs w:val="22"/>
        </w:rPr>
        <w:t>ange</w:t>
      </w:r>
      <w:r w:rsidRPr="00A07085" w:rsidR="00A07085">
        <w:rPr>
          <w:szCs w:val="22"/>
        </w:rPr>
        <w:t>.</w:t>
      </w:r>
      <w:r>
        <w:rPr>
          <w:rStyle w:val="FootnoteReference"/>
          <w:color w:val="231F20"/>
          <w:szCs w:val="22"/>
        </w:rPr>
        <w:footnoteReference w:id="6"/>
      </w:r>
      <w:r w:rsidR="0046793A">
        <w:rPr>
          <w:szCs w:val="22"/>
        </w:rPr>
        <w:t xml:space="preserve">  </w:t>
      </w:r>
      <w:r w:rsidR="0050188C">
        <w:rPr>
          <w:szCs w:val="22"/>
        </w:rPr>
        <w:t xml:space="preserve">ZGL and Front Range </w:t>
      </w:r>
      <w:r w:rsidR="0046793A">
        <w:rPr>
          <w:szCs w:val="22"/>
        </w:rPr>
        <w:t xml:space="preserve">also filed a petition for declaratory ruling (Petition) to </w:t>
      </w:r>
      <w:r w:rsidR="0050188C">
        <w:rPr>
          <w:szCs w:val="22"/>
        </w:rPr>
        <w:t xml:space="preserve">permit </w:t>
      </w:r>
      <w:r w:rsidR="0046793A">
        <w:rPr>
          <w:szCs w:val="22"/>
        </w:rPr>
        <w:t xml:space="preserve">foreign </w:t>
      </w:r>
      <w:r w:rsidR="0050188C">
        <w:rPr>
          <w:szCs w:val="22"/>
        </w:rPr>
        <w:t xml:space="preserve">investment in </w:t>
      </w:r>
      <w:r w:rsidR="0046793A">
        <w:rPr>
          <w:szCs w:val="22"/>
        </w:rPr>
        <w:t>Zayo above the 25 percent benchmark in section 310(b)(4) of the Act</w:t>
      </w:r>
      <w:r w:rsidR="00D82CB0">
        <w:rPr>
          <w:szCs w:val="22"/>
        </w:rPr>
        <w:t xml:space="preserve"> </w:t>
      </w:r>
      <w:r w:rsidR="00D82CB0">
        <w:rPr>
          <w:color w:val="000000"/>
          <w:szCs w:val="22"/>
        </w:rPr>
        <w:t>and section 1.5000(a)(1) of the Commission’s rules.</w:t>
      </w:r>
      <w:r>
        <w:rPr>
          <w:rStyle w:val="FootnoteReference"/>
          <w:color w:val="000000"/>
          <w:szCs w:val="22"/>
        </w:rPr>
        <w:footnoteReference w:id="7"/>
      </w:r>
      <w:r w:rsidR="0046793A">
        <w:rPr>
          <w:szCs w:val="22"/>
        </w:rPr>
        <w:t xml:space="preserve"> </w:t>
      </w:r>
    </w:p>
    <w:p w:rsidR="004D2F8C" w:rsidP="00A07085">
      <w:pPr>
        <w:autoSpaceDE w:val="0"/>
        <w:autoSpaceDN w:val="0"/>
        <w:adjustRightInd w:val="0"/>
        <w:ind w:firstLine="720"/>
        <w:rPr>
          <w:szCs w:val="22"/>
        </w:rPr>
      </w:pPr>
    </w:p>
    <w:p w:rsidR="005F24AE" w:rsidP="006519AD">
      <w:pPr>
        <w:autoSpaceDE w:val="0"/>
        <w:autoSpaceDN w:val="0"/>
        <w:adjustRightInd w:val="0"/>
        <w:ind w:firstLine="720"/>
        <w:rPr>
          <w:szCs w:val="22"/>
        </w:rPr>
      </w:pPr>
      <w:r>
        <w:rPr>
          <w:szCs w:val="22"/>
        </w:rPr>
        <w:t xml:space="preserve">Zayo, a publicly traded Delaware </w:t>
      </w:r>
      <w:r w:rsidR="00277F1D">
        <w:rPr>
          <w:szCs w:val="22"/>
        </w:rPr>
        <w:t>holding company</w:t>
      </w:r>
      <w:r>
        <w:rPr>
          <w:szCs w:val="22"/>
        </w:rPr>
        <w:t xml:space="preserve">, </w:t>
      </w:r>
      <w:r w:rsidR="005200CE">
        <w:rPr>
          <w:szCs w:val="22"/>
        </w:rPr>
        <w:t xml:space="preserve">wholly owns Licensees, which are authorized to provide competitive local exchange and other services </w:t>
      </w:r>
      <w:r w:rsidR="001D3C4A">
        <w:rPr>
          <w:szCs w:val="22"/>
        </w:rPr>
        <w:t xml:space="preserve">in the District of Columbia and every state except Alaska.  </w:t>
      </w:r>
      <w:r w:rsidR="005200CE">
        <w:rPr>
          <w:szCs w:val="22"/>
        </w:rPr>
        <w:t xml:space="preserve">Licensees </w:t>
      </w:r>
      <w:r w:rsidR="00E33739">
        <w:rPr>
          <w:szCs w:val="22"/>
        </w:rPr>
        <w:t xml:space="preserve">serve </w:t>
      </w:r>
      <w:r w:rsidR="001D3C4A">
        <w:rPr>
          <w:szCs w:val="22"/>
        </w:rPr>
        <w:t>primarily carrier and e</w:t>
      </w:r>
      <w:r w:rsidR="005200CE">
        <w:rPr>
          <w:szCs w:val="22"/>
        </w:rPr>
        <w:t>nterprise</w:t>
      </w:r>
      <w:r w:rsidR="001D3C4A">
        <w:rPr>
          <w:szCs w:val="22"/>
        </w:rPr>
        <w:t xml:space="preserve"> customers requiring bandwidth-intensive services</w:t>
      </w:r>
      <w:r w:rsidR="00E33739">
        <w:rPr>
          <w:szCs w:val="22"/>
        </w:rPr>
        <w:t xml:space="preserve"> over regional and metropolitan fiber networks.  Licensees also hold international section 214 authority.</w:t>
      </w:r>
      <w:r w:rsidR="001D3C4A">
        <w:rPr>
          <w:szCs w:val="22"/>
        </w:rPr>
        <w:t xml:space="preserve"> </w:t>
      </w:r>
      <w:r w:rsidR="0046793A">
        <w:rPr>
          <w:szCs w:val="22"/>
        </w:rPr>
        <w:t xml:space="preserve"> Z</w:t>
      </w:r>
      <w:r w:rsidR="00607DDE">
        <w:rPr>
          <w:szCs w:val="22"/>
        </w:rPr>
        <w:t>GL</w:t>
      </w:r>
      <w:r w:rsidR="0046793A">
        <w:rPr>
          <w:szCs w:val="22"/>
        </w:rPr>
        <w:t xml:space="preserve"> is a licensee on the AmeriCan-1 submarine cable.</w:t>
      </w:r>
    </w:p>
    <w:p w:rsidR="00224FC0" w:rsidP="005F24AE">
      <w:pPr>
        <w:autoSpaceDE w:val="0"/>
        <w:autoSpaceDN w:val="0"/>
        <w:adjustRightInd w:val="0"/>
        <w:rPr>
          <w:szCs w:val="22"/>
        </w:rPr>
      </w:pPr>
    </w:p>
    <w:p w:rsidR="00224FC0" w:rsidP="001369D6">
      <w:pPr>
        <w:autoSpaceDE w:val="0"/>
        <w:autoSpaceDN w:val="0"/>
        <w:adjustRightInd w:val="0"/>
        <w:ind w:firstLine="720"/>
        <w:rPr>
          <w:szCs w:val="22"/>
        </w:rPr>
      </w:pPr>
      <w:r>
        <w:rPr>
          <w:szCs w:val="22"/>
        </w:rPr>
        <w:t xml:space="preserve">Front Range, a Delaware holding company, </w:t>
      </w:r>
      <w:r w:rsidR="001369D6">
        <w:rPr>
          <w:szCs w:val="22"/>
        </w:rPr>
        <w:t xml:space="preserve">was </w:t>
      </w:r>
      <w:r w:rsidRPr="00D9432D">
        <w:rPr>
          <w:szCs w:val="22"/>
        </w:rPr>
        <w:t>created for purposes of th</w:t>
      </w:r>
      <w:r>
        <w:rPr>
          <w:szCs w:val="22"/>
        </w:rPr>
        <w:t>e proposed t</w:t>
      </w:r>
      <w:r w:rsidRPr="00D9432D">
        <w:rPr>
          <w:szCs w:val="22"/>
        </w:rPr>
        <w:t>ransaction to aggregate the ownership of various investment and co-investment vehicles ultimately managed by (i) affiliates of EQT AB (EQT)</w:t>
      </w:r>
      <w:r w:rsidR="00522514">
        <w:rPr>
          <w:szCs w:val="22"/>
        </w:rPr>
        <w:t>, a Swedish investment firm,</w:t>
      </w:r>
      <w:r w:rsidRPr="00D9432D">
        <w:rPr>
          <w:szCs w:val="22"/>
        </w:rPr>
        <w:t xml:space="preserve"> and (ii) affiliates of Digital Colony GP, LLC (Digital Colony)</w:t>
      </w:r>
      <w:r w:rsidR="00522514">
        <w:rPr>
          <w:szCs w:val="22"/>
        </w:rPr>
        <w:t>, a Delaware investment firm</w:t>
      </w:r>
      <w:r w:rsidRPr="00D9432D">
        <w:rPr>
          <w:szCs w:val="22"/>
        </w:rPr>
        <w:t>.</w:t>
      </w:r>
      <w:r>
        <w:rPr>
          <w:rStyle w:val="FootnoteReference"/>
          <w:szCs w:val="22"/>
        </w:rPr>
        <w:footnoteReference w:id="8"/>
      </w:r>
      <w:r w:rsidR="00D74AFE">
        <w:rPr>
          <w:szCs w:val="22"/>
        </w:rPr>
        <w:t xml:space="preserve">  </w:t>
      </w:r>
      <w:r w:rsidR="001B01AF">
        <w:rPr>
          <w:szCs w:val="22"/>
        </w:rPr>
        <w:t xml:space="preserve">Front Range, through several intermediate holding companies, is indirectly wholly owned by Front Range JV, LP (JV LP), a Delaware entity. </w:t>
      </w:r>
      <w:r w:rsidR="005B25B5">
        <w:rPr>
          <w:szCs w:val="22"/>
        </w:rPr>
        <w:t xml:space="preserve"> JV LP, in turn, is held by a chain of U.S. and foreign investment entities ultimately controlled by EQT and Digital Colony.</w:t>
      </w:r>
      <w:r>
        <w:rPr>
          <w:rStyle w:val="FootnoteReference"/>
          <w:szCs w:val="22"/>
        </w:rPr>
        <w:footnoteReference w:id="9"/>
      </w:r>
      <w:r w:rsidRPr="00F6230C" w:rsidR="00F6230C">
        <w:rPr>
          <w:szCs w:val="22"/>
        </w:rPr>
        <w:t xml:space="preserve"> </w:t>
      </w:r>
      <w:r w:rsidR="00F6230C">
        <w:rPr>
          <w:szCs w:val="22"/>
        </w:rPr>
        <w:t xml:space="preserve"> </w:t>
      </w:r>
      <w:r w:rsidR="00D64860">
        <w:rPr>
          <w:szCs w:val="22"/>
        </w:rPr>
        <w:t>The general partner of JV LP is Front Range JV GP, LLC (JV GP), a Delaware entity</w:t>
      </w:r>
      <w:r w:rsidR="00CA78D0">
        <w:rPr>
          <w:szCs w:val="22"/>
        </w:rPr>
        <w:t xml:space="preserve">.  </w:t>
      </w:r>
      <w:r w:rsidR="00D64860">
        <w:rPr>
          <w:szCs w:val="22"/>
        </w:rPr>
        <w:t>EQT and Digital Colony will exercise control over Front Range through a board of directors of JV GP.</w:t>
      </w:r>
      <w:r>
        <w:rPr>
          <w:rStyle w:val="FootnoteReference"/>
          <w:szCs w:val="22"/>
        </w:rPr>
        <w:footnoteReference w:id="10"/>
      </w:r>
      <w:r w:rsidR="00D64860">
        <w:rPr>
          <w:szCs w:val="22"/>
        </w:rPr>
        <w:t xml:space="preserve">  </w:t>
      </w:r>
      <w:r w:rsidR="00F6230C">
        <w:rPr>
          <w:szCs w:val="22"/>
        </w:rPr>
        <w:t xml:space="preserve">Applicants state that, following the consummation of the transaction, </w:t>
      </w:r>
      <w:r w:rsidRPr="007B72DB" w:rsidR="00F6230C">
        <w:rPr>
          <w:szCs w:val="22"/>
        </w:rPr>
        <w:t>EQT Infrastructure IV Fund (EQT Fund)</w:t>
      </w:r>
      <w:r>
        <w:rPr>
          <w:rStyle w:val="FootnoteReference"/>
          <w:szCs w:val="22"/>
        </w:rPr>
        <w:footnoteReference w:id="11"/>
      </w:r>
      <w:r w:rsidRPr="007B72DB" w:rsidR="00F6230C">
        <w:rPr>
          <w:szCs w:val="22"/>
        </w:rPr>
        <w:t xml:space="preserve"> and the Digital Colony Partners, LP fund (DCP Fund)</w:t>
      </w:r>
      <w:r w:rsidR="00F6230C">
        <w:rPr>
          <w:szCs w:val="22"/>
        </w:rPr>
        <w:t>,</w:t>
      </w:r>
      <w:r>
        <w:rPr>
          <w:rStyle w:val="FootnoteReference"/>
          <w:szCs w:val="22"/>
        </w:rPr>
        <w:footnoteReference w:id="12"/>
      </w:r>
      <w:r w:rsidR="00F6230C">
        <w:rPr>
          <w:szCs w:val="22"/>
        </w:rPr>
        <w:t xml:space="preserve"> along with each of their co-investors, will each hold approximately 45.3 percent of</w:t>
      </w:r>
      <w:r w:rsidR="006B3B24">
        <w:rPr>
          <w:szCs w:val="22"/>
        </w:rPr>
        <w:t xml:space="preserve"> </w:t>
      </w:r>
      <w:r w:rsidR="006B3B24">
        <w:rPr>
          <w:szCs w:val="22"/>
        </w:rPr>
        <w:t>the</w:t>
      </w:r>
      <w:r w:rsidR="00F6230C">
        <w:rPr>
          <w:szCs w:val="22"/>
        </w:rPr>
        <w:t xml:space="preserve"> equity</w:t>
      </w:r>
      <w:r w:rsidR="006B3B24">
        <w:rPr>
          <w:szCs w:val="22"/>
        </w:rPr>
        <w:t xml:space="preserve"> of Zayo</w:t>
      </w:r>
      <w:r w:rsidR="00F6230C">
        <w:rPr>
          <w:szCs w:val="22"/>
        </w:rPr>
        <w:t>.</w:t>
      </w:r>
      <w:r w:rsidR="00EE75DA">
        <w:rPr>
          <w:szCs w:val="22"/>
        </w:rPr>
        <w:t xml:space="preserve">  Applicants state that they created the ownerships structure </w:t>
      </w:r>
      <w:r w:rsidR="00CA78D0">
        <w:rPr>
          <w:szCs w:val="22"/>
        </w:rPr>
        <w:t xml:space="preserve">in place </w:t>
      </w:r>
      <w:r w:rsidR="00EE75DA">
        <w:rPr>
          <w:szCs w:val="22"/>
        </w:rPr>
        <w:t>above JV LP to provide the flexibility for Z</w:t>
      </w:r>
      <w:r w:rsidR="00CA78D0">
        <w:rPr>
          <w:szCs w:val="22"/>
        </w:rPr>
        <w:t>a</w:t>
      </w:r>
      <w:r w:rsidR="00EE75DA">
        <w:rPr>
          <w:szCs w:val="22"/>
        </w:rPr>
        <w:t>yo to elect to be treated as a Real Estate Investment Trust for U.S. tax purposes.</w:t>
      </w:r>
      <w:r w:rsidR="00F6230C">
        <w:rPr>
          <w:szCs w:val="22"/>
        </w:rPr>
        <w:t xml:space="preserve">  </w:t>
      </w:r>
    </w:p>
    <w:p w:rsidR="00111189" w:rsidP="00111189">
      <w:pPr>
        <w:autoSpaceDE w:val="0"/>
        <w:autoSpaceDN w:val="0"/>
        <w:adjustRightInd w:val="0"/>
        <w:rPr>
          <w:sz w:val="24"/>
          <w:szCs w:val="24"/>
        </w:rPr>
      </w:pPr>
    </w:p>
    <w:p w:rsidR="00EF18E6" w:rsidP="00FD3EDA">
      <w:pPr>
        <w:autoSpaceDE w:val="0"/>
        <w:autoSpaceDN w:val="0"/>
        <w:adjustRightInd w:val="0"/>
        <w:ind w:firstLine="720"/>
        <w:rPr>
          <w:szCs w:val="22"/>
        </w:rPr>
      </w:pPr>
      <w:r w:rsidRPr="00111189">
        <w:rPr>
          <w:szCs w:val="22"/>
        </w:rPr>
        <w:t xml:space="preserve">Pursuant to the </w:t>
      </w:r>
      <w:r w:rsidR="00A3606F">
        <w:rPr>
          <w:szCs w:val="22"/>
        </w:rPr>
        <w:t xml:space="preserve">terms of the </w:t>
      </w:r>
      <w:r w:rsidRPr="00111189">
        <w:rPr>
          <w:szCs w:val="22"/>
        </w:rPr>
        <w:t>proposed</w:t>
      </w:r>
      <w:r w:rsidR="00A3606F">
        <w:rPr>
          <w:szCs w:val="22"/>
        </w:rPr>
        <w:t xml:space="preserve"> transaction, </w:t>
      </w:r>
      <w:r w:rsidR="005E7171">
        <w:rPr>
          <w:szCs w:val="22"/>
        </w:rPr>
        <w:t xml:space="preserve">Zayo will be merged with and into </w:t>
      </w:r>
      <w:r w:rsidRPr="005E7171" w:rsidR="005E7171">
        <w:rPr>
          <w:szCs w:val="22"/>
        </w:rPr>
        <w:t>Front Range BidCo, Inc. (Merger Sub)</w:t>
      </w:r>
      <w:r w:rsidR="00D07E66">
        <w:rPr>
          <w:szCs w:val="22"/>
        </w:rPr>
        <w:t>, a</w:t>
      </w:r>
      <w:r w:rsidR="004778DF">
        <w:rPr>
          <w:szCs w:val="22"/>
        </w:rPr>
        <w:t xml:space="preserve"> Delaware </w:t>
      </w:r>
      <w:r w:rsidR="00D07E66">
        <w:rPr>
          <w:szCs w:val="22"/>
        </w:rPr>
        <w:t xml:space="preserve">entity </w:t>
      </w:r>
      <w:r w:rsidR="00EC452C">
        <w:rPr>
          <w:szCs w:val="22"/>
        </w:rPr>
        <w:t xml:space="preserve">created for the purposes of </w:t>
      </w:r>
      <w:r w:rsidR="00585942">
        <w:rPr>
          <w:szCs w:val="22"/>
        </w:rPr>
        <w:t>effectuating the transaction</w:t>
      </w:r>
      <w:r w:rsidR="00EC452C">
        <w:rPr>
          <w:szCs w:val="22"/>
        </w:rPr>
        <w:t>,</w:t>
      </w:r>
      <w:r w:rsidR="005E7171">
        <w:rPr>
          <w:szCs w:val="22"/>
        </w:rPr>
        <w:t xml:space="preserve"> </w:t>
      </w:r>
      <w:r w:rsidRPr="005E7171" w:rsidR="005E7171">
        <w:rPr>
          <w:szCs w:val="22"/>
        </w:rPr>
        <w:t>with Zayo continuing its existence as the surviving corporation</w:t>
      </w:r>
      <w:r w:rsidR="005E7171">
        <w:rPr>
          <w:szCs w:val="22"/>
        </w:rPr>
        <w:t xml:space="preserve">.  </w:t>
      </w:r>
      <w:r w:rsidRPr="00FD3EDA" w:rsidR="00FD3EDA">
        <w:rPr>
          <w:szCs w:val="22"/>
        </w:rPr>
        <w:t xml:space="preserve">Zayo </w:t>
      </w:r>
      <w:r w:rsidR="007B32EB">
        <w:rPr>
          <w:szCs w:val="22"/>
        </w:rPr>
        <w:t>will</w:t>
      </w:r>
      <w:r w:rsidR="00585942">
        <w:rPr>
          <w:szCs w:val="22"/>
        </w:rPr>
        <w:t xml:space="preserve"> </w:t>
      </w:r>
      <w:r w:rsidRPr="00FD3EDA" w:rsidR="00FD3EDA">
        <w:rPr>
          <w:szCs w:val="22"/>
        </w:rPr>
        <w:t>transition from a publicly-traded company to a private company</w:t>
      </w:r>
      <w:r w:rsidR="00FD3EDA">
        <w:rPr>
          <w:szCs w:val="22"/>
        </w:rPr>
        <w:t xml:space="preserve">, </w:t>
      </w:r>
      <w:r w:rsidR="00CA78D0">
        <w:rPr>
          <w:szCs w:val="22"/>
        </w:rPr>
        <w:t xml:space="preserve">and </w:t>
      </w:r>
      <w:r w:rsidR="00585942">
        <w:rPr>
          <w:szCs w:val="22"/>
        </w:rPr>
        <w:t>at the closing of the transaction, Licensees will become wholly-owned indirect subsidiaries of Front Range</w:t>
      </w:r>
      <w:r w:rsidR="005E7171">
        <w:rPr>
          <w:szCs w:val="22"/>
        </w:rPr>
        <w:t xml:space="preserve">.  </w:t>
      </w:r>
    </w:p>
    <w:p w:rsidR="00EF18E6" w:rsidP="00FD3EDA">
      <w:pPr>
        <w:autoSpaceDE w:val="0"/>
        <w:autoSpaceDN w:val="0"/>
        <w:adjustRightInd w:val="0"/>
        <w:ind w:firstLine="720"/>
        <w:rPr>
          <w:szCs w:val="22"/>
        </w:rPr>
      </w:pPr>
    </w:p>
    <w:p w:rsidR="002710BB" w:rsidRPr="00111189" w:rsidP="00FD3EDA">
      <w:pPr>
        <w:autoSpaceDE w:val="0"/>
        <w:autoSpaceDN w:val="0"/>
        <w:adjustRightInd w:val="0"/>
        <w:ind w:firstLine="720"/>
        <w:rPr>
          <w:szCs w:val="22"/>
        </w:rPr>
      </w:pPr>
      <w:r w:rsidRPr="00F55292">
        <w:rPr>
          <w:szCs w:val="22"/>
        </w:rPr>
        <w:t xml:space="preserve">Applicants assert </w:t>
      </w:r>
      <w:r>
        <w:rPr>
          <w:szCs w:val="22"/>
        </w:rPr>
        <w:t>that a grant of the application</w:t>
      </w:r>
      <w:r w:rsidR="007C1215">
        <w:rPr>
          <w:szCs w:val="22"/>
        </w:rPr>
        <w:t>s</w:t>
      </w:r>
      <w:r w:rsidRPr="00F55292">
        <w:rPr>
          <w:szCs w:val="22"/>
        </w:rPr>
        <w:t xml:space="preserve"> will serve the public interest, convenience, and necessity.  </w:t>
      </w:r>
    </w:p>
    <w:p w:rsidR="00E53381" w:rsidRPr="004D082B" w:rsidP="002710BB">
      <w:pPr>
        <w:autoSpaceDE w:val="0"/>
        <w:autoSpaceDN w:val="0"/>
        <w:adjustRightInd w:val="0"/>
        <w:rPr>
          <w:szCs w:val="22"/>
        </w:rPr>
      </w:pPr>
    </w:p>
    <w:p w:rsidR="0009631D" w:rsidRPr="0009631D" w:rsidP="0009631D">
      <w:pPr>
        <w:rPr>
          <w:color w:val="000000"/>
          <w:szCs w:val="22"/>
        </w:rPr>
      </w:pPr>
      <w:r w:rsidRPr="0009631D">
        <w:rPr>
          <w:b/>
          <w:color w:val="000000"/>
          <w:szCs w:val="22"/>
          <w:u w:val="single"/>
        </w:rPr>
        <w:t>GENERAL INFORMATION</w:t>
      </w:r>
    </w:p>
    <w:p w:rsidR="0009631D" w:rsidRPr="0009631D" w:rsidP="0009631D">
      <w:pPr>
        <w:rPr>
          <w:color w:val="000000"/>
          <w:szCs w:val="22"/>
        </w:rPr>
      </w:pPr>
    </w:p>
    <w:p w:rsidR="0009631D" w:rsidRPr="0009631D" w:rsidP="0009631D">
      <w:pPr>
        <w:ind w:firstLine="720"/>
        <w:rPr>
          <w:color w:val="000000"/>
          <w:szCs w:val="22"/>
        </w:rPr>
      </w:pPr>
      <w:r w:rsidRPr="0009631D">
        <w:rPr>
          <w:color w:val="000000"/>
          <w:szCs w:val="22"/>
        </w:rPr>
        <w:t>The application</w:t>
      </w:r>
      <w:r w:rsidR="00585942">
        <w:rPr>
          <w:color w:val="000000"/>
          <w:szCs w:val="22"/>
        </w:rPr>
        <w:t>s</w:t>
      </w:r>
      <w:r w:rsidRPr="0009631D">
        <w:rPr>
          <w:color w:val="000000"/>
          <w:szCs w:val="22"/>
        </w:rPr>
        <w:t xml:space="preserve"> identified herein ha</w:t>
      </w:r>
      <w:r w:rsidR="00585942">
        <w:rPr>
          <w:color w:val="000000"/>
          <w:szCs w:val="22"/>
        </w:rPr>
        <w:t>ve</w:t>
      </w:r>
      <w:r w:rsidRPr="0009631D">
        <w:rPr>
          <w:color w:val="000000"/>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  </w:t>
      </w:r>
    </w:p>
    <w:p w:rsidR="0009631D" w:rsidRPr="0009631D" w:rsidP="0009631D">
      <w:pPr>
        <w:rPr>
          <w:color w:val="000000"/>
          <w:szCs w:val="22"/>
        </w:rPr>
      </w:pPr>
    </w:p>
    <w:p w:rsidR="0009631D" w:rsidRPr="0009631D" w:rsidP="0009631D">
      <w:pPr>
        <w:ind w:firstLine="360"/>
        <w:rPr>
          <w:color w:val="000000"/>
          <w:szCs w:val="22"/>
        </w:rPr>
      </w:pPr>
      <w:r w:rsidRPr="0009631D">
        <w:rPr>
          <w:color w:val="000000"/>
          <w:szCs w:val="22"/>
        </w:rPr>
        <w:t xml:space="preserve">Interested parties may file comments and petitions </w:t>
      </w:r>
      <w:r w:rsidRPr="0009631D">
        <w:rPr>
          <w:b/>
          <w:color w:val="000000"/>
          <w:szCs w:val="22"/>
        </w:rPr>
        <w:t>on or</w:t>
      </w:r>
      <w:r w:rsidRPr="0009631D">
        <w:rPr>
          <w:color w:val="000000"/>
          <w:szCs w:val="22"/>
        </w:rPr>
        <w:t xml:space="preserve"> </w:t>
      </w:r>
      <w:r w:rsidRPr="0009631D">
        <w:rPr>
          <w:b/>
          <w:color w:val="000000"/>
          <w:szCs w:val="22"/>
        </w:rPr>
        <w:t xml:space="preserve">before </w:t>
      </w:r>
      <w:r>
        <w:rPr>
          <w:b/>
          <w:color w:val="000000"/>
          <w:szCs w:val="22"/>
        </w:rPr>
        <w:t>Ju</w:t>
      </w:r>
      <w:r w:rsidR="00DE3DEA">
        <w:rPr>
          <w:b/>
          <w:color w:val="000000"/>
          <w:szCs w:val="22"/>
        </w:rPr>
        <w:t xml:space="preserve">ly </w:t>
      </w:r>
      <w:r w:rsidR="00EB3FED">
        <w:rPr>
          <w:b/>
          <w:color w:val="000000"/>
          <w:szCs w:val="22"/>
        </w:rPr>
        <w:t>1</w:t>
      </w:r>
      <w:r w:rsidR="00CB0686">
        <w:rPr>
          <w:b/>
          <w:color w:val="000000"/>
          <w:szCs w:val="22"/>
        </w:rPr>
        <w:t>9</w:t>
      </w:r>
      <w:r w:rsidRPr="0009631D">
        <w:rPr>
          <w:b/>
          <w:color w:val="000000"/>
          <w:szCs w:val="22"/>
        </w:rPr>
        <w:t>, 2019,</w:t>
      </w:r>
      <w:r w:rsidRPr="0009631D">
        <w:rPr>
          <w:color w:val="000000"/>
          <w:szCs w:val="22"/>
        </w:rPr>
        <w:t xml:space="preserve"> and reply comments or oppositions to petitions </w:t>
      </w:r>
      <w:r w:rsidRPr="0009631D">
        <w:rPr>
          <w:b/>
          <w:color w:val="000000"/>
          <w:szCs w:val="22"/>
        </w:rPr>
        <w:t xml:space="preserve">on or before </w:t>
      </w:r>
      <w:r>
        <w:rPr>
          <w:b/>
          <w:color w:val="000000"/>
          <w:szCs w:val="22"/>
        </w:rPr>
        <w:t>Ju</w:t>
      </w:r>
      <w:r w:rsidR="00DE3DEA">
        <w:rPr>
          <w:b/>
          <w:color w:val="000000"/>
          <w:szCs w:val="22"/>
        </w:rPr>
        <w:t xml:space="preserve">ly </w:t>
      </w:r>
      <w:r w:rsidR="00EB3FED">
        <w:rPr>
          <w:b/>
          <w:color w:val="000000"/>
          <w:szCs w:val="22"/>
        </w:rPr>
        <w:t>2</w:t>
      </w:r>
      <w:r w:rsidR="00CB0686">
        <w:rPr>
          <w:b/>
          <w:color w:val="000000"/>
          <w:szCs w:val="22"/>
        </w:rPr>
        <w:t>6</w:t>
      </w:r>
      <w:r w:rsidRPr="0009631D">
        <w:rPr>
          <w:b/>
          <w:color w:val="000000"/>
          <w:szCs w:val="22"/>
        </w:rPr>
        <w:t>, 2019</w:t>
      </w:r>
      <w:r w:rsidRPr="0009631D">
        <w:rPr>
          <w:color w:val="000000"/>
          <w:szCs w:val="22"/>
        </w:rPr>
        <w:t>.  Comments may be filed using the Commission’s Electronic Comment Filing System (ECFS) or by paper.  All filings must be addressed to the Commission’s Secretary, Office of the Secretary, Federal Communications Commission.</w:t>
      </w:r>
    </w:p>
    <w:p w:rsidR="0009631D" w:rsidRPr="0009631D" w:rsidP="0009631D">
      <w:pPr>
        <w:rPr>
          <w:color w:val="000000"/>
          <w:szCs w:val="22"/>
        </w:rPr>
      </w:pPr>
      <w:r w:rsidRPr="0009631D">
        <w:rPr>
          <w:color w:val="000000"/>
          <w:szCs w:val="22"/>
        </w:rPr>
        <w:t> </w:t>
      </w:r>
    </w:p>
    <w:p w:rsidR="0009631D" w:rsidRPr="0009631D" w:rsidP="0009631D">
      <w:pPr>
        <w:numPr>
          <w:ilvl w:val="0"/>
          <w:numId w:val="20"/>
        </w:numPr>
        <w:rPr>
          <w:color w:val="000000"/>
          <w:szCs w:val="22"/>
        </w:rPr>
      </w:pPr>
      <w:r w:rsidRPr="0009631D">
        <w:rPr>
          <w:color w:val="000000"/>
          <w:szCs w:val="22"/>
        </w:rPr>
        <w:t>Electronic Filers:  Comments may be filed electronically by accessing ECFS at </w:t>
      </w:r>
      <w:hyperlink r:id="rId8" w:history="1">
        <w:r w:rsidRPr="0009631D">
          <w:rPr>
            <w:rStyle w:val="Hyperlink"/>
            <w:szCs w:val="22"/>
          </w:rPr>
          <w:t>http://apps.fcc.gov/ecfs/</w:t>
        </w:r>
      </w:hyperlink>
      <w:r w:rsidRPr="0009631D">
        <w:rPr>
          <w:color w:val="000000"/>
          <w:szCs w:val="22"/>
        </w:rPr>
        <w:t>.</w:t>
      </w:r>
    </w:p>
    <w:p w:rsidR="0009631D" w:rsidRPr="0009631D" w:rsidP="0009631D">
      <w:pPr>
        <w:rPr>
          <w:color w:val="000000"/>
          <w:szCs w:val="22"/>
        </w:rPr>
      </w:pPr>
    </w:p>
    <w:p w:rsidR="0009631D" w:rsidRPr="0009631D" w:rsidP="0009631D">
      <w:pPr>
        <w:numPr>
          <w:ilvl w:val="0"/>
          <w:numId w:val="21"/>
        </w:numPr>
        <w:rPr>
          <w:color w:val="000000"/>
          <w:szCs w:val="22"/>
        </w:rPr>
      </w:pPr>
      <w:r w:rsidRPr="0009631D">
        <w:rPr>
          <w:color w:val="000000"/>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09631D" w:rsidRPr="0009631D" w:rsidP="0009631D">
      <w:pPr>
        <w:rPr>
          <w:color w:val="000000"/>
          <w:szCs w:val="22"/>
        </w:rPr>
      </w:pPr>
    </w:p>
    <w:p w:rsidR="0009631D" w:rsidRPr="0009631D" w:rsidP="0009631D">
      <w:pPr>
        <w:numPr>
          <w:ilvl w:val="1"/>
          <w:numId w:val="21"/>
        </w:numPr>
        <w:rPr>
          <w:color w:val="000000"/>
          <w:szCs w:val="22"/>
        </w:rPr>
      </w:pPr>
      <w:r w:rsidRPr="0009631D">
        <w:rPr>
          <w:color w:val="000000"/>
          <w:szCs w:val="22"/>
        </w:rPr>
        <w:t>All hand-delivered or messenger-delivered paper filings for the Commission’s Secretary must be delivered to FCC Headquarters at 445 12</w:t>
      </w:r>
      <w:r w:rsidRPr="0009631D">
        <w:rPr>
          <w:color w:val="000000"/>
          <w:szCs w:val="22"/>
          <w:vertAlign w:val="superscript"/>
        </w:rPr>
        <w:t>th</w:t>
      </w:r>
      <w:r w:rsidRPr="0009631D">
        <w:rPr>
          <w:color w:val="000000"/>
          <w:szCs w:val="22"/>
        </w:rPr>
        <w:t> St., SW, Room TW-A325, Washington, DC, 20554.  The filing hours are 8:00 a.m. to 7:00 p.m.  All hand deliveries must be held together with rubber bands or fasteners.  All envelopes and boxes must be disposed of before entering the building. </w:t>
      </w:r>
    </w:p>
    <w:p w:rsidR="0009631D" w:rsidRPr="0009631D" w:rsidP="0009631D">
      <w:pPr>
        <w:rPr>
          <w:color w:val="000000"/>
          <w:szCs w:val="22"/>
        </w:rPr>
      </w:pPr>
    </w:p>
    <w:p w:rsidR="0009631D" w:rsidRPr="0009631D" w:rsidP="0009631D">
      <w:pPr>
        <w:numPr>
          <w:ilvl w:val="1"/>
          <w:numId w:val="21"/>
        </w:numPr>
        <w:rPr>
          <w:color w:val="000000"/>
          <w:szCs w:val="22"/>
        </w:rPr>
      </w:pPr>
      <w:r w:rsidRPr="0009631D">
        <w:rPr>
          <w:color w:val="000000"/>
          <w:szCs w:val="22"/>
        </w:rPr>
        <w:t>Commercial overnight mail (other than U.S. Postal Service Express Mail and Priority Mail) must be sent to 9050 Junction Drive, Annapolis Junction, MD, 20701.</w:t>
      </w:r>
    </w:p>
    <w:p w:rsidR="0009631D" w:rsidRPr="0009631D" w:rsidP="0009631D">
      <w:pPr>
        <w:rPr>
          <w:color w:val="000000"/>
          <w:szCs w:val="22"/>
        </w:rPr>
      </w:pPr>
    </w:p>
    <w:p w:rsidR="0009631D" w:rsidRPr="0009631D" w:rsidP="0009631D">
      <w:pPr>
        <w:numPr>
          <w:ilvl w:val="1"/>
          <w:numId w:val="21"/>
        </w:numPr>
        <w:rPr>
          <w:color w:val="000000"/>
          <w:szCs w:val="22"/>
        </w:rPr>
      </w:pPr>
      <w:r w:rsidRPr="0009631D">
        <w:rPr>
          <w:color w:val="000000"/>
          <w:szCs w:val="22"/>
        </w:rPr>
        <w:t>U.S. Postal Service first-class, Express, and Priority mail must be addressed to 445 12</w:t>
      </w:r>
      <w:r w:rsidRPr="0009631D">
        <w:rPr>
          <w:color w:val="000000"/>
          <w:szCs w:val="22"/>
          <w:vertAlign w:val="superscript"/>
        </w:rPr>
        <w:t>th</w:t>
      </w:r>
      <w:r w:rsidRPr="0009631D">
        <w:rPr>
          <w:color w:val="000000"/>
          <w:szCs w:val="22"/>
        </w:rPr>
        <w:t> Street, SW, Washington DC, 20554.</w:t>
      </w:r>
    </w:p>
    <w:p w:rsidR="0009631D" w:rsidRPr="0009631D" w:rsidP="0009631D">
      <w:pPr>
        <w:rPr>
          <w:color w:val="000000"/>
          <w:szCs w:val="22"/>
        </w:rPr>
      </w:pPr>
      <w:r w:rsidRPr="0009631D">
        <w:rPr>
          <w:color w:val="000000"/>
          <w:szCs w:val="22"/>
        </w:rPr>
        <w:t> </w:t>
      </w:r>
    </w:p>
    <w:p w:rsidR="0009631D" w:rsidRPr="0009631D" w:rsidP="0009631D">
      <w:pPr>
        <w:ind w:firstLine="720"/>
        <w:rPr>
          <w:color w:val="000000"/>
          <w:szCs w:val="22"/>
        </w:rPr>
      </w:pPr>
      <w:r w:rsidRPr="0009631D">
        <w:rPr>
          <w:color w:val="000000"/>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09631D" w:rsidRPr="0009631D" w:rsidP="0009631D">
      <w:pPr>
        <w:rPr>
          <w:color w:val="000000"/>
          <w:szCs w:val="22"/>
        </w:rPr>
      </w:pPr>
    </w:p>
    <w:p w:rsidR="0009631D" w:rsidRPr="0009631D" w:rsidP="0009631D">
      <w:pPr>
        <w:rPr>
          <w:b/>
          <w:color w:val="000000"/>
          <w:szCs w:val="22"/>
        </w:rPr>
      </w:pPr>
      <w:r w:rsidRPr="0009631D">
        <w:rPr>
          <w:b/>
          <w:color w:val="000000"/>
          <w:szCs w:val="22"/>
        </w:rPr>
        <w:t>In addition, e-mail one copy of each pleading to each of the following:</w:t>
      </w:r>
    </w:p>
    <w:p w:rsidR="0009631D" w:rsidRPr="0009631D" w:rsidP="0009631D">
      <w:pPr>
        <w:rPr>
          <w:color w:val="000000"/>
          <w:szCs w:val="22"/>
        </w:rPr>
      </w:pPr>
    </w:p>
    <w:p w:rsidR="0009631D" w:rsidRPr="0009631D" w:rsidP="0009631D">
      <w:pPr>
        <w:numPr>
          <w:ilvl w:val="0"/>
          <w:numId w:val="18"/>
        </w:numPr>
        <w:rPr>
          <w:color w:val="000000"/>
          <w:szCs w:val="22"/>
        </w:rPr>
      </w:pPr>
      <w:r w:rsidRPr="0009631D">
        <w:rPr>
          <w:color w:val="000000"/>
          <w:szCs w:val="22"/>
        </w:rPr>
        <w:t xml:space="preserve">Gregory Kwan, Competition Policy Division, Wireline Competition Bureau, </w:t>
      </w:r>
      <w:hyperlink r:id="rId9" w:history="1">
        <w:r w:rsidRPr="0009631D">
          <w:rPr>
            <w:rStyle w:val="Hyperlink"/>
            <w:szCs w:val="22"/>
          </w:rPr>
          <w:t>gregory.kwan@fcc.gov</w:t>
        </w:r>
      </w:hyperlink>
      <w:r w:rsidRPr="0009631D">
        <w:rPr>
          <w:color w:val="000000"/>
          <w:szCs w:val="22"/>
        </w:rPr>
        <w:t xml:space="preserve">; </w:t>
      </w:r>
    </w:p>
    <w:p w:rsidR="0009631D" w:rsidRPr="0009631D" w:rsidP="0009631D">
      <w:pPr>
        <w:rPr>
          <w:color w:val="000000"/>
          <w:szCs w:val="22"/>
        </w:rPr>
      </w:pPr>
    </w:p>
    <w:p w:rsidR="0009631D" w:rsidRPr="0009631D" w:rsidP="0009631D">
      <w:pPr>
        <w:numPr>
          <w:ilvl w:val="0"/>
          <w:numId w:val="18"/>
        </w:numPr>
        <w:rPr>
          <w:color w:val="000000"/>
          <w:szCs w:val="22"/>
        </w:rPr>
      </w:pPr>
      <w:bookmarkStart w:id="6" w:name="_Hlk520384977"/>
      <w:r w:rsidRPr="0009631D">
        <w:rPr>
          <w:color w:val="000000"/>
          <w:szCs w:val="22"/>
        </w:rPr>
        <w:t>David Krech</w:t>
      </w:r>
      <w:r w:rsidR="0022664E">
        <w:rPr>
          <w:color w:val="000000"/>
          <w:szCs w:val="22"/>
        </w:rPr>
        <w:t xml:space="preserve"> and Sumita Mukhoty</w:t>
      </w:r>
      <w:r w:rsidRPr="0009631D">
        <w:rPr>
          <w:color w:val="000000"/>
          <w:szCs w:val="22"/>
        </w:rPr>
        <w:t xml:space="preserve">, International Bureau; </w:t>
      </w:r>
      <w:hyperlink r:id="rId10" w:history="1">
        <w:r w:rsidRPr="0009631D">
          <w:rPr>
            <w:rStyle w:val="Hyperlink"/>
            <w:szCs w:val="22"/>
          </w:rPr>
          <w:t>david.krech@fcc.gov</w:t>
        </w:r>
      </w:hyperlink>
      <w:r w:rsidRPr="0009631D">
        <w:rPr>
          <w:color w:val="000000"/>
          <w:szCs w:val="22"/>
        </w:rPr>
        <w:t xml:space="preserve">; </w:t>
      </w:r>
      <w:r w:rsidR="0022664E">
        <w:rPr>
          <w:color w:val="000000"/>
          <w:szCs w:val="22"/>
        </w:rPr>
        <w:t>sumita.mukhoty@fcc.gov;</w:t>
      </w:r>
    </w:p>
    <w:p w:rsidR="0009631D" w:rsidRPr="0009631D" w:rsidP="0009631D">
      <w:pPr>
        <w:rPr>
          <w:color w:val="000000"/>
          <w:szCs w:val="22"/>
        </w:rPr>
      </w:pPr>
    </w:p>
    <w:p w:rsidR="0009631D" w:rsidRPr="0009631D" w:rsidP="0009631D">
      <w:pPr>
        <w:numPr>
          <w:ilvl w:val="0"/>
          <w:numId w:val="18"/>
        </w:numPr>
        <w:rPr>
          <w:color w:val="000000"/>
          <w:szCs w:val="22"/>
        </w:rPr>
      </w:pPr>
      <w:r>
        <w:rPr>
          <w:color w:val="000000"/>
          <w:szCs w:val="22"/>
        </w:rPr>
        <w:t xml:space="preserve">Linda Ray, </w:t>
      </w:r>
      <w:r w:rsidR="00826D0B">
        <w:rPr>
          <w:color w:val="000000"/>
          <w:szCs w:val="22"/>
        </w:rPr>
        <w:t xml:space="preserve">Broadband Division, </w:t>
      </w:r>
      <w:r>
        <w:rPr>
          <w:color w:val="000000"/>
          <w:szCs w:val="22"/>
        </w:rPr>
        <w:t xml:space="preserve">Wireless </w:t>
      </w:r>
      <w:r w:rsidR="00826D0B">
        <w:rPr>
          <w:color w:val="000000"/>
          <w:szCs w:val="22"/>
        </w:rPr>
        <w:t xml:space="preserve">Telecommunications </w:t>
      </w:r>
      <w:r>
        <w:rPr>
          <w:color w:val="000000"/>
          <w:szCs w:val="22"/>
        </w:rPr>
        <w:t>Bureau</w:t>
      </w:r>
      <w:r w:rsidRPr="0009631D">
        <w:rPr>
          <w:color w:val="000000"/>
          <w:szCs w:val="22"/>
        </w:rPr>
        <w:t xml:space="preserve">; </w:t>
      </w:r>
      <w:hyperlink r:id="rId11" w:history="1">
        <w:r w:rsidRPr="006D71A2" w:rsidR="00332E1C">
          <w:rPr>
            <w:rStyle w:val="Hyperlink"/>
            <w:szCs w:val="22"/>
          </w:rPr>
          <w:t>linda.ray@fcc.gov</w:t>
        </w:r>
      </w:hyperlink>
      <w:r w:rsidR="00332E1C">
        <w:rPr>
          <w:color w:val="000000"/>
          <w:szCs w:val="22"/>
        </w:rPr>
        <w:t xml:space="preserve">; </w:t>
      </w:r>
      <w:r w:rsidRPr="0009631D">
        <w:rPr>
          <w:color w:val="000000"/>
          <w:szCs w:val="22"/>
        </w:rPr>
        <w:t>and</w:t>
      </w:r>
    </w:p>
    <w:bookmarkEnd w:id="6"/>
    <w:p w:rsidR="0009631D" w:rsidRPr="0009631D" w:rsidP="0009631D">
      <w:pPr>
        <w:rPr>
          <w:color w:val="000000"/>
          <w:szCs w:val="22"/>
        </w:rPr>
      </w:pPr>
    </w:p>
    <w:p w:rsidR="0009631D" w:rsidRPr="0009631D" w:rsidP="0009631D">
      <w:pPr>
        <w:numPr>
          <w:ilvl w:val="0"/>
          <w:numId w:val="18"/>
        </w:numPr>
        <w:rPr>
          <w:color w:val="000000"/>
          <w:szCs w:val="22"/>
        </w:rPr>
      </w:pPr>
      <w:r w:rsidRPr="0009631D">
        <w:rPr>
          <w:color w:val="000000"/>
          <w:szCs w:val="22"/>
        </w:rPr>
        <w:t xml:space="preserve">Jim Bird, Office of General Counsel, </w:t>
      </w:r>
      <w:hyperlink r:id="rId12" w:history="1">
        <w:r w:rsidRPr="0009631D">
          <w:rPr>
            <w:rStyle w:val="Hyperlink"/>
            <w:szCs w:val="22"/>
          </w:rPr>
          <w:t>jim.bird@fcc.gov</w:t>
        </w:r>
      </w:hyperlink>
      <w:r w:rsidRPr="0009631D">
        <w:rPr>
          <w:color w:val="000000"/>
          <w:szCs w:val="22"/>
        </w:rPr>
        <w:t>.</w:t>
      </w:r>
    </w:p>
    <w:p w:rsidR="0009631D" w:rsidRPr="0009631D" w:rsidP="0009631D">
      <w:pPr>
        <w:rPr>
          <w:color w:val="000000"/>
          <w:szCs w:val="22"/>
        </w:rPr>
      </w:pPr>
    </w:p>
    <w:p w:rsidR="0009631D" w:rsidRPr="0009631D" w:rsidP="0009631D">
      <w:pPr>
        <w:ind w:firstLine="360"/>
        <w:rPr>
          <w:color w:val="000000"/>
          <w:szCs w:val="22"/>
        </w:rPr>
      </w:pPr>
      <w:r w:rsidRPr="0009631D">
        <w:rPr>
          <w:color w:val="000000"/>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09631D" w:rsidRPr="0009631D" w:rsidP="0009631D">
      <w:pPr>
        <w:rPr>
          <w:color w:val="000000"/>
          <w:szCs w:val="22"/>
        </w:rPr>
      </w:pPr>
    </w:p>
    <w:p w:rsidR="0009631D" w:rsidRPr="0009631D" w:rsidP="0009631D">
      <w:pPr>
        <w:ind w:firstLine="720"/>
        <w:rPr>
          <w:color w:val="000000"/>
          <w:szCs w:val="22"/>
        </w:rPr>
      </w:pPr>
      <w:r w:rsidRPr="0009631D">
        <w:rPr>
          <w:color w:val="000000"/>
          <w:szCs w:val="22"/>
        </w:rPr>
        <w:t xml:space="preserve">The proceeding in this Notice shall be treated as a “permit-but-disclose” proceeding in accordance with the Commission’s </w:t>
      </w:r>
      <w:r w:rsidRPr="0009631D">
        <w:rPr>
          <w:i/>
          <w:color w:val="000000"/>
          <w:szCs w:val="22"/>
        </w:rPr>
        <w:t>ex parte</w:t>
      </w:r>
      <w:r w:rsidRPr="0009631D">
        <w:rPr>
          <w:color w:val="000000"/>
          <w:szCs w:val="22"/>
        </w:rPr>
        <w:t xml:space="preserve"> rules.  Persons making </w:t>
      </w:r>
      <w:r w:rsidRPr="0009631D">
        <w:rPr>
          <w:i/>
          <w:color w:val="000000"/>
          <w:szCs w:val="22"/>
        </w:rPr>
        <w:t>ex parte</w:t>
      </w:r>
      <w:r w:rsidRPr="0009631D">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9631D">
        <w:rPr>
          <w:i/>
          <w:color w:val="000000"/>
          <w:szCs w:val="22"/>
        </w:rPr>
        <w:t>ex parte</w:t>
      </w:r>
      <w:r w:rsidRPr="0009631D">
        <w:rPr>
          <w:color w:val="000000"/>
          <w:szCs w:val="22"/>
        </w:rPr>
        <w:t xml:space="preserve"> presentations are reminded that memoranda summarizing the presentation must (1) list all persons attending or otherwise participating in the meeting at which the </w:t>
      </w:r>
      <w:r w:rsidRPr="0009631D">
        <w:rPr>
          <w:i/>
          <w:color w:val="000000"/>
          <w:szCs w:val="22"/>
        </w:rPr>
        <w:t>ex parte</w:t>
      </w:r>
      <w:r w:rsidRPr="0009631D">
        <w:rPr>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9631D">
        <w:rPr>
          <w:i/>
          <w:color w:val="000000"/>
          <w:szCs w:val="22"/>
        </w:rPr>
        <w:t>ex parte</w:t>
      </w:r>
      <w:r w:rsidRPr="0009631D">
        <w:rPr>
          <w:color w:val="000000"/>
          <w:szCs w:val="22"/>
        </w:rPr>
        <w:t xml:space="preserve"> meetings are deemed to be written </w:t>
      </w:r>
      <w:r w:rsidRPr="0009631D">
        <w:rPr>
          <w:i/>
          <w:color w:val="000000"/>
          <w:szCs w:val="22"/>
        </w:rPr>
        <w:t>ex parte</w:t>
      </w:r>
      <w:r w:rsidRPr="0009631D">
        <w:rPr>
          <w:color w:val="000000"/>
          <w:szCs w:val="22"/>
        </w:rPr>
        <w:t xml:space="preserve"> presentations and must be filed consistent with rule 1.1206(b), 47 CFR § 1.1206(b).  Participants in this proceeding should familiarize themselves with the Commission’s </w:t>
      </w:r>
      <w:r w:rsidRPr="0009631D">
        <w:rPr>
          <w:i/>
          <w:color w:val="000000"/>
          <w:szCs w:val="22"/>
        </w:rPr>
        <w:t>ex parte</w:t>
      </w:r>
      <w:r w:rsidRPr="0009631D">
        <w:rPr>
          <w:color w:val="000000"/>
          <w:szCs w:val="22"/>
        </w:rPr>
        <w:t xml:space="preserve"> rules.</w:t>
      </w:r>
    </w:p>
    <w:p w:rsidR="0009631D" w:rsidRPr="0009631D" w:rsidP="0009631D">
      <w:pPr>
        <w:rPr>
          <w:color w:val="000000"/>
          <w:szCs w:val="22"/>
        </w:rPr>
      </w:pPr>
    </w:p>
    <w:p w:rsidR="0009631D" w:rsidRPr="00CB0686" w:rsidP="004E1A72">
      <w:pPr>
        <w:ind w:firstLine="720"/>
        <w:rPr>
          <w:color w:val="000000"/>
          <w:szCs w:val="22"/>
        </w:rPr>
      </w:pPr>
      <w:r w:rsidRPr="00CB0686">
        <w:rPr>
          <w:color w:val="000000"/>
          <w:szCs w:val="22"/>
        </w:rPr>
        <w:t>To allow the Commission to consider fully all substantive issues regarding the application</w:t>
      </w:r>
      <w:r w:rsidRPr="00CB0686" w:rsidR="0027442F">
        <w:rPr>
          <w:color w:val="000000"/>
          <w:szCs w:val="22"/>
        </w:rPr>
        <w:t>s</w:t>
      </w:r>
      <w:r w:rsidRPr="00CB0686">
        <w:rPr>
          <w:color w:val="000000"/>
          <w:szCs w:val="22"/>
        </w:rPr>
        <w:t xml:space="preserve"> in as timely and efficient a manner as possible, petitioners and commenters should raise all issues in their initial filings.  New issues may not be raised in responses or replies.</w:t>
      </w:r>
      <w:r>
        <w:rPr>
          <w:color w:val="000000"/>
          <w:szCs w:val="22"/>
          <w:vertAlign w:val="superscript"/>
        </w:rPr>
        <w:footnoteReference w:id="13"/>
      </w:r>
      <w:r w:rsidRPr="00CB0686">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09631D" w:rsidRPr="0009631D" w:rsidP="0009631D">
      <w:pPr>
        <w:rPr>
          <w:color w:val="000000"/>
          <w:szCs w:val="22"/>
        </w:rPr>
      </w:pPr>
    </w:p>
    <w:p w:rsidR="0009631D" w:rsidRPr="0009631D" w:rsidP="009D0445">
      <w:pPr>
        <w:ind w:firstLine="720"/>
        <w:rPr>
          <w:color w:val="000000"/>
          <w:szCs w:val="22"/>
        </w:rPr>
      </w:pPr>
      <w:r w:rsidRPr="0009631D">
        <w:rPr>
          <w:color w:val="000000"/>
          <w:szCs w:val="22"/>
        </w:rPr>
        <w:t>For further information, please contact Gregory Kwan</w:t>
      </w:r>
      <w:r w:rsidR="00332E1C">
        <w:rPr>
          <w:color w:val="000000"/>
          <w:szCs w:val="22"/>
        </w:rPr>
        <w:t>, Wireline Competition Bureau,</w:t>
      </w:r>
      <w:r w:rsidRPr="0009631D">
        <w:rPr>
          <w:color w:val="000000"/>
          <w:szCs w:val="22"/>
        </w:rPr>
        <w:t xml:space="preserve"> (202) 418-1191</w:t>
      </w:r>
      <w:r w:rsidR="00332E1C">
        <w:rPr>
          <w:color w:val="000000"/>
          <w:szCs w:val="22"/>
        </w:rPr>
        <w:t>; David Krech, International Bureau, (202) 418-7443; or Linda Ray, Wireless Telecommunications Bureau, (202) 418-0257</w:t>
      </w:r>
      <w:r w:rsidRPr="0009631D">
        <w:rPr>
          <w:color w:val="000000"/>
          <w:szCs w:val="22"/>
        </w:rPr>
        <w:t>.</w:t>
      </w:r>
    </w:p>
    <w:p w:rsidR="0038750A" w:rsidRPr="0038750A" w:rsidP="0038750A">
      <w:pPr>
        <w:rPr>
          <w:b/>
          <w:color w:val="000000"/>
          <w:szCs w:val="22"/>
        </w:rPr>
      </w:pPr>
      <w:r>
        <w:rPr>
          <w:b/>
          <w:color w:val="000000"/>
          <w:szCs w:val="22"/>
        </w:rPr>
        <w:br w:type="page"/>
      </w:r>
    </w:p>
    <w:p w:rsidR="008B4167" w:rsidRPr="006F16E1" w:rsidP="006F16E1">
      <w:pPr>
        <w:jc w:val="center"/>
        <w:rPr>
          <w:b/>
          <w:color w:val="000000"/>
          <w:szCs w:val="22"/>
          <w:u w:val="single"/>
        </w:rPr>
      </w:pPr>
      <w:r w:rsidRPr="00585942">
        <w:rPr>
          <w:b/>
          <w:color w:val="000000"/>
          <w:szCs w:val="22"/>
          <w:u w:val="single"/>
        </w:rPr>
        <w:t>ATTACHMENT A</w:t>
      </w:r>
    </w:p>
    <w:p w:rsidR="006F16E1" w:rsidRPr="00585942" w:rsidP="0038750A">
      <w:pPr>
        <w:rPr>
          <w:b/>
          <w:color w:val="000000"/>
          <w:szCs w:val="22"/>
        </w:rPr>
      </w:pPr>
    </w:p>
    <w:p w:rsidR="0038750A" w:rsidRPr="0022664E" w:rsidP="0038750A">
      <w:pPr>
        <w:rPr>
          <w:color w:val="000000"/>
          <w:szCs w:val="22"/>
        </w:rPr>
      </w:pPr>
      <w:r w:rsidRPr="00585942">
        <w:rPr>
          <w:b/>
          <w:color w:val="000000"/>
          <w:szCs w:val="22"/>
        </w:rPr>
        <w:t>SECTION 214 AUTHORIZATIONS</w:t>
      </w:r>
    </w:p>
    <w:p w:rsidR="0038750A" w:rsidRPr="0022664E" w:rsidP="0038750A">
      <w:pPr>
        <w:rPr>
          <w:color w:val="000000"/>
          <w:szCs w:val="22"/>
        </w:rPr>
      </w:pPr>
    </w:p>
    <w:p w:rsidR="0038750A" w:rsidRPr="00585942" w:rsidP="0038750A">
      <w:pPr>
        <w:rPr>
          <w:b/>
          <w:color w:val="000000"/>
          <w:szCs w:val="22"/>
        </w:rPr>
      </w:pPr>
      <w:r w:rsidRPr="00585942">
        <w:rPr>
          <w:b/>
          <w:color w:val="000000"/>
          <w:szCs w:val="22"/>
        </w:rPr>
        <w:t>A.</w:t>
      </w:r>
      <w:r w:rsidRPr="00585942">
        <w:rPr>
          <w:b/>
          <w:color w:val="000000"/>
          <w:szCs w:val="22"/>
        </w:rPr>
        <w:tab/>
        <w:t>International</w:t>
      </w:r>
    </w:p>
    <w:p w:rsidR="0038750A" w:rsidRPr="0022664E" w:rsidP="0038750A">
      <w:pPr>
        <w:rPr>
          <w:color w:val="000000"/>
          <w:szCs w:val="22"/>
        </w:rPr>
      </w:pPr>
    </w:p>
    <w:p w:rsidR="0038750A" w:rsidRPr="0022664E" w:rsidP="0038750A">
      <w:pPr>
        <w:rPr>
          <w:color w:val="000000"/>
          <w:szCs w:val="22"/>
        </w:rPr>
      </w:pPr>
      <w:bookmarkStart w:id="7" w:name="_Hlk1664737"/>
      <w:r w:rsidRPr="0022664E">
        <w:rPr>
          <w:color w:val="000000"/>
          <w:szCs w:val="22"/>
        </w:rPr>
        <w:t>The applications for consent to the transfer of control of certain international section 214 authorizations have been assigned the file numbers listed below.</w:t>
      </w:r>
    </w:p>
    <w:bookmarkEnd w:id="7"/>
    <w:p w:rsidR="0038750A" w:rsidRPr="0022664E" w:rsidP="0038750A">
      <w:pPr>
        <w:rPr>
          <w:color w:val="000000"/>
          <w:szCs w:val="22"/>
        </w:rPr>
      </w:pPr>
    </w:p>
    <w:tbl>
      <w:tblPr>
        <w:tblW w:w="9738" w:type="dxa"/>
        <w:tblLook w:val="01E0"/>
      </w:tblPr>
      <w:tblGrid>
        <w:gridCol w:w="2880"/>
        <w:gridCol w:w="3888"/>
        <w:gridCol w:w="2970"/>
      </w:tblGrid>
      <w:tr w:rsidTr="00A67047">
        <w:tblPrEx>
          <w:tblW w:w="9738" w:type="dxa"/>
          <w:tblLook w:val="01E0"/>
        </w:tblPrEx>
        <w:tc>
          <w:tcPr>
            <w:tcW w:w="2880" w:type="dxa"/>
          </w:tcPr>
          <w:p w:rsidR="0038750A" w:rsidRPr="0022664E" w:rsidP="0038750A">
            <w:pPr>
              <w:rPr>
                <w:color w:val="000000"/>
                <w:szCs w:val="22"/>
              </w:rPr>
            </w:pPr>
            <w:bookmarkStart w:id="8" w:name="_Hlk1656452"/>
            <w:r w:rsidRPr="0022664E">
              <w:rPr>
                <w:color w:val="000000"/>
                <w:szCs w:val="22"/>
                <w:u w:val="single"/>
              </w:rPr>
              <w:t>File Number</w:t>
            </w:r>
          </w:p>
        </w:tc>
        <w:tc>
          <w:tcPr>
            <w:tcW w:w="3888" w:type="dxa"/>
          </w:tcPr>
          <w:p w:rsidR="0038750A" w:rsidRPr="0022664E" w:rsidP="0038750A">
            <w:pPr>
              <w:rPr>
                <w:color w:val="000000"/>
                <w:szCs w:val="22"/>
              </w:rPr>
            </w:pPr>
            <w:r w:rsidRPr="0022664E">
              <w:rPr>
                <w:color w:val="000000"/>
                <w:szCs w:val="22"/>
                <w:u w:val="single"/>
              </w:rPr>
              <w:t>Authorization Holder</w:t>
            </w:r>
          </w:p>
        </w:tc>
        <w:tc>
          <w:tcPr>
            <w:tcW w:w="2970" w:type="dxa"/>
          </w:tcPr>
          <w:p w:rsidR="0038750A" w:rsidRPr="0022664E" w:rsidP="0038750A">
            <w:pPr>
              <w:rPr>
                <w:color w:val="000000"/>
                <w:szCs w:val="22"/>
                <w:u w:val="single"/>
              </w:rPr>
            </w:pPr>
            <w:r w:rsidRPr="0022664E">
              <w:rPr>
                <w:color w:val="000000"/>
                <w:szCs w:val="22"/>
                <w:u w:val="single"/>
              </w:rPr>
              <w:t>Authorization Number</w:t>
            </w:r>
          </w:p>
          <w:p w:rsidR="0038750A" w:rsidRPr="0022664E" w:rsidP="0038750A">
            <w:pPr>
              <w:rPr>
                <w:color w:val="000000"/>
                <w:szCs w:val="22"/>
                <w:u w:val="single"/>
              </w:rPr>
            </w:pPr>
          </w:p>
        </w:tc>
      </w:tr>
      <w:tr w:rsidTr="00A67047">
        <w:tblPrEx>
          <w:tblW w:w="9738" w:type="dxa"/>
          <w:tblLook w:val="01E0"/>
        </w:tblPrEx>
        <w:tc>
          <w:tcPr>
            <w:tcW w:w="2880" w:type="dxa"/>
          </w:tcPr>
          <w:p w:rsidR="0038750A" w:rsidRPr="0022664E" w:rsidP="0038750A">
            <w:pPr>
              <w:rPr>
                <w:color w:val="000000"/>
                <w:szCs w:val="22"/>
              </w:rPr>
            </w:pPr>
            <w:bookmarkStart w:id="9" w:name="_Hlk1728800"/>
            <w:r w:rsidRPr="0022664E">
              <w:rPr>
                <w:color w:val="000000"/>
                <w:szCs w:val="22"/>
              </w:rPr>
              <w:t>ITC-T/C-2019</w:t>
            </w:r>
            <w:r w:rsidR="0097153B">
              <w:rPr>
                <w:color w:val="000000"/>
                <w:szCs w:val="22"/>
              </w:rPr>
              <w:t>0614-</w:t>
            </w:r>
            <w:r w:rsidR="00E97A21">
              <w:rPr>
                <w:color w:val="000000"/>
                <w:szCs w:val="22"/>
              </w:rPr>
              <w:t>00121</w:t>
            </w:r>
          </w:p>
        </w:tc>
        <w:tc>
          <w:tcPr>
            <w:tcW w:w="3888" w:type="dxa"/>
          </w:tcPr>
          <w:p w:rsidR="0038750A" w:rsidRPr="0022664E" w:rsidP="0038750A">
            <w:pPr>
              <w:rPr>
                <w:color w:val="000000"/>
                <w:szCs w:val="22"/>
              </w:rPr>
            </w:pPr>
            <w:r>
              <w:rPr>
                <w:color w:val="000000"/>
                <w:szCs w:val="22"/>
              </w:rPr>
              <w:t>Allstream Business US, LLC</w:t>
            </w:r>
          </w:p>
        </w:tc>
        <w:tc>
          <w:tcPr>
            <w:tcW w:w="2970" w:type="dxa"/>
          </w:tcPr>
          <w:p w:rsidR="009B64FB" w:rsidRPr="0022664E" w:rsidP="0038750A">
            <w:pPr>
              <w:rPr>
                <w:color w:val="000000"/>
                <w:szCs w:val="22"/>
              </w:rPr>
            </w:pPr>
            <w:r w:rsidRPr="0022664E">
              <w:rPr>
                <w:color w:val="000000"/>
                <w:szCs w:val="22"/>
              </w:rPr>
              <w:t>ITC-214-</w:t>
            </w:r>
            <w:r w:rsidR="00E97A21">
              <w:rPr>
                <w:color w:val="000000"/>
                <w:szCs w:val="22"/>
              </w:rPr>
              <w:t>19970820-00500</w:t>
            </w:r>
          </w:p>
        </w:tc>
      </w:tr>
      <w:tr w:rsidTr="00A67047">
        <w:tblPrEx>
          <w:tblW w:w="9738" w:type="dxa"/>
          <w:tblLook w:val="01E0"/>
        </w:tblPrEx>
        <w:tc>
          <w:tcPr>
            <w:tcW w:w="2880" w:type="dxa"/>
          </w:tcPr>
          <w:p w:rsidR="0038750A" w:rsidRPr="0022664E" w:rsidP="0038750A">
            <w:pPr>
              <w:rPr>
                <w:color w:val="000000"/>
                <w:szCs w:val="22"/>
              </w:rPr>
            </w:pPr>
            <w:r w:rsidRPr="0022664E">
              <w:rPr>
                <w:color w:val="000000"/>
                <w:szCs w:val="22"/>
              </w:rPr>
              <w:t>ITC-T/C-2019</w:t>
            </w:r>
            <w:r w:rsidR="00E97A21">
              <w:rPr>
                <w:color w:val="000000"/>
                <w:szCs w:val="22"/>
              </w:rPr>
              <w:t>0614-00122</w:t>
            </w:r>
          </w:p>
        </w:tc>
        <w:tc>
          <w:tcPr>
            <w:tcW w:w="3888" w:type="dxa"/>
          </w:tcPr>
          <w:p w:rsidR="0038750A" w:rsidRPr="0022664E" w:rsidP="0038750A">
            <w:pPr>
              <w:rPr>
                <w:color w:val="000000"/>
                <w:szCs w:val="22"/>
              </w:rPr>
            </w:pPr>
            <w:r w:rsidRPr="0022664E">
              <w:rPr>
                <w:color w:val="000000"/>
                <w:szCs w:val="22"/>
              </w:rPr>
              <w:t xml:space="preserve">Electric Lightwave, LLC </w:t>
            </w:r>
          </w:p>
        </w:tc>
        <w:tc>
          <w:tcPr>
            <w:tcW w:w="2970" w:type="dxa"/>
          </w:tcPr>
          <w:p w:rsidR="00D7212F" w:rsidRPr="0022664E" w:rsidP="0038750A">
            <w:pPr>
              <w:rPr>
                <w:color w:val="000000"/>
                <w:szCs w:val="22"/>
              </w:rPr>
            </w:pPr>
            <w:r w:rsidRPr="0022664E">
              <w:rPr>
                <w:color w:val="000000"/>
                <w:szCs w:val="22"/>
              </w:rPr>
              <w:t>ITC-214-199</w:t>
            </w:r>
            <w:r w:rsidRPr="0022664E">
              <w:rPr>
                <w:color w:val="000000"/>
                <w:szCs w:val="22"/>
              </w:rPr>
              <w:t>40415-00137</w:t>
            </w:r>
          </w:p>
        </w:tc>
      </w:tr>
      <w:tr w:rsidTr="00A67047">
        <w:tblPrEx>
          <w:tblW w:w="9738" w:type="dxa"/>
          <w:tblLook w:val="01E0"/>
        </w:tblPrEx>
        <w:tc>
          <w:tcPr>
            <w:tcW w:w="2880" w:type="dxa"/>
          </w:tcPr>
          <w:p w:rsidR="00D7212F" w:rsidRPr="0022664E" w:rsidP="00D7212F">
            <w:pPr>
              <w:rPr>
                <w:color w:val="000000"/>
                <w:szCs w:val="22"/>
              </w:rPr>
            </w:pPr>
            <w:bookmarkStart w:id="10" w:name="_Hlk12362083"/>
            <w:bookmarkEnd w:id="9"/>
          </w:p>
        </w:tc>
        <w:tc>
          <w:tcPr>
            <w:tcW w:w="3888" w:type="dxa"/>
          </w:tcPr>
          <w:p w:rsidR="00D7212F" w:rsidRPr="0022664E" w:rsidP="00D7212F">
            <w:pPr>
              <w:rPr>
                <w:color w:val="000000"/>
                <w:szCs w:val="22"/>
              </w:rPr>
            </w:pPr>
          </w:p>
        </w:tc>
        <w:tc>
          <w:tcPr>
            <w:tcW w:w="2970" w:type="dxa"/>
          </w:tcPr>
          <w:p w:rsidR="00D7212F" w:rsidRPr="0022664E" w:rsidP="00D7212F">
            <w:pPr>
              <w:rPr>
                <w:color w:val="000000"/>
                <w:szCs w:val="22"/>
              </w:rPr>
            </w:pPr>
            <w:r w:rsidRPr="0022664E">
              <w:rPr>
                <w:color w:val="000000"/>
                <w:szCs w:val="22"/>
              </w:rPr>
              <w:t>ITC-214-19980619-00425</w:t>
            </w:r>
          </w:p>
        </w:tc>
      </w:tr>
      <w:tr w:rsidTr="00A67047">
        <w:tblPrEx>
          <w:tblW w:w="9738" w:type="dxa"/>
          <w:tblLook w:val="01E0"/>
        </w:tblPrEx>
        <w:tc>
          <w:tcPr>
            <w:tcW w:w="2880" w:type="dxa"/>
          </w:tcPr>
          <w:p w:rsidR="00D7212F" w:rsidRPr="0022664E" w:rsidP="00D7212F">
            <w:pPr>
              <w:rPr>
                <w:color w:val="000000"/>
                <w:szCs w:val="22"/>
              </w:rPr>
            </w:pPr>
          </w:p>
        </w:tc>
        <w:tc>
          <w:tcPr>
            <w:tcW w:w="3888" w:type="dxa"/>
          </w:tcPr>
          <w:p w:rsidR="00D7212F" w:rsidRPr="0022664E" w:rsidP="00D7212F">
            <w:pPr>
              <w:rPr>
                <w:color w:val="000000"/>
                <w:szCs w:val="22"/>
              </w:rPr>
            </w:pPr>
          </w:p>
        </w:tc>
        <w:tc>
          <w:tcPr>
            <w:tcW w:w="2970" w:type="dxa"/>
          </w:tcPr>
          <w:p w:rsidR="00D7212F" w:rsidRPr="0022664E" w:rsidP="00D7212F">
            <w:pPr>
              <w:rPr>
                <w:color w:val="000000"/>
                <w:szCs w:val="22"/>
              </w:rPr>
            </w:pPr>
          </w:p>
        </w:tc>
      </w:tr>
      <w:bookmarkEnd w:id="8"/>
      <w:bookmarkEnd w:id="10"/>
      <w:tr w:rsidTr="00D7212F">
        <w:tblPrEx>
          <w:tblW w:w="9738" w:type="dxa"/>
          <w:tblLook w:val="01E0"/>
        </w:tblPrEx>
        <w:tc>
          <w:tcPr>
            <w:tcW w:w="2880" w:type="dxa"/>
          </w:tcPr>
          <w:p w:rsidR="00D7212F" w:rsidRPr="0022664E" w:rsidP="00A67047">
            <w:pPr>
              <w:rPr>
                <w:color w:val="000000"/>
                <w:szCs w:val="22"/>
              </w:rPr>
            </w:pPr>
          </w:p>
        </w:tc>
        <w:tc>
          <w:tcPr>
            <w:tcW w:w="3888" w:type="dxa"/>
          </w:tcPr>
          <w:p w:rsidR="00D7212F" w:rsidRPr="0022664E" w:rsidP="00A67047">
            <w:pPr>
              <w:rPr>
                <w:color w:val="000000"/>
                <w:szCs w:val="22"/>
              </w:rPr>
            </w:pPr>
          </w:p>
        </w:tc>
        <w:tc>
          <w:tcPr>
            <w:tcW w:w="2970" w:type="dxa"/>
          </w:tcPr>
          <w:p w:rsidR="00D7212F" w:rsidP="00A67047">
            <w:pPr>
              <w:rPr>
                <w:color w:val="000000"/>
                <w:szCs w:val="22"/>
              </w:rPr>
            </w:pPr>
            <w:r w:rsidRPr="0022664E">
              <w:rPr>
                <w:color w:val="000000"/>
                <w:szCs w:val="22"/>
              </w:rPr>
              <w:t>ITC-214-19990729-00490</w:t>
            </w:r>
          </w:p>
          <w:p w:rsidR="00E97A21" w:rsidRPr="0022664E" w:rsidP="00A67047">
            <w:pPr>
              <w:rPr>
                <w:color w:val="000000"/>
                <w:szCs w:val="22"/>
              </w:rPr>
            </w:pPr>
          </w:p>
          <w:p w:rsidR="006D1338" w:rsidRPr="0022664E" w:rsidP="00A67047">
            <w:pPr>
              <w:rPr>
                <w:color w:val="000000"/>
                <w:szCs w:val="22"/>
              </w:rPr>
            </w:pPr>
          </w:p>
        </w:tc>
      </w:tr>
      <w:tr w:rsidTr="00D7212F">
        <w:tblPrEx>
          <w:tblW w:w="9738" w:type="dxa"/>
          <w:tblLook w:val="01E0"/>
        </w:tblPrEx>
        <w:tc>
          <w:tcPr>
            <w:tcW w:w="2880" w:type="dxa"/>
          </w:tcPr>
          <w:p w:rsidR="00D7212F" w:rsidRPr="0022664E" w:rsidP="00A67047">
            <w:pPr>
              <w:rPr>
                <w:color w:val="000000"/>
                <w:szCs w:val="22"/>
              </w:rPr>
            </w:pPr>
          </w:p>
        </w:tc>
        <w:tc>
          <w:tcPr>
            <w:tcW w:w="3888" w:type="dxa"/>
          </w:tcPr>
          <w:p w:rsidR="00D7212F" w:rsidRPr="0022664E" w:rsidP="00A67047">
            <w:pPr>
              <w:rPr>
                <w:color w:val="000000"/>
                <w:szCs w:val="22"/>
              </w:rPr>
            </w:pPr>
          </w:p>
        </w:tc>
        <w:tc>
          <w:tcPr>
            <w:tcW w:w="2970" w:type="dxa"/>
          </w:tcPr>
          <w:p w:rsidR="006D1338" w:rsidRPr="0022664E" w:rsidP="00A67047">
            <w:pPr>
              <w:rPr>
                <w:color w:val="000000"/>
                <w:szCs w:val="22"/>
              </w:rPr>
            </w:pPr>
          </w:p>
        </w:tc>
      </w:tr>
      <w:tr w:rsidTr="007C3463">
        <w:tblPrEx>
          <w:tblW w:w="9738" w:type="dxa"/>
          <w:tblLook w:val="01E0"/>
        </w:tblPrEx>
        <w:tc>
          <w:tcPr>
            <w:tcW w:w="2880" w:type="dxa"/>
          </w:tcPr>
          <w:p w:rsidR="007C3463" w:rsidRPr="0022664E" w:rsidP="00A67047">
            <w:pPr>
              <w:rPr>
                <w:color w:val="000000"/>
                <w:szCs w:val="22"/>
              </w:rPr>
            </w:pPr>
            <w:r w:rsidRPr="0022664E">
              <w:rPr>
                <w:color w:val="000000"/>
                <w:szCs w:val="22"/>
              </w:rPr>
              <w:t>ITC-T/C-2019</w:t>
            </w:r>
            <w:r w:rsidR="00E97A21">
              <w:rPr>
                <w:color w:val="000000"/>
                <w:szCs w:val="22"/>
              </w:rPr>
              <w:t>0617</w:t>
            </w:r>
            <w:r w:rsidR="004D5709">
              <w:rPr>
                <w:color w:val="000000"/>
                <w:szCs w:val="22"/>
              </w:rPr>
              <w:t>-00123</w:t>
            </w:r>
          </w:p>
        </w:tc>
        <w:tc>
          <w:tcPr>
            <w:tcW w:w="3888" w:type="dxa"/>
          </w:tcPr>
          <w:p w:rsidR="007C3463" w:rsidRPr="0022664E" w:rsidP="00A67047">
            <w:pPr>
              <w:rPr>
                <w:color w:val="000000"/>
                <w:szCs w:val="22"/>
              </w:rPr>
            </w:pPr>
            <w:r w:rsidRPr="0022664E">
              <w:rPr>
                <w:color w:val="000000"/>
                <w:szCs w:val="22"/>
              </w:rPr>
              <w:t>Zayo Group, LLC</w:t>
            </w:r>
          </w:p>
        </w:tc>
        <w:tc>
          <w:tcPr>
            <w:tcW w:w="2970" w:type="dxa"/>
          </w:tcPr>
          <w:p w:rsidR="007C3463" w:rsidRPr="0022664E" w:rsidP="007C3463">
            <w:pPr>
              <w:rPr>
                <w:color w:val="000000"/>
                <w:szCs w:val="22"/>
              </w:rPr>
            </w:pPr>
            <w:r>
              <w:rPr>
                <w:color w:val="000000"/>
                <w:szCs w:val="22"/>
              </w:rPr>
              <w:t>ITC-214-20091106-00475</w:t>
            </w:r>
          </w:p>
          <w:p w:rsidR="007C3463" w:rsidRPr="0022664E" w:rsidP="007C3463">
            <w:pPr>
              <w:rPr>
                <w:color w:val="000000"/>
                <w:szCs w:val="22"/>
              </w:rPr>
            </w:pPr>
          </w:p>
        </w:tc>
      </w:tr>
    </w:tbl>
    <w:p w:rsidR="006F16E1" w:rsidP="0038750A">
      <w:pPr>
        <w:rPr>
          <w:b/>
          <w:color w:val="000000"/>
          <w:szCs w:val="22"/>
        </w:rPr>
      </w:pPr>
    </w:p>
    <w:p w:rsidR="0038750A" w:rsidRPr="00585942" w:rsidP="0038750A">
      <w:pPr>
        <w:rPr>
          <w:b/>
          <w:color w:val="000000"/>
          <w:szCs w:val="22"/>
        </w:rPr>
      </w:pPr>
      <w:r w:rsidRPr="00585942">
        <w:rPr>
          <w:b/>
          <w:color w:val="000000"/>
          <w:szCs w:val="22"/>
        </w:rPr>
        <w:t>B.</w:t>
      </w:r>
      <w:r w:rsidRPr="00585942">
        <w:rPr>
          <w:b/>
          <w:color w:val="000000"/>
          <w:szCs w:val="22"/>
        </w:rPr>
        <w:tab/>
        <w:t>Domestic</w:t>
      </w:r>
    </w:p>
    <w:p w:rsidR="0038750A" w:rsidRPr="0022664E" w:rsidP="0038750A">
      <w:pPr>
        <w:rPr>
          <w:color w:val="000000"/>
          <w:szCs w:val="22"/>
        </w:rPr>
      </w:pPr>
    </w:p>
    <w:p w:rsidR="0038750A" w:rsidP="0038750A">
      <w:pPr>
        <w:rPr>
          <w:color w:val="000000"/>
          <w:szCs w:val="22"/>
        </w:rPr>
      </w:pPr>
      <w:r w:rsidRPr="0022664E">
        <w:rPr>
          <w:color w:val="000000"/>
          <w:szCs w:val="22"/>
        </w:rPr>
        <w:t>The Applicants filed an application to transfer control of domestic section 214 authority in connection with the proposed transaction – WC Docket No. 19-</w:t>
      </w:r>
      <w:r w:rsidRPr="0022664E" w:rsidR="00EF113F">
        <w:rPr>
          <w:color w:val="000000"/>
          <w:szCs w:val="22"/>
        </w:rPr>
        <w:t>166</w:t>
      </w:r>
      <w:r w:rsidRPr="0022664E">
        <w:rPr>
          <w:color w:val="000000"/>
          <w:szCs w:val="22"/>
        </w:rPr>
        <w:t>.</w:t>
      </w:r>
      <w:bookmarkStart w:id="11" w:name="sp_999_4"/>
      <w:bookmarkStart w:id="12" w:name="SDU_4"/>
      <w:bookmarkStart w:id="13" w:name="citeas((Cite_as:_26_F.C.C.R._13372,_*133"/>
      <w:bookmarkEnd w:id="11"/>
      <w:bookmarkEnd w:id="12"/>
      <w:bookmarkEnd w:id="13"/>
      <w:r w:rsidRPr="0022664E">
        <w:rPr>
          <w:color w:val="000000"/>
          <w:szCs w:val="22"/>
        </w:rPr>
        <w:t xml:space="preserve">  In light of the multiple applications pending before the Commission with respect to this transaction and the public interest review associated with them, the domestic transfer of control application is not subject to streamlined treatment.</w:t>
      </w:r>
      <w:r>
        <w:rPr>
          <w:color w:val="000000"/>
          <w:szCs w:val="22"/>
          <w:vertAlign w:val="superscript"/>
        </w:rPr>
        <w:footnoteReference w:id="14"/>
      </w:r>
    </w:p>
    <w:p w:rsidR="002E7ED3" w:rsidP="0038750A">
      <w:pPr>
        <w:rPr>
          <w:color w:val="000000"/>
          <w:szCs w:val="22"/>
        </w:rPr>
      </w:pPr>
    </w:p>
    <w:p w:rsidR="002E7ED3" w:rsidP="002E7ED3">
      <w:pPr>
        <w:rPr>
          <w:b/>
          <w:color w:val="000000"/>
          <w:szCs w:val="22"/>
        </w:rPr>
      </w:pPr>
      <w:r>
        <w:rPr>
          <w:b/>
          <w:color w:val="000000"/>
          <w:szCs w:val="22"/>
        </w:rPr>
        <w:t>CABLE LANDING LICENSES</w:t>
      </w:r>
    </w:p>
    <w:p w:rsidR="002E7ED3" w:rsidP="002E7ED3">
      <w:pPr>
        <w:rPr>
          <w:b/>
          <w:color w:val="000000"/>
          <w:szCs w:val="22"/>
        </w:rPr>
      </w:pPr>
      <w:r>
        <w:rPr>
          <w:b/>
          <w:color w:val="000000"/>
          <w:szCs w:val="22"/>
        </w:rPr>
        <w:tab/>
      </w:r>
    </w:p>
    <w:tbl>
      <w:tblPr>
        <w:tblW w:w="9738" w:type="dxa"/>
        <w:tblLook w:val="01E0"/>
      </w:tblPr>
      <w:tblGrid>
        <w:gridCol w:w="2880"/>
        <w:gridCol w:w="3888"/>
        <w:gridCol w:w="2970"/>
      </w:tblGrid>
      <w:tr w:rsidTr="002A2BE7">
        <w:tblPrEx>
          <w:tblW w:w="9738" w:type="dxa"/>
          <w:tblLook w:val="01E0"/>
        </w:tblPrEx>
        <w:tc>
          <w:tcPr>
            <w:tcW w:w="2880" w:type="dxa"/>
          </w:tcPr>
          <w:p w:rsidR="002E7ED3" w:rsidP="002A2BE7">
            <w:pPr>
              <w:rPr>
                <w:b/>
                <w:color w:val="000000"/>
                <w:szCs w:val="22"/>
              </w:rPr>
            </w:pPr>
            <w:r>
              <w:rPr>
                <w:b/>
                <w:color w:val="000000"/>
                <w:szCs w:val="22"/>
                <w:u w:val="single"/>
              </w:rPr>
              <w:t>File Number</w:t>
            </w:r>
          </w:p>
        </w:tc>
        <w:tc>
          <w:tcPr>
            <w:tcW w:w="3888" w:type="dxa"/>
          </w:tcPr>
          <w:p w:rsidR="002E7ED3" w:rsidP="002A2BE7">
            <w:pPr>
              <w:rPr>
                <w:b/>
                <w:color w:val="000000"/>
                <w:szCs w:val="22"/>
                <w:u w:val="single"/>
              </w:rPr>
            </w:pPr>
            <w:r>
              <w:rPr>
                <w:b/>
                <w:color w:val="000000"/>
                <w:szCs w:val="22"/>
                <w:u w:val="single"/>
              </w:rPr>
              <w:t>Licensee</w:t>
            </w:r>
          </w:p>
        </w:tc>
        <w:tc>
          <w:tcPr>
            <w:tcW w:w="2970" w:type="dxa"/>
          </w:tcPr>
          <w:p w:rsidR="002E7ED3" w:rsidP="002A2BE7">
            <w:pPr>
              <w:rPr>
                <w:b/>
                <w:color w:val="000000"/>
                <w:szCs w:val="22"/>
                <w:u w:val="single"/>
              </w:rPr>
            </w:pPr>
            <w:r>
              <w:rPr>
                <w:b/>
                <w:color w:val="000000"/>
                <w:szCs w:val="22"/>
                <w:u w:val="single"/>
              </w:rPr>
              <w:t>License Number</w:t>
            </w:r>
          </w:p>
          <w:p w:rsidR="002E7ED3" w:rsidP="002A2BE7">
            <w:pPr>
              <w:rPr>
                <w:b/>
                <w:color w:val="000000"/>
                <w:szCs w:val="22"/>
                <w:u w:val="single"/>
              </w:rPr>
            </w:pPr>
          </w:p>
        </w:tc>
      </w:tr>
      <w:tr w:rsidTr="002A2BE7">
        <w:tblPrEx>
          <w:tblW w:w="9738" w:type="dxa"/>
          <w:tblLook w:val="01E0"/>
        </w:tblPrEx>
        <w:tc>
          <w:tcPr>
            <w:tcW w:w="2880" w:type="dxa"/>
          </w:tcPr>
          <w:p w:rsidR="002E7ED3" w:rsidP="002A2BE7">
            <w:pPr>
              <w:rPr>
                <w:color w:val="000000"/>
                <w:szCs w:val="22"/>
              </w:rPr>
            </w:pPr>
            <w:r>
              <w:rPr>
                <w:color w:val="000000"/>
                <w:szCs w:val="22"/>
              </w:rPr>
              <w:t>SCL-T/C-20190614-00018</w:t>
            </w:r>
          </w:p>
        </w:tc>
        <w:tc>
          <w:tcPr>
            <w:tcW w:w="3888" w:type="dxa"/>
          </w:tcPr>
          <w:p w:rsidR="002E7ED3" w:rsidP="002A2BE7">
            <w:pPr>
              <w:rPr>
                <w:color w:val="000000"/>
                <w:szCs w:val="22"/>
              </w:rPr>
            </w:pPr>
            <w:r>
              <w:rPr>
                <w:color w:val="000000"/>
                <w:szCs w:val="22"/>
              </w:rPr>
              <w:t>Zayo Group, LLC</w:t>
            </w:r>
          </w:p>
          <w:p w:rsidR="002E7ED3" w:rsidP="002A2BE7">
            <w:pPr>
              <w:rPr>
                <w:color w:val="000000"/>
                <w:szCs w:val="22"/>
              </w:rPr>
            </w:pPr>
          </w:p>
        </w:tc>
        <w:tc>
          <w:tcPr>
            <w:tcW w:w="2970" w:type="dxa"/>
          </w:tcPr>
          <w:p w:rsidR="002E7ED3" w:rsidP="002A2BE7">
            <w:pPr>
              <w:rPr>
                <w:color w:val="000000"/>
                <w:szCs w:val="22"/>
              </w:rPr>
            </w:pPr>
            <w:r>
              <w:rPr>
                <w:color w:val="000000"/>
                <w:szCs w:val="22"/>
              </w:rPr>
              <w:t>SCL-LIC-19980123-00002</w:t>
            </w:r>
          </w:p>
          <w:p w:rsidR="002E7ED3" w:rsidP="002A2BE7">
            <w:pPr>
              <w:rPr>
                <w:color w:val="000000"/>
                <w:szCs w:val="22"/>
              </w:rPr>
            </w:pPr>
            <w:r>
              <w:rPr>
                <w:color w:val="000000"/>
                <w:szCs w:val="22"/>
              </w:rPr>
              <w:t>SCL-MOD-19990901-00016</w:t>
            </w:r>
          </w:p>
        </w:tc>
      </w:tr>
    </w:tbl>
    <w:p w:rsidR="002E7ED3" w:rsidP="002E7ED3">
      <w:pPr>
        <w:rPr>
          <w:color w:val="000000"/>
          <w:szCs w:val="22"/>
        </w:rPr>
      </w:pPr>
    </w:p>
    <w:p w:rsidR="0038750A" w:rsidRPr="00585942" w:rsidP="0038750A">
      <w:pPr>
        <w:rPr>
          <w:b/>
          <w:color w:val="000000"/>
          <w:szCs w:val="22"/>
        </w:rPr>
      </w:pPr>
      <w:r w:rsidRPr="00585942">
        <w:rPr>
          <w:b/>
          <w:color w:val="000000"/>
          <w:szCs w:val="22"/>
        </w:rPr>
        <w:t>SECTION 310(d) APPLICATION</w:t>
      </w:r>
    </w:p>
    <w:p w:rsidR="0038750A" w:rsidRPr="0022664E" w:rsidP="0038750A">
      <w:pPr>
        <w:rPr>
          <w:color w:val="000000"/>
          <w:szCs w:val="22"/>
        </w:rPr>
      </w:pPr>
    </w:p>
    <w:p w:rsidR="008B4167" w:rsidRPr="0077094E" w:rsidP="00EF113F">
      <w:pPr>
        <w:rPr>
          <w:color w:val="000000"/>
          <w:szCs w:val="22"/>
        </w:rPr>
      </w:pPr>
      <w:r w:rsidRPr="0022664E">
        <w:rPr>
          <w:color w:val="000000"/>
          <w:szCs w:val="22"/>
        </w:rPr>
        <w:t>The application for consent to the transfer of control of license</w:t>
      </w:r>
      <w:r w:rsidR="00826D0B">
        <w:rPr>
          <w:color w:val="000000"/>
          <w:szCs w:val="22"/>
        </w:rPr>
        <w:t>s</w:t>
      </w:r>
      <w:r w:rsidRPr="0022664E">
        <w:rPr>
          <w:color w:val="000000"/>
          <w:szCs w:val="22"/>
        </w:rPr>
        <w:t xml:space="preserve"> under section 310(d) </w:t>
      </w:r>
      <w:r w:rsidR="00407C5B">
        <w:rPr>
          <w:color w:val="000000"/>
          <w:szCs w:val="22"/>
        </w:rPr>
        <w:t xml:space="preserve">of the Act </w:t>
      </w:r>
      <w:r w:rsidRPr="0022664E">
        <w:rPr>
          <w:color w:val="000000"/>
          <w:szCs w:val="22"/>
        </w:rPr>
        <w:t>ha</w:t>
      </w:r>
      <w:r w:rsidR="00826D0B">
        <w:rPr>
          <w:color w:val="000000"/>
          <w:szCs w:val="22"/>
        </w:rPr>
        <w:t>s</w:t>
      </w:r>
      <w:r w:rsidRPr="0022664E">
        <w:rPr>
          <w:color w:val="000000"/>
          <w:szCs w:val="22"/>
        </w:rPr>
        <w:t xml:space="preserve"> been assigned the file number listed below.</w:t>
      </w:r>
    </w:p>
    <w:p w:rsidR="008B4167" w:rsidP="00EF113F">
      <w:pPr>
        <w:rPr>
          <w:b/>
          <w:color w:val="000000"/>
          <w:szCs w:val="22"/>
        </w:rPr>
      </w:pPr>
    </w:p>
    <w:p w:rsidR="003F1B6E" w:rsidP="00EF113F">
      <w:pPr>
        <w:rPr>
          <w:b/>
          <w:color w:val="000000"/>
          <w:szCs w:val="22"/>
        </w:rPr>
      </w:pPr>
    </w:p>
    <w:p w:rsidR="003F1B6E" w:rsidP="00EF113F">
      <w:pPr>
        <w:rPr>
          <w:b/>
          <w:color w:val="000000"/>
          <w:szCs w:val="22"/>
        </w:rPr>
      </w:pPr>
    </w:p>
    <w:p w:rsidR="003F1B6E" w:rsidP="00EF113F">
      <w:pPr>
        <w:rPr>
          <w:b/>
          <w:color w:val="000000"/>
          <w:szCs w:val="22"/>
        </w:rPr>
      </w:pPr>
    </w:p>
    <w:p w:rsidR="003F1B6E" w:rsidP="00EF113F">
      <w:pPr>
        <w:rPr>
          <w:b/>
          <w:color w:val="000000"/>
          <w:szCs w:val="22"/>
        </w:rPr>
      </w:pPr>
    </w:p>
    <w:p w:rsidR="00EF113F" w:rsidRPr="00585942" w:rsidP="00EF113F">
      <w:pPr>
        <w:rPr>
          <w:b/>
          <w:color w:val="000000"/>
          <w:szCs w:val="22"/>
        </w:rPr>
      </w:pPr>
      <w:r w:rsidRPr="00585942">
        <w:rPr>
          <w:b/>
          <w:color w:val="000000"/>
          <w:szCs w:val="22"/>
        </w:rPr>
        <w:t xml:space="preserve">WIRELESS </w:t>
      </w:r>
      <w:r w:rsidR="00826D0B">
        <w:rPr>
          <w:b/>
          <w:color w:val="000000"/>
          <w:szCs w:val="22"/>
        </w:rPr>
        <w:t>LICENSES</w:t>
      </w:r>
      <w:r w:rsidRPr="00585942">
        <w:rPr>
          <w:b/>
          <w:color w:val="000000"/>
          <w:szCs w:val="22"/>
        </w:rPr>
        <w:t xml:space="preserve"> </w:t>
      </w:r>
    </w:p>
    <w:p w:rsidR="00EF113F" w:rsidRPr="0022664E" w:rsidP="00EF113F">
      <w:pPr>
        <w:rPr>
          <w:color w:val="000000"/>
          <w:szCs w:val="22"/>
        </w:rPr>
      </w:pPr>
    </w:p>
    <w:tbl>
      <w:tblPr>
        <w:tblW w:w="9738" w:type="dxa"/>
        <w:tblLook w:val="01E0"/>
      </w:tblPr>
      <w:tblGrid>
        <w:gridCol w:w="2880"/>
        <w:gridCol w:w="3888"/>
        <w:gridCol w:w="2970"/>
      </w:tblGrid>
      <w:tr w:rsidTr="00A67047">
        <w:tblPrEx>
          <w:tblW w:w="9738" w:type="dxa"/>
          <w:tblLook w:val="01E0"/>
        </w:tblPrEx>
        <w:trPr>
          <w:trHeight w:val="648"/>
        </w:trPr>
        <w:tc>
          <w:tcPr>
            <w:tcW w:w="2880" w:type="dxa"/>
          </w:tcPr>
          <w:p w:rsidR="00EF113F" w:rsidRPr="0022664E" w:rsidP="00EF113F">
            <w:pPr>
              <w:rPr>
                <w:color w:val="000000"/>
                <w:szCs w:val="22"/>
              </w:rPr>
            </w:pPr>
            <w:r w:rsidRPr="0022664E">
              <w:rPr>
                <w:color w:val="000000"/>
                <w:szCs w:val="22"/>
                <w:u w:val="single"/>
              </w:rPr>
              <w:t>ULS File Number</w:t>
            </w:r>
          </w:p>
        </w:tc>
        <w:tc>
          <w:tcPr>
            <w:tcW w:w="3888" w:type="dxa"/>
          </w:tcPr>
          <w:p w:rsidR="00EF113F" w:rsidRPr="0022664E" w:rsidP="00EF113F">
            <w:pPr>
              <w:rPr>
                <w:color w:val="000000"/>
                <w:szCs w:val="22"/>
                <w:u w:val="single"/>
              </w:rPr>
            </w:pPr>
            <w:r w:rsidRPr="0022664E">
              <w:rPr>
                <w:color w:val="000000"/>
                <w:szCs w:val="22"/>
                <w:u w:val="single"/>
              </w:rPr>
              <w:t>Licensee</w:t>
            </w:r>
          </w:p>
        </w:tc>
        <w:tc>
          <w:tcPr>
            <w:tcW w:w="2970" w:type="dxa"/>
          </w:tcPr>
          <w:p w:rsidR="00EF113F" w:rsidRPr="0022664E" w:rsidP="00EF113F">
            <w:pPr>
              <w:rPr>
                <w:color w:val="000000"/>
                <w:szCs w:val="22"/>
                <w:u w:val="single"/>
              </w:rPr>
            </w:pPr>
            <w:r w:rsidRPr="0022664E">
              <w:rPr>
                <w:color w:val="000000"/>
                <w:szCs w:val="22"/>
                <w:u w:val="single"/>
              </w:rPr>
              <w:t>Lead Call Sign</w:t>
            </w:r>
          </w:p>
          <w:p w:rsidR="00EF113F" w:rsidRPr="0022664E" w:rsidP="00EF113F">
            <w:pPr>
              <w:rPr>
                <w:color w:val="000000"/>
                <w:szCs w:val="22"/>
                <w:u w:val="single"/>
              </w:rPr>
            </w:pPr>
          </w:p>
        </w:tc>
      </w:tr>
    </w:tbl>
    <w:p w:rsidR="00EF113F" w:rsidRPr="0022664E" w:rsidP="00EF113F">
      <w:pPr>
        <w:rPr>
          <w:color w:val="000000"/>
          <w:szCs w:val="22"/>
        </w:rPr>
      </w:pPr>
      <w:r w:rsidRPr="0022664E">
        <w:t>0008686969</w:t>
      </w:r>
      <w:r w:rsidRPr="0022664E">
        <w:rPr>
          <w:color w:val="000000"/>
          <w:szCs w:val="22"/>
        </w:rPr>
        <w:t xml:space="preserve">                              </w:t>
      </w:r>
      <w:r w:rsidRPr="0022664E" w:rsidR="00580295">
        <w:rPr>
          <w:color w:val="000000"/>
          <w:szCs w:val="22"/>
        </w:rPr>
        <w:t xml:space="preserve">  </w:t>
      </w:r>
      <w:r w:rsidR="00826D0B">
        <w:rPr>
          <w:color w:val="000000"/>
          <w:szCs w:val="22"/>
        </w:rPr>
        <w:t>Zayo Group, LLC</w:t>
      </w:r>
      <w:r w:rsidRPr="0022664E">
        <w:rPr>
          <w:color w:val="000000"/>
          <w:szCs w:val="22"/>
        </w:rPr>
        <w:tab/>
      </w:r>
      <w:r w:rsidRPr="0022664E">
        <w:rPr>
          <w:color w:val="000000"/>
          <w:szCs w:val="22"/>
        </w:rPr>
        <w:tab/>
      </w:r>
      <w:r w:rsidRPr="0022664E">
        <w:rPr>
          <w:color w:val="000000"/>
          <w:szCs w:val="22"/>
        </w:rPr>
        <w:t xml:space="preserve">      </w:t>
      </w:r>
      <w:r w:rsidR="0030141C">
        <w:rPr>
          <w:color w:val="000000"/>
          <w:szCs w:val="22"/>
        </w:rPr>
        <w:t xml:space="preserve">            </w:t>
      </w:r>
      <w:r w:rsidR="00826D0B">
        <w:rPr>
          <w:color w:val="000000"/>
          <w:szCs w:val="22"/>
        </w:rPr>
        <w:t>WQOD968</w:t>
      </w:r>
      <w:r w:rsidRPr="0022664E">
        <w:rPr>
          <w:color w:val="000000"/>
          <w:szCs w:val="22"/>
        </w:rPr>
        <w:t xml:space="preserve">                          </w:t>
      </w:r>
    </w:p>
    <w:p w:rsidR="00EF113F" w:rsidRPr="0022664E" w:rsidP="0038750A">
      <w:pPr>
        <w:rPr>
          <w:color w:val="000000"/>
          <w:szCs w:val="22"/>
        </w:rPr>
      </w:pPr>
    </w:p>
    <w:p w:rsidR="00EF113F" w:rsidRPr="0022664E" w:rsidP="0038750A">
      <w:pPr>
        <w:rPr>
          <w:color w:val="000000"/>
          <w:szCs w:val="22"/>
        </w:rPr>
      </w:pPr>
    </w:p>
    <w:p w:rsidR="00785D9A" w:rsidRPr="00EB3FED" w:rsidP="00785D9A">
      <w:pPr>
        <w:rPr>
          <w:b/>
          <w:color w:val="000000"/>
          <w:szCs w:val="22"/>
        </w:rPr>
      </w:pPr>
      <w:r w:rsidRPr="00EB3FED">
        <w:rPr>
          <w:b/>
          <w:color w:val="000000"/>
          <w:szCs w:val="22"/>
        </w:rPr>
        <w:t xml:space="preserve">PETITION FOR DECLARATORY RULING UNDER SECTION 310(b)(4) </w:t>
      </w:r>
    </w:p>
    <w:p w:rsidR="00785D9A" w:rsidP="00785D9A">
      <w:pPr>
        <w:rPr>
          <w:color w:val="000000"/>
          <w:szCs w:val="22"/>
        </w:rPr>
      </w:pPr>
    </w:p>
    <w:p w:rsidR="00785D9A" w:rsidP="00785D9A">
      <w:pPr>
        <w:rPr>
          <w:szCs w:val="22"/>
        </w:rPr>
      </w:pPr>
      <w:r>
        <w:rPr>
          <w:color w:val="000000"/>
          <w:szCs w:val="22"/>
        </w:rPr>
        <w:tab/>
        <w:t>Z</w:t>
      </w:r>
      <w:r w:rsidR="00D82CB0">
        <w:rPr>
          <w:color w:val="000000"/>
          <w:szCs w:val="22"/>
        </w:rPr>
        <w:t>GL</w:t>
      </w:r>
      <w:r>
        <w:rPr>
          <w:color w:val="000000"/>
          <w:szCs w:val="22"/>
        </w:rPr>
        <w:t xml:space="preserve"> and Front Range (together, Petitioners) jointly request that the Commission issue a declaratory ruling, pursuant to section 310(b)(4) of the Act and section 1.5000(a)(1) of the Commission’s rules, that</w:t>
      </w:r>
      <w:r w:rsidR="008739B1">
        <w:rPr>
          <w:color w:val="000000"/>
          <w:szCs w:val="22"/>
        </w:rPr>
        <w:t xml:space="preserve"> </w:t>
      </w:r>
      <w:r>
        <w:rPr>
          <w:color w:val="000000"/>
          <w:szCs w:val="22"/>
        </w:rPr>
        <w:t>foreign ownership of Z</w:t>
      </w:r>
      <w:r w:rsidR="00D82CB0">
        <w:rPr>
          <w:color w:val="000000"/>
          <w:szCs w:val="22"/>
        </w:rPr>
        <w:t>GL</w:t>
      </w:r>
      <w:r w:rsidR="00920C9F">
        <w:rPr>
          <w:color w:val="000000"/>
          <w:szCs w:val="22"/>
        </w:rPr>
        <w:t xml:space="preserve">’s controlling U.S. parent, Zayo, </w:t>
      </w:r>
      <w:r>
        <w:rPr>
          <w:color w:val="000000"/>
          <w:szCs w:val="22"/>
        </w:rPr>
        <w:t>above the 25 percent benchmark in section 310(b)(4) is in the public interest.  Z</w:t>
      </w:r>
      <w:r w:rsidR="00D82CB0">
        <w:rPr>
          <w:color w:val="000000"/>
          <w:szCs w:val="22"/>
        </w:rPr>
        <w:t>GL</w:t>
      </w:r>
      <w:r>
        <w:rPr>
          <w:color w:val="000000"/>
          <w:szCs w:val="22"/>
        </w:rPr>
        <w:t xml:space="preserve"> and Front Range filed the Petition in connection with the Application to transfer control of Z</w:t>
      </w:r>
      <w:r w:rsidR="00D82CB0">
        <w:rPr>
          <w:color w:val="000000"/>
          <w:szCs w:val="22"/>
        </w:rPr>
        <w:t>GL’s</w:t>
      </w:r>
      <w:r>
        <w:rPr>
          <w:color w:val="000000"/>
          <w:szCs w:val="22"/>
        </w:rPr>
        <w:t xml:space="preserve"> common carrier, fixed point-to-point microwave and millimeter wave 70/80/90 GHz services licenses referenced above, ULS File No. 0008686969.  As discussed above, </w:t>
      </w:r>
      <w:r>
        <w:rPr>
          <w:szCs w:val="22"/>
        </w:rPr>
        <w:t>Front Range, through several U.S.-organized holding companies, is indirectly wholly owned by Front Range JV, LP (JV LP), a Delaware entity.  The equity and voting interests in JV LP are held, directly and indirectly, by a series of U.S. and foreign investment entities ultimately controlled by EQT AB (Sweden) and Digital Colony GP, LLC (U.S.).</w:t>
      </w:r>
      <w:r w:rsidRPr="00F6230C">
        <w:rPr>
          <w:szCs w:val="22"/>
        </w:rPr>
        <w:t xml:space="preserve"> </w:t>
      </w:r>
      <w:r>
        <w:rPr>
          <w:szCs w:val="22"/>
        </w:rPr>
        <w:t xml:space="preserve"> Petitioners state that EQT AB and Digital Colony GP, LLC will </w:t>
      </w:r>
      <w:r w:rsidR="00920C9F">
        <w:rPr>
          <w:szCs w:val="22"/>
        </w:rPr>
        <w:t xml:space="preserve">each </w:t>
      </w:r>
      <w:r>
        <w:rPr>
          <w:szCs w:val="22"/>
        </w:rPr>
        <w:t>exercise 45</w:t>
      </w:r>
      <w:r w:rsidR="00E40C65">
        <w:rPr>
          <w:szCs w:val="22"/>
        </w:rPr>
        <w:t xml:space="preserve"> percent</w:t>
      </w:r>
      <w:r>
        <w:rPr>
          <w:szCs w:val="22"/>
        </w:rPr>
        <w:t xml:space="preserve"> of the control over Front Range and, in turn, over ZGL through the board of directors of JV GP, which is the general partner of JV LP.  </w:t>
      </w:r>
    </w:p>
    <w:p w:rsidR="00785D9A" w:rsidP="00785D9A">
      <w:pPr>
        <w:rPr>
          <w:szCs w:val="22"/>
        </w:rPr>
      </w:pPr>
    </w:p>
    <w:p w:rsidR="00785D9A" w:rsidP="00CB0686">
      <w:pPr>
        <w:ind w:firstLine="720"/>
        <w:rPr>
          <w:color w:val="000000"/>
          <w:szCs w:val="22"/>
        </w:rPr>
      </w:pPr>
      <w:r>
        <w:rPr>
          <w:szCs w:val="22"/>
        </w:rPr>
        <w:t xml:space="preserve">According to the Petition, following the consummation of the proposed transaction, total </w:t>
      </w:r>
      <w:r w:rsidRPr="00D238CC">
        <w:rPr>
          <w:i/>
          <w:szCs w:val="22"/>
        </w:rPr>
        <w:t>direct</w:t>
      </w:r>
      <w:r>
        <w:rPr>
          <w:szCs w:val="22"/>
        </w:rPr>
        <w:t xml:space="preserve"> foreign equity and voting interests in</w:t>
      </w:r>
      <w:r w:rsidR="00633B7C">
        <w:rPr>
          <w:szCs w:val="22"/>
        </w:rPr>
        <w:t xml:space="preserve"> Zayo</w:t>
      </w:r>
      <w:r>
        <w:rPr>
          <w:szCs w:val="22"/>
        </w:rPr>
        <w:t xml:space="preserve">, the proposed controlling U.S. parent of </w:t>
      </w:r>
      <w:r w:rsidR="00633B7C">
        <w:rPr>
          <w:szCs w:val="22"/>
        </w:rPr>
        <w:t>ZGL</w:t>
      </w:r>
      <w:r>
        <w:rPr>
          <w:szCs w:val="22"/>
        </w:rPr>
        <w:t xml:space="preserve">, </w:t>
      </w:r>
      <w:r w:rsidR="00633B7C">
        <w:rPr>
          <w:szCs w:val="22"/>
        </w:rPr>
        <w:t>would</w:t>
      </w:r>
      <w:r>
        <w:rPr>
          <w:szCs w:val="22"/>
        </w:rPr>
        <w:t xml:space="preserve"> be 0.00</w:t>
      </w:r>
      <w:r w:rsidR="006A261C">
        <w:rPr>
          <w:szCs w:val="22"/>
        </w:rPr>
        <w:t xml:space="preserve"> percent</w:t>
      </w:r>
      <w:r>
        <w:rPr>
          <w:szCs w:val="22"/>
        </w:rPr>
        <w:t xml:space="preserve"> and </w:t>
      </w:r>
      <w:r w:rsidR="00633B7C">
        <w:rPr>
          <w:szCs w:val="22"/>
        </w:rPr>
        <w:t>0</w:t>
      </w:r>
      <w:r>
        <w:rPr>
          <w:szCs w:val="22"/>
        </w:rPr>
        <w:t>.00</w:t>
      </w:r>
      <w:r w:rsidR="00633B7C">
        <w:rPr>
          <w:szCs w:val="22"/>
        </w:rPr>
        <w:t xml:space="preserve"> percent</w:t>
      </w:r>
      <w:r>
        <w:rPr>
          <w:szCs w:val="22"/>
        </w:rPr>
        <w:t xml:space="preserve">, respectively.  Petitioners estimate that total </w:t>
      </w:r>
      <w:r w:rsidRPr="00EB3FED">
        <w:rPr>
          <w:i/>
          <w:szCs w:val="22"/>
        </w:rPr>
        <w:t>indirect</w:t>
      </w:r>
      <w:r>
        <w:rPr>
          <w:szCs w:val="22"/>
        </w:rPr>
        <w:t xml:space="preserve"> foreign equity and voting interests in </w:t>
      </w:r>
      <w:r w:rsidR="00633B7C">
        <w:rPr>
          <w:szCs w:val="22"/>
        </w:rPr>
        <w:t xml:space="preserve">Zayo </w:t>
      </w:r>
      <w:r>
        <w:rPr>
          <w:szCs w:val="22"/>
        </w:rPr>
        <w:t xml:space="preserve">post-consummation </w:t>
      </w:r>
      <w:r w:rsidR="00633B7C">
        <w:rPr>
          <w:szCs w:val="22"/>
        </w:rPr>
        <w:t>would</w:t>
      </w:r>
      <w:r>
        <w:rPr>
          <w:szCs w:val="22"/>
        </w:rPr>
        <w:t xml:space="preserve"> be 49.57</w:t>
      </w:r>
      <w:r w:rsidR="00E40C65">
        <w:rPr>
          <w:szCs w:val="22"/>
        </w:rPr>
        <w:t xml:space="preserve"> percent</w:t>
      </w:r>
      <w:r>
        <w:rPr>
          <w:szCs w:val="22"/>
        </w:rPr>
        <w:t xml:space="preserve"> and 100</w:t>
      </w:r>
      <w:r w:rsidR="00E40C65">
        <w:rPr>
          <w:szCs w:val="22"/>
        </w:rPr>
        <w:t xml:space="preserve"> percent</w:t>
      </w:r>
      <w:r>
        <w:rPr>
          <w:szCs w:val="22"/>
        </w:rPr>
        <w:t xml:space="preserve">, respectively.  Petitioners assert that the public interest would be served by approving the proposed foreign ownership and control of </w:t>
      </w:r>
      <w:r w:rsidR="00633B7C">
        <w:rPr>
          <w:szCs w:val="22"/>
        </w:rPr>
        <w:t>Zayo,</w:t>
      </w:r>
      <w:r>
        <w:rPr>
          <w:szCs w:val="22"/>
        </w:rPr>
        <w:t xml:space="preserve"> as described in the Petition, and of the foreign individuals and entities for which Petitioner</w:t>
      </w:r>
      <w:r w:rsidR="00633B7C">
        <w:rPr>
          <w:szCs w:val="22"/>
        </w:rPr>
        <w:t>s</w:t>
      </w:r>
      <w:r>
        <w:rPr>
          <w:szCs w:val="22"/>
        </w:rPr>
        <w:t xml:space="preserve"> seek approval pursuant to section 1.5001(i) of the rules.</w:t>
      </w:r>
      <w:r w:rsidRPr="007B72DB">
        <w:rPr>
          <w:szCs w:val="22"/>
        </w:rPr>
        <w:t xml:space="preserve"> </w:t>
      </w:r>
    </w:p>
    <w:p w:rsidR="00785D9A" w:rsidP="00785D9A">
      <w:pPr>
        <w:rPr>
          <w:color w:val="000000"/>
          <w:szCs w:val="22"/>
        </w:rPr>
      </w:pPr>
    </w:p>
    <w:p w:rsidR="00785D9A" w:rsidRPr="0022664E" w:rsidP="00CB0686">
      <w:pPr>
        <w:ind w:firstLine="720"/>
        <w:rPr>
          <w:color w:val="000000"/>
          <w:szCs w:val="22"/>
        </w:rPr>
      </w:pPr>
      <w:r>
        <w:rPr>
          <w:color w:val="000000"/>
          <w:szCs w:val="22"/>
        </w:rPr>
        <w:t>The Petition for Declaratory Ruling has been assigned File No. ISP-PDR-20190620-00004.</w:t>
      </w:r>
    </w:p>
    <w:bookmarkEnd w:id="1"/>
    <w:p w:rsidR="005C3453" w:rsidRPr="0022664E" w:rsidP="0038750A">
      <w:pPr>
        <w:rPr>
          <w:color w:val="000000"/>
          <w:szCs w:val="22"/>
        </w:rPr>
      </w:pPr>
    </w:p>
    <w:sectPr w:rsidSect="002710BB">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sidR="005B3A47">
      <w:rPr>
        <w:rStyle w:val="PageNumber"/>
        <w:noProof/>
      </w:rPr>
      <w:t>7</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49DA">
      <w:r>
        <w:separator/>
      </w:r>
    </w:p>
  </w:footnote>
  <w:footnote w:type="continuationSeparator" w:id="1">
    <w:p w:rsidR="00B349DA">
      <w:r>
        <w:continuationSeparator/>
      </w:r>
    </w:p>
  </w:footnote>
  <w:footnote w:type="continuationNotice" w:id="2">
    <w:p w:rsidR="00B349DA"/>
  </w:footnote>
  <w:footnote w:id="3">
    <w:p w:rsidR="00AD181A">
      <w:pPr>
        <w:pStyle w:val="FootnoteText"/>
      </w:pPr>
      <w:r>
        <w:rPr>
          <w:rStyle w:val="FootnoteReference"/>
        </w:rPr>
        <w:footnoteRef/>
      </w:r>
      <w:r>
        <w:t xml:space="preserve"> </w:t>
      </w:r>
      <w:r w:rsidRPr="00DE4B07">
        <w:rPr>
          <w:sz w:val="20"/>
        </w:rPr>
        <w:t>47 U.S.C. §§ 214, 310(d)</w:t>
      </w:r>
      <w:r>
        <w:rPr>
          <w:sz w:val="20"/>
        </w:rPr>
        <w:t>.</w:t>
      </w:r>
    </w:p>
  </w:footnote>
  <w:footnote w:id="4">
    <w:p w:rsidR="00D035B5" w:rsidP="00D035B5">
      <w:pPr>
        <w:pStyle w:val="FootnoteText"/>
        <w:spacing w:after="120"/>
        <w:rPr>
          <w:sz w:val="20"/>
        </w:rPr>
      </w:pPr>
      <w:r>
        <w:rPr>
          <w:rStyle w:val="FootnoteReference"/>
          <w:sz w:val="20"/>
        </w:rPr>
        <w:footnoteRef/>
      </w:r>
      <w:r>
        <w:rPr>
          <w:sz w:val="20"/>
        </w:rPr>
        <w:t xml:space="preserve"> </w:t>
      </w:r>
      <w:hyperlink r:id="rId1" w:history="1">
        <w:r>
          <w:rPr>
            <w:rStyle w:val="Hyperlink"/>
            <w:color w:val="000000"/>
            <w:sz w:val="20"/>
            <w:u w:val="none"/>
          </w:rPr>
          <w:t>47 U.S.C. §§ 34</w:t>
        </w:r>
      </w:hyperlink>
      <w:r>
        <w:rPr>
          <w:color w:val="000000"/>
          <w:sz w:val="20"/>
        </w:rPr>
        <w:t>-</w:t>
      </w:r>
      <w:hyperlink r:id="rId2" w:history="1">
        <w:r>
          <w:rPr>
            <w:rStyle w:val="Hyperlink"/>
            <w:color w:val="000000"/>
            <w:sz w:val="20"/>
            <w:u w:val="none"/>
          </w:rPr>
          <w:t>39</w:t>
        </w:r>
      </w:hyperlink>
      <w:r>
        <w:rPr>
          <w:color w:val="000000"/>
          <w:sz w:val="20"/>
        </w:rPr>
        <w:t xml:space="preserve">; </w:t>
      </w:r>
      <w:r>
        <w:rPr>
          <w:i/>
          <w:color w:val="000000"/>
          <w:sz w:val="20"/>
        </w:rPr>
        <w:t>s</w:t>
      </w:r>
      <w:r>
        <w:rPr>
          <w:i/>
          <w:iCs/>
          <w:color w:val="000000"/>
          <w:sz w:val="20"/>
        </w:rPr>
        <w:t>ee also</w:t>
      </w:r>
      <w:r>
        <w:rPr>
          <w:color w:val="000000"/>
          <w:sz w:val="20"/>
        </w:rPr>
        <w:t xml:space="preserve"> </w:t>
      </w:r>
      <w:hyperlink r:id="rId3" w:history="1">
        <w:r>
          <w:rPr>
            <w:rStyle w:val="Hyperlink"/>
            <w:color w:val="000000"/>
            <w:sz w:val="20"/>
            <w:u w:val="none"/>
          </w:rPr>
          <w:t>Exec. Ord. No. 10530</w:t>
        </w:r>
      </w:hyperlink>
      <w:r>
        <w:rPr>
          <w:color w:val="000000"/>
          <w:sz w:val="20"/>
        </w:rPr>
        <w:t xml:space="preserve">, Sec. 5(a), reprinted as amended at </w:t>
      </w:r>
      <w:hyperlink r:id="rId4" w:history="1">
        <w:r>
          <w:rPr>
            <w:rStyle w:val="Hyperlink"/>
            <w:color w:val="000000"/>
            <w:sz w:val="20"/>
            <w:u w:val="none"/>
          </w:rPr>
          <w:t>3 U.S.C. § 301</w:t>
        </w:r>
      </w:hyperlink>
      <w:r>
        <w:rPr>
          <w:color w:val="000000"/>
          <w:sz w:val="20"/>
        </w:rPr>
        <w:t xml:space="preserve"> (delegating the President’s authority under the Cable Landing License Act to the Commission).</w:t>
      </w:r>
    </w:p>
  </w:footnote>
  <w:footnote w:id="5">
    <w:p w:rsidR="007656E1" w:rsidRPr="00DE4B07" w:rsidP="007656E1">
      <w:pPr>
        <w:pStyle w:val="FootnoteText"/>
        <w:rPr>
          <w:sz w:val="20"/>
        </w:rPr>
      </w:pPr>
      <w:r w:rsidRPr="00DE4B07">
        <w:rPr>
          <w:rStyle w:val="FootnoteReference"/>
          <w:sz w:val="20"/>
        </w:rPr>
        <w:footnoteRef/>
      </w:r>
      <w:r w:rsidRPr="00DE4B07">
        <w:rPr>
          <w:sz w:val="20"/>
        </w:rPr>
        <w:t xml:space="preserve"> 47 CFR §§ </w:t>
      </w:r>
      <w:r w:rsidR="00E1311E">
        <w:rPr>
          <w:sz w:val="20"/>
        </w:rPr>
        <w:t xml:space="preserve">1.767, </w:t>
      </w:r>
      <w:r w:rsidR="00BF05AA">
        <w:rPr>
          <w:sz w:val="20"/>
        </w:rPr>
        <w:t xml:space="preserve">1.948, </w:t>
      </w:r>
      <w:r w:rsidRPr="00DE4B07">
        <w:rPr>
          <w:sz w:val="20"/>
        </w:rPr>
        <w:t>63.03-04, 63.18, 63.24.</w:t>
      </w:r>
    </w:p>
  </w:footnote>
  <w:footnote w:id="6">
    <w:p w:rsidR="00720946" w:rsidRPr="00234975">
      <w:pPr>
        <w:pStyle w:val="FootnoteText"/>
        <w:rPr>
          <w:sz w:val="20"/>
        </w:rPr>
      </w:pPr>
      <w:r w:rsidRPr="00944B3A">
        <w:rPr>
          <w:rStyle w:val="FootnoteReference"/>
          <w:sz w:val="20"/>
        </w:rPr>
        <w:footnoteRef/>
      </w:r>
      <w:r w:rsidRPr="00944B3A">
        <w:rPr>
          <w:sz w:val="20"/>
        </w:rPr>
        <w:t xml:space="preserve"> </w:t>
      </w:r>
      <w:r w:rsidR="00377A13">
        <w:rPr>
          <w:sz w:val="20"/>
        </w:rPr>
        <w:t>Joint Application of Zayo Group Holdings, Inc., Allstream Business US, LLC, Electric Lightwave</w:t>
      </w:r>
      <w:r w:rsidR="00A2001F">
        <w:rPr>
          <w:sz w:val="20"/>
        </w:rPr>
        <w:t>, LLC, and Zayo Group, LLC for Authority Pursuant to Section 214 of the Communications Act of 1934, as Amended, to Transfer Indirect Control of Domestic and International Section 214 Authorization Holders to Front Range TopCo, Inc., WCB Docket No. 19-166 (filed June 17, 2019) (</w:t>
      </w:r>
      <w:r w:rsidR="00E21FE1">
        <w:rPr>
          <w:sz w:val="20"/>
        </w:rPr>
        <w:t xml:space="preserve">Lead </w:t>
      </w:r>
      <w:r w:rsidR="00A2001F">
        <w:rPr>
          <w:sz w:val="20"/>
        </w:rPr>
        <w:t>Application).</w:t>
      </w:r>
      <w:r w:rsidR="00C10C58">
        <w:rPr>
          <w:sz w:val="20"/>
        </w:rPr>
        <w:t xml:space="preserve">  </w:t>
      </w:r>
      <w:r w:rsidR="0022664E">
        <w:rPr>
          <w:sz w:val="20"/>
        </w:rPr>
        <w:t xml:space="preserve">Applicants have also filed applications seeking Commission approval for the transfer of control of Licensees’ submarine cable landing license and wireless licenses.  </w:t>
      </w:r>
      <w:r w:rsidR="0022664E">
        <w:rPr>
          <w:i/>
          <w:sz w:val="20"/>
        </w:rPr>
        <w:t xml:space="preserve">See </w:t>
      </w:r>
      <w:r w:rsidR="00C10C58">
        <w:rPr>
          <w:sz w:val="20"/>
        </w:rPr>
        <w:t>Attachment A</w:t>
      </w:r>
      <w:r w:rsidR="0022664E">
        <w:rPr>
          <w:sz w:val="20"/>
        </w:rPr>
        <w:t xml:space="preserve"> below</w:t>
      </w:r>
      <w:r w:rsidR="00C10C58">
        <w:rPr>
          <w:sz w:val="20"/>
        </w:rPr>
        <w:t>.</w:t>
      </w:r>
    </w:p>
  </w:footnote>
  <w:footnote w:id="7">
    <w:p w:rsidR="00D82CB0" w:rsidRPr="00D238CC" w:rsidP="00D82CB0">
      <w:pPr>
        <w:pStyle w:val="FootnoteText"/>
        <w:rPr>
          <w:sz w:val="20"/>
        </w:rPr>
      </w:pPr>
      <w:r w:rsidRPr="00D238CC">
        <w:rPr>
          <w:rStyle w:val="FootnoteReference"/>
          <w:sz w:val="20"/>
        </w:rPr>
        <w:footnoteRef/>
      </w:r>
      <w:r w:rsidRPr="00D238CC">
        <w:rPr>
          <w:sz w:val="20"/>
        </w:rPr>
        <w:t xml:space="preserve"> </w:t>
      </w:r>
      <w:r>
        <w:rPr>
          <w:sz w:val="20"/>
        </w:rPr>
        <w:t xml:space="preserve">47 U.S.C. § 310(b)(4); </w:t>
      </w:r>
      <w:r w:rsidRPr="00D238CC">
        <w:rPr>
          <w:sz w:val="20"/>
        </w:rPr>
        <w:t xml:space="preserve">47 CFR </w:t>
      </w:r>
      <w:r w:rsidRPr="003602FC">
        <w:rPr>
          <w:sz w:val="20"/>
        </w:rPr>
        <w:t>§</w:t>
      </w:r>
      <w:r w:rsidRPr="00D238CC">
        <w:rPr>
          <w:sz w:val="20"/>
        </w:rPr>
        <w:t xml:space="preserve"> 1.5000(a)(1).</w:t>
      </w:r>
    </w:p>
  </w:footnote>
  <w:footnote w:id="8">
    <w:p w:rsidR="001369D6" w:rsidP="001B158F">
      <w:pPr>
        <w:autoSpaceDE w:val="0"/>
        <w:autoSpaceDN w:val="0"/>
        <w:adjustRightInd w:val="0"/>
        <w:rPr>
          <w:sz w:val="20"/>
        </w:rPr>
      </w:pPr>
      <w:r>
        <w:rPr>
          <w:rStyle w:val="FootnoteReference"/>
        </w:rPr>
        <w:footnoteRef/>
      </w:r>
      <w:r>
        <w:t xml:space="preserve"> </w:t>
      </w:r>
      <w:r w:rsidRPr="00377A13">
        <w:rPr>
          <w:sz w:val="20"/>
        </w:rPr>
        <w:t xml:space="preserve">Front Range is affiliated with </w:t>
      </w:r>
      <w:r w:rsidRPr="00377A13" w:rsidR="00940AAE">
        <w:rPr>
          <w:sz w:val="20"/>
        </w:rPr>
        <w:t>two incumbent local exchange carriers</w:t>
      </w:r>
      <w:r w:rsidR="00E36283">
        <w:rPr>
          <w:sz w:val="20"/>
        </w:rPr>
        <w:t>,</w:t>
      </w:r>
      <w:r w:rsidRPr="00377A13" w:rsidR="00940AAE">
        <w:rPr>
          <w:sz w:val="20"/>
        </w:rPr>
        <w:t xml:space="preserve"> Lumos Telephone Inc. and Lumos Telephone of Botetourt Inc., both Virginia </w:t>
      </w:r>
      <w:r w:rsidR="00561463">
        <w:rPr>
          <w:sz w:val="20"/>
        </w:rPr>
        <w:t>entities</w:t>
      </w:r>
      <w:r w:rsidRPr="00377A13" w:rsidR="00940AAE">
        <w:rPr>
          <w:sz w:val="20"/>
        </w:rPr>
        <w:t xml:space="preserve"> serving rural Virginia.  In addition, </w:t>
      </w:r>
      <w:r w:rsidRPr="00377A13" w:rsidR="00377A13">
        <w:rPr>
          <w:sz w:val="20"/>
        </w:rPr>
        <w:t xml:space="preserve">Front Range is affiliated with other providers of </w:t>
      </w:r>
      <w:r w:rsidRPr="00377A13" w:rsidR="00940AAE">
        <w:rPr>
          <w:sz w:val="20"/>
        </w:rPr>
        <w:t xml:space="preserve">competitive </w:t>
      </w:r>
      <w:r w:rsidRPr="00377A13" w:rsidR="00377A13">
        <w:rPr>
          <w:sz w:val="20"/>
        </w:rPr>
        <w:t xml:space="preserve">telecommunications services </w:t>
      </w:r>
      <w:r w:rsidRPr="00377A13" w:rsidR="00940AAE">
        <w:rPr>
          <w:sz w:val="20"/>
        </w:rPr>
        <w:t>operating in several states</w:t>
      </w:r>
      <w:r w:rsidRPr="00377A13" w:rsidR="00377A13">
        <w:rPr>
          <w:sz w:val="20"/>
        </w:rPr>
        <w:t>, each U.S. entities:  Lumo</w:t>
      </w:r>
      <w:r w:rsidR="005E7171">
        <w:rPr>
          <w:sz w:val="20"/>
        </w:rPr>
        <w:t>s</w:t>
      </w:r>
      <w:r w:rsidRPr="00377A13" w:rsidR="00377A13">
        <w:rPr>
          <w:sz w:val="20"/>
        </w:rPr>
        <w:t xml:space="preserve"> Networks Inc., Lumos Networks of West Virginia Inc., Lumos Networks LLC, FiberNet of Ohio, LLC, FiberNet Telecommunications of Pennsylvania, LLC, FiberNet of Virginia, Inc., LMK Communications, LLC, </w:t>
      </w:r>
      <w:r w:rsidR="005200CE">
        <w:rPr>
          <w:sz w:val="20"/>
        </w:rPr>
        <w:t xml:space="preserve">South Carolina Telecommunications Group Holdings, LLC, </w:t>
      </w:r>
      <w:r w:rsidRPr="00377A13" w:rsidR="00377A13">
        <w:rPr>
          <w:sz w:val="20"/>
        </w:rPr>
        <w:t xml:space="preserve">South Carolina Net, Inc. d/b/a Spirit Telecom, PalmettoNet, Inc., and FRC, LLC.  Applicants provide information on the type of services and service areas for each of these entities.  </w:t>
      </w:r>
      <w:r w:rsidR="0027442F">
        <w:rPr>
          <w:sz w:val="20"/>
        </w:rPr>
        <w:t xml:space="preserve">Lead </w:t>
      </w:r>
      <w:r w:rsidRPr="00377A13" w:rsidR="00377A13">
        <w:rPr>
          <w:sz w:val="20"/>
        </w:rPr>
        <w:t>Application at 16.</w:t>
      </w:r>
      <w:r w:rsidR="00C5569D">
        <w:rPr>
          <w:sz w:val="20"/>
        </w:rPr>
        <w:t xml:space="preserve">  Applicants state that there are no enterprise building overlap</w:t>
      </w:r>
      <w:r w:rsidR="00580295">
        <w:rPr>
          <w:sz w:val="20"/>
        </w:rPr>
        <w:t>s</w:t>
      </w:r>
      <w:r w:rsidR="00C5569D">
        <w:rPr>
          <w:sz w:val="20"/>
        </w:rPr>
        <w:t xml:space="preserve"> where both the Licensees and a domestic telecommunications service provider affiliate of Front Range offer lit service.  </w:t>
      </w:r>
      <w:r w:rsidR="00E21FE1">
        <w:rPr>
          <w:sz w:val="20"/>
        </w:rPr>
        <w:t xml:space="preserve">Lead </w:t>
      </w:r>
      <w:r w:rsidR="00580295">
        <w:rPr>
          <w:sz w:val="20"/>
        </w:rPr>
        <w:t>Application</w:t>
      </w:r>
      <w:r w:rsidR="001B2C2C">
        <w:rPr>
          <w:sz w:val="20"/>
        </w:rPr>
        <w:t>,</w:t>
      </w:r>
      <w:r w:rsidR="00CA3C71">
        <w:rPr>
          <w:sz w:val="20"/>
        </w:rPr>
        <w:t xml:space="preserve"> </w:t>
      </w:r>
      <w:r w:rsidR="00580295">
        <w:rPr>
          <w:sz w:val="20"/>
        </w:rPr>
        <w:t xml:space="preserve">Exh. B </w:t>
      </w:r>
      <w:r w:rsidR="00CB0686">
        <w:rPr>
          <w:sz w:val="20"/>
        </w:rPr>
        <w:t xml:space="preserve">(Public Interest Statement) </w:t>
      </w:r>
      <w:r w:rsidR="00580295">
        <w:rPr>
          <w:sz w:val="20"/>
        </w:rPr>
        <w:t>at 3.</w:t>
      </w:r>
    </w:p>
    <w:p w:rsidR="001B158F" w:rsidRPr="001B158F" w:rsidP="001B158F">
      <w:pPr>
        <w:autoSpaceDE w:val="0"/>
        <w:autoSpaceDN w:val="0"/>
        <w:adjustRightInd w:val="0"/>
        <w:rPr>
          <w:szCs w:val="22"/>
        </w:rPr>
      </w:pPr>
    </w:p>
  </w:footnote>
  <w:footnote w:id="9">
    <w:p w:rsidR="005B25B5" w:rsidP="005B25B5">
      <w:pPr>
        <w:pStyle w:val="FootnoteText"/>
      </w:pPr>
      <w:r>
        <w:rPr>
          <w:rStyle w:val="FootnoteReference"/>
        </w:rPr>
        <w:footnoteRef/>
      </w:r>
      <w:r>
        <w:t xml:space="preserve"> </w:t>
      </w:r>
      <w:r w:rsidRPr="00F6230C" w:rsidR="00F6230C">
        <w:rPr>
          <w:sz w:val="20"/>
        </w:rPr>
        <w:t>Applicants provide a description of each of the U.S. and foreign entities in the chain of ownership that will hold a 10 percent or greater interest in JV LP, and thus Zayo</w:t>
      </w:r>
      <w:r w:rsidR="001F51CD">
        <w:rPr>
          <w:sz w:val="20"/>
        </w:rPr>
        <w:t xml:space="preserve"> and the Licensees</w:t>
      </w:r>
      <w:r w:rsidRPr="00F6230C" w:rsidR="00F6230C">
        <w:rPr>
          <w:sz w:val="20"/>
        </w:rPr>
        <w:t xml:space="preserve">, post-consummation, along with each of their respective citizenships and ownership percentages.  </w:t>
      </w:r>
      <w:r w:rsidR="00E21FE1">
        <w:rPr>
          <w:sz w:val="20"/>
        </w:rPr>
        <w:t xml:space="preserve">Lead </w:t>
      </w:r>
      <w:r w:rsidRPr="00F6230C" w:rsidR="00F6230C">
        <w:rPr>
          <w:sz w:val="20"/>
        </w:rPr>
        <w:t>Application</w:t>
      </w:r>
      <w:r w:rsidR="006917C9">
        <w:rPr>
          <w:sz w:val="20"/>
        </w:rPr>
        <w:t>,</w:t>
      </w:r>
      <w:r w:rsidRPr="00F6230C" w:rsidR="00F6230C">
        <w:rPr>
          <w:sz w:val="20"/>
        </w:rPr>
        <w:t xml:space="preserve"> Exh. C</w:t>
      </w:r>
      <w:r w:rsidR="006917C9">
        <w:rPr>
          <w:sz w:val="20"/>
        </w:rPr>
        <w:t xml:space="preserve"> (Ownership Structure)</w:t>
      </w:r>
      <w:r w:rsidRPr="00F6230C" w:rsidR="00F6230C">
        <w:rPr>
          <w:sz w:val="20"/>
        </w:rPr>
        <w:t xml:space="preserve">. </w:t>
      </w:r>
      <w:r w:rsidR="00B93990">
        <w:rPr>
          <w:sz w:val="20"/>
        </w:rPr>
        <w:t xml:space="preserve"> </w:t>
      </w:r>
      <w:r w:rsidRPr="00F6230C" w:rsidR="00F6230C">
        <w:rPr>
          <w:sz w:val="20"/>
        </w:rPr>
        <w:t xml:space="preserve">Applicants also provide </w:t>
      </w:r>
      <w:r w:rsidR="006917C9">
        <w:rPr>
          <w:sz w:val="20"/>
        </w:rPr>
        <w:t>organizational charts depicting ownership</w:t>
      </w:r>
      <w:r w:rsidRPr="00F6230C" w:rsidR="00F6230C">
        <w:rPr>
          <w:sz w:val="20"/>
        </w:rPr>
        <w:t xml:space="preserve">.  </w:t>
      </w:r>
      <w:r w:rsidR="00E21FE1">
        <w:rPr>
          <w:sz w:val="20"/>
        </w:rPr>
        <w:t xml:space="preserve">Lead </w:t>
      </w:r>
      <w:r w:rsidRPr="00F6230C" w:rsidR="00F6230C">
        <w:rPr>
          <w:sz w:val="20"/>
        </w:rPr>
        <w:t>Application</w:t>
      </w:r>
      <w:r w:rsidR="001B2C2C">
        <w:rPr>
          <w:sz w:val="20"/>
        </w:rPr>
        <w:t>,</w:t>
      </w:r>
      <w:r w:rsidRPr="00F6230C" w:rsidR="00F6230C">
        <w:rPr>
          <w:sz w:val="20"/>
        </w:rPr>
        <w:t xml:space="preserve"> Exh. A</w:t>
      </w:r>
      <w:r w:rsidR="001B2C2C">
        <w:rPr>
          <w:sz w:val="20"/>
        </w:rPr>
        <w:t xml:space="preserve"> (Current and </w:t>
      </w:r>
      <w:r w:rsidR="006917C9">
        <w:rPr>
          <w:sz w:val="20"/>
        </w:rPr>
        <w:t>Post-Transaction Organization Charts)</w:t>
      </w:r>
      <w:r w:rsidRPr="00F6230C" w:rsidR="00F6230C">
        <w:rPr>
          <w:sz w:val="20"/>
        </w:rPr>
        <w:t>.</w:t>
      </w:r>
      <w:r w:rsidR="00F52F66">
        <w:rPr>
          <w:sz w:val="20"/>
        </w:rPr>
        <w:t xml:space="preserve">  </w:t>
      </w:r>
    </w:p>
  </w:footnote>
  <w:footnote w:id="10">
    <w:p w:rsidR="00326C90" w:rsidP="00182A74">
      <w:pPr>
        <w:pStyle w:val="FootnoteText"/>
      </w:pPr>
      <w:r>
        <w:rPr>
          <w:rStyle w:val="FootnoteReference"/>
        </w:rPr>
        <w:footnoteRef/>
      </w:r>
      <w:r>
        <w:t xml:space="preserve"> </w:t>
      </w:r>
      <w:r w:rsidRPr="00182A74" w:rsidR="00182A74">
        <w:rPr>
          <w:sz w:val="20"/>
        </w:rPr>
        <w:t>Applicants state that</w:t>
      </w:r>
      <w:r w:rsidR="00182A74">
        <w:rPr>
          <w:sz w:val="20"/>
        </w:rPr>
        <w:t xml:space="preserve"> the board</w:t>
      </w:r>
      <w:r w:rsidR="00256B4A">
        <w:rPr>
          <w:sz w:val="20"/>
        </w:rPr>
        <w:t xml:space="preserve"> of JV GP</w:t>
      </w:r>
      <w:r w:rsidR="00182A74">
        <w:rPr>
          <w:sz w:val="20"/>
        </w:rPr>
        <w:t xml:space="preserve"> will consist of</w:t>
      </w:r>
      <w:r w:rsidRPr="00182A74" w:rsidR="00182A74">
        <w:rPr>
          <w:sz w:val="20"/>
        </w:rPr>
        <w:t xml:space="preserve"> </w:t>
      </w:r>
      <w:r w:rsidR="00447D27">
        <w:rPr>
          <w:sz w:val="20"/>
        </w:rPr>
        <w:t xml:space="preserve">10 </w:t>
      </w:r>
      <w:r w:rsidRPr="00182A74" w:rsidR="00182A74">
        <w:rPr>
          <w:sz w:val="20"/>
        </w:rPr>
        <w:t>members, with four directors nominated each by EQT and D</w:t>
      </w:r>
      <w:r w:rsidR="001F51CD">
        <w:rPr>
          <w:sz w:val="20"/>
        </w:rPr>
        <w:t>igital Colony</w:t>
      </w:r>
      <w:r w:rsidRPr="00182A74" w:rsidR="00182A74">
        <w:rPr>
          <w:sz w:val="20"/>
        </w:rPr>
        <w:t xml:space="preserve">, one director nominated by FMR, LLC </w:t>
      </w:r>
      <w:r w:rsidR="00182A74">
        <w:rPr>
          <w:sz w:val="20"/>
        </w:rPr>
        <w:t xml:space="preserve">(a Delaware entity </w:t>
      </w:r>
      <w:r w:rsidR="007C1215">
        <w:rPr>
          <w:sz w:val="20"/>
        </w:rPr>
        <w:t>that</w:t>
      </w:r>
      <w:r w:rsidR="00182A74">
        <w:rPr>
          <w:sz w:val="20"/>
        </w:rPr>
        <w:t xml:space="preserve"> will hold 7.6 percent of</w:t>
      </w:r>
      <w:r w:rsidR="00B25760">
        <w:rPr>
          <w:sz w:val="20"/>
        </w:rPr>
        <w:t xml:space="preserve"> the </w:t>
      </w:r>
      <w:r w:rsidR="00182A74">
        <w:rPr>
          <w:sz w:val="20"/>
        </w:rPr>
        <w:t>equity</w:t>
      </w:r>
      <w:r w:rsidR="00B25760">
        <w:rPr>
          <w:sz w:val="20"/>
        </w:rPr>
        <w:t xml:space="preserve"> of Zayo</w:t>
      </w:r>
      <w:r w:rsidR="00182A74">
        <w:rPr>
          <w:sz w:val="20"/>
        </w:rPr>
        <w:t xml:space="preserve"> post-consummation)</w:t>
      </w:r>
      <w:r w:rsidR="007C1BBF">
        <w:rPr>
          <w:sz w:val="20"/>
        </w:rPr>
        <w:t>,</w:t>
      </w:r>
      <w:r w:rsidR="00182A74">
        <w:rPr>
          <w:sz w:val="20"/>
        </w:rPr>
        <w:t xml:space="preserve"> </w:t>
      </w:r>
      <w:r w:rsidRPr="00182A74" w:rsidR="00182A74">
        <w:rPr>
          <w:sz w:val="20"/>
        </w:rPr>
        <w:t>and the tenth member, an independent non</w:t>
      </w:r>
      <w:r w:rsidR="00E17EC3">
        <w:rPr>
          <w:sz w:val="20"/>
        </w:rPr>
        <w:t>-</w:t>
      </w:r>
      <w:r w:rsidRPr="00182A74" w:rsidR="00182A74">
        <w:rPr>
          <w:sz w:val="20"/>
        </w:rPr>
        <w:t>executive Chairman, chosen by consensus between EQT</w:t>
      </w:r>
      <w:r w:rsidR="00115EE2">
        <w:rPr>
          <w:sz w:val="20"/>
        </w:rPr>
        <w:t xml:space="preserve"> and Digital Colony</w:t>
      </w:r>
      <w:r w:rsidRPr="00182A74" w:rsidR="00182A74">
        <w:rPr>
          <w:sz w:val="20"/>
        </w:rPr>
        <w:t xml:space="preserve">. </w:t>
      </w:r>
    </w:p>
  </w:footnote>
  <w:footnote w:id="11">
    <w:p w:rsidR="00C86B1E" w:rsidRPr="00200E0F">
      <w:pPr>
        <w:pStyle w:val="FootnoteText"/>
        <w:rPr>
          <w:sz w:val="20"/>
        </w:rPr>
      </w:pPr>
      <w:r>
        <w:rPr>
          <w:rStyle w:val="FootnoteReference"/>
        </w:rPr>
        <w:footnoteRef/>
      </w:r>
      <w:r>
        <w:t xml:space="preserve"> </w:t>
      </w:r>
      <w:r w:rsidR="00305B61">
        <w:rPr>
          <w:sz w:val="20"/>
        </w:rPr>
        <w:t xml:space="preserve">Applicants provide a description of the EQT Fund </w:t>
      </w:r>
      <w:r w:rsidR="00E465EF">
        <w:rPr>
          <w:sz w:val="20"/>
        </w:rPr>
        <w:t xml:space="preserve">and </w:t>
      </w:r>
      <w:r w:rsidR="00450B2A">
        <w:rPr>
          <w:sz w:val="20"/>
        </w:rPr>
        <w:t>its</w:t>
      </w:r>
      <w:r w:rsidR="00E465EF">
        <w:rPr>
          <w:sz w:val="20"/>
        </w:rPr>
        <w:t xml:space="preserve"> related entities</w:t>
      </w:r>
      <w:r w:rsidR="00DE5CD2">
        <w:rPr>
          <w:sz w:val="20"/>
        </w:rPr>
        <w:t>,</w:t>
      </w:r>
      <w:r w:rsidR="00E465EF">
        <w:rPr>
          <w:sz w:val="20"/>
        </w:rPr>
        <w:t xml:space="preserve"> including general and limited partners</w:t>
      </w:r>
      <w:r w:rsidR="00DE5CD2">
        <w:rPr>
          <w:sz w:val="20"/>
        </w:rPr>
        <w:t>,</w:t>
      </w:r>
      <w:r w:rsidR="00E465EF">
        <w:rPr>
          <w:sz w:val="20"/>
        </w:rPr>
        <w:t xml:space="preserve"> </w:t>
      </w:r>
      <w:r w:rsidR="00305B61">
        <w:rPr>
          <w:sz w:val="20"/>
        </w:rPr>
        <w:t xml:space="preserve">in their Application.  </w:t>
      </w:r>
      <w:r w:rsidR="00E21FE1">
        <w:rPr>
          <w:sz w:val="20"/>
        </w:rPr>
        <w:t xml:space="preserve">Lead </w:t>
      </w:r>
      <w:r w:rsidR="00305B61">
        <w:rPr>
          <w:sz w:val="20"/>
        </w:rPr>
        <w:t>Application</w:t>
      </w:r>
      <w:r w:rsidR="00450B2A">
        <w:rPr>
          <w:sz w:val="20"/>
        </w:rPr>
        <w:t xml:space="preserve">, </w:t>
      </w:r>
      <w:r w:rsidR="00305B61">
        <w:rPr>
          <w:sz w:val="20"/>
        </w:rPr>
        <w:t xml:space="preserve">Exh. C </w:t>
      </w:r>
      <w:r w:rsidR="00E17EC3">
        <w:rPr>
          <w:sz w:val="20"/>
        </w:rPr>
        <w:t xml:space="preserve">(Ownership Structure) </w:t>
      </w:r>
      <w:r w:rsidR="00305B61">
        <w:rPr>
          <w:sz w:val="20"/>
        </w:rPr>
        <w:t xml:space="preserve">at 1-3 and 9-16.  </w:t>
      </w:r>
      <w:r>
        <w:rPr>
          <w:sz w:val="20"/>
        </w:rPr>
        <w:t>Applicants state that Investor Investments Holding AB</w:t>
      </w:r>
      <w:r w:rsidR="00B93990">
        <w:rPr>
          <w:sz w:val="20"/>
        </w:rPr>
        <w:t>, a Swedish entity,</w:t>
      </w:r>
      <w:r>
        <w:rPr>
          <w:sz w:val="20"/>
        </w:rPr>
        <w:t xml:space="preserve"> holds a 23.23 percent interest in EQT and that Investor Investments Holding AB is ultimately indirectly wholly owned by Investor AB, al</w:t>
      </w:r>
      <w:r w:rsidR="00B93990">
        <w:rPr>
          <w:sz w:val="20"/>
        </w:rPr>
        <w:t>so a</w:t>
      </w:r>
      <w:r>
        <w:rPr>
          <w:sz w:val="20"/>
        </w:rPr>
        <w:t xml:space="preserve"> Swedish entit</w:t>
      </w:r>
      <w:r w:rsidR="00B93990">
        <w:rPr>
          <w:sz w:val="20"/>
        </w:rPr>
        <w:t>y</w:t>
      </w:r>
      <w:r>
        <w:rPr>
          <w:sz w:val="20"/>
        </w:rPr>
        <w:t xml:space="preserve">.  </w:t>
      </w:r>
      <w:r w:rsidR="006B3B24">
        <w:rPr>
          <w:sz w:val="20"/>
        </w:rPr>
        <w:t xml:space="preserve">Applicants further state that </w:t>
      </w:r>
      <w:r>
        <w:rPr>
          <w:sz w:val="20"/>
        </w:rPr>
        <w:t xml:space="preserve">Investor AB is a publicly-traded company and that no single individual holds a 10 percent or greater interest.  Applicants provide a list of the board members </w:t>
      </w:r>
      <w:r w:rsidR="00F10081">
        <w:rPr>
          <w:sz w:val="20"/>
        </w:rPr>
        <w:t xml:space="preserve">and officers </w:t>
      </w:r>
      <w:r>
        <w:rPr>
          <w:sz w:val="20"/>
        </w:rPr>
        <w:t>of Investor AB, wh</w:t>
      </w:r>
      <w:r w:rsidR="00450B2A">
        <w:rPr>
          <w:sz w:val="20"/>
        </w:rPr>
        <w:t xml:space="preserve">o </w:t>
      </w:r>
      <w:r w:rsidR="00F10081">
        <w:rPr>
          <w:sz w:val="20"/>
        </w:rPr>
        <w:t xml:space="preserve">are </w:t>
      </w:r>
      <w:r>
        <w:rPr>
          <w:sz w:val="20"/>
        </w:rPr>
        <w:t>citizens of Sweden</w:t>
      </w:r>
      <w:r w:rsidR="00F10081">
        <w:rPr>
          <w:sz w:val="20"/>
        </w:rPr>
        <w:t>, Canada, U.S.,</w:t>
      </w:r>
      <w:r w:rsidR="00EF18E6">
        <w:rPr>
          <w:sz w:val="20"/>
        </w:rPr>
        <w:t xml:space="preserve"> </w:t>
      </w:r>
      <w:r w:rsidR="00F10081">
        <w:rPr>
          <w:sz w:val="20"/>
        </w:rPr>
        <w:t>Great Britain</w:t>
      </w:r>
      <w:r w:rsidR="00EF18E6">
        <w:rPr>
          <w:sz w:val="20"/>
        </w:rPr>
        <w:t>, and Norway</w:t>
      </w:r>
      <w:r>
        <w:rPr>
          <w:sz w:val="20"/>
        </w:rPr>
        <w:t xml:space="preserve">.  </w:t>
      </w:r>
      <w:r w:rsidR="00450B2A">
        <w:rPr>
          <w:i/>
          <w:sz w:val="20"/>
        </w:rPr>
        <w:t>Id</w:t>
      </w:r>
      <w:r w:rsidRPr="00200E0F">
        <w:rPr>
          <w:sz w:val="20"/>
        </w:rPr>
        <w:t xml:space="preserve"> at 1</w:t>
      </w:r>
      <w:r w:rsidR="00200E0F">
        <w:rPr>
          <w:sz w:val="20"/>
        </w:rPr>
        <w:t>4-16</w:t>
      </w:r>
      <w:r w:rsidRPr="00200E0F">
        <w:rPr>
          <w:sz w:val="20"/>
        </w:rPr>
        <w:t>.</w:t>
      </w:r>
    </w:p>
  </w:footnote>
  <w:footnote w:id="12">
    <w:p w:rsidR="00C86B1E">
      <w:pPr>
        <w:pStyle w:val="FootnoteText"/>
      </w:pPr>
      <w:r w:rsidRPr="00200E0F">
        <w:rPr>
          <w:rStyle w:val="FootnoteReference"/>
          <w:sz w:val="20"/>
        </w:rPr>
        <w:footnoteRef/>
      </w:r>
      <w:r w:rsidRPr="00200E0F">
        <w:rPr>
          <w:sz w:val="20"/>
        </w:rPr>
        <w:t xml:space="preserve"> </w:t>
      </w:r>
      <w:r w:rsidRPr="00305B61" w:rsidR="00305B61">
        <w:rPr>
          <w:sz w:val="20"/>
        </w:rPr>
        <w:t xml:space="preserve">Applicants provide a description of the </w:t>
      </w:r>
      <w:r w:rsidR="00305B61">
        <w:rPr>
          <w:sz w:val="20"/>
        </w:rPr>
        <w:t>DCP</w:t>
      </w:r>
      <w:r w:rsidRPr="00305B61" w:rsidR="00305B61">
        <w:rPr>
          <w:sz w:val="20"/>
        </w:rPr>
        <w:t xml:space="preserve"> Fund</w:t>
      </w:r>
      <w:r w:rsidR="00021B30">
        <w:rPr>
          <w:sz w:val="20"/>
        </w:rPr>
        <w:t xml:space="preserve"> and </w:t>
      </w:r>
      <w:r w:rsidR="00450B2A">
        <w:rPr>
          <w:sz w:val="20"/>
        </w:rPr>
        <w:t>its</w:t>
      </w:r>
      <w:r w:rsidR="00021B30">
        <w:rPr>
          <w:sz w:val="20"/>
        </w:rPr>
        <w:t xml:space="preserve"> related entities</w:t>
      </w:r>
      <w:r w:rsidR="00DE5CD2">
        <w:rPr>
          <w:sz w:val="20"/>
        </w:rPr>
        <w:t>,</w:t>
      </w:r>
      <w:r w:rsidR="00021B30">
        <w:rPr>
          <w:sz w:val="20"/>
        </w:rPr>
        <w:t xml:space="preserve"> including general and limited partners</w:t>
      </w:r>
      <w:r w:rsidR="00DE5CD2">
        <w:rPr>
          <w:sz w:val="20"/>
        </w:rPr>
        <w:t>,</w:t>
      </w:r>
      <w:r w:rsidRPr="00305B61" w:rsidR="00305B61">
        <w:rPr>
          <w:sz w:val="20"/>
        </w:rPr>
        <w:t xml:space="preserve"> in their Application.  </w:t>
      </w:r>
      <w:r w:rsidR="00450B2A">
        <w:rPr>
          <w:i/>
          <w:sz w:val="20"/>
        </w:rPr>
        <w:t>Id.</w:t>
      </w:r>
      <w:r w:rsidRPr="00305B61" w:rsidR="00305B61">
        <w:rPr>
          <w:sz w:val="20"/>
        </w:rPr>
        <w:t xml:space="preserve"> at 1</w:t>
      </w:r>
      <w:r w:rsidR="00305B61">
        <w:rPr>
          <w:sz w:val="20"/>
        </w:rPr>
        <w:t xml:space="preserve"> and 3-9</w:t>
      </w:r>
      <w:r w:rsidRPr="00305B61" w:rsidR="00305B61">
        <w:rPr>
          <w:sz w:val="20"/>
        </w:rPr>
        <w:t xml:space="preserve">.  </w:t>
      </w:r>
      <w:r w:rsidRPr="00200E0F">
        <w:rPr>
          <w:sz w:val="20"/>
        </w:rPr>
        <w:t xml:space="preserve">Applicants state that </w:t>
      </w:r>
      <w:r w:rsidRPr="00200E0F" w:rsidR="00B93990">
        <w:rPr>
          <w:sz w:val="20"/>
        </w:rPr>
        <w:t xml:space="preserve">Digital Bridge DCP I Carry, LLC (DCP I) and Colony DCP Holdco, LLC (DCP Holdco) each hold </w:t>
      </w:r>
      <w:r w:rsidR="00450B2A">
        <w:rPr>
          <w:sz w:val="20"/>
        </w:rPr>
        <w:t xml:space="preserve">a </w:t>
      </w:r>
      <w:r w:rsidRPr="00200E0F" w:rsidR="00B93990">
        <w:rPr>
          <w:sz w:val="20"/>
        </w:rPr>
        <w:t>50 percent interest in Digital Colony.  DCP I is wholly owned by Digital Bridge Holdings, LLC, which, in turn, is held by Marc Ganzi and Benjamin Jenkins, each U.S. citizens and each holding 42.5 percent.  DC</w:t>
      </w:r>
      <w:r w:rsidRPr="00200E0F" w:rsidR="00200E0F">
        <w:rPr>
          <w:sz w:val="20"/>
        </w:rPr>
        <w:t>P Holdco is ultimately indirectly wholly owned by Colony Capital, Inc. which is a</w:t>
      </w:r>
      <w:r w:rsidR="00F10081">
        <w:rPr>
          <w:sz w:val="20"/>
        </w:rPr>
        <w:t xml:space="preserve"> U.S.</w:t>
      </w:r>
      <w:r w:rsidRPr="00200E0F" w:rsidR="00200E0F">
        <w:rPr>
          <w:sz w:val="20"/>
        </w:rPr>
        <w:t xml:space="preserve"> publicly-traded entity with no single shareholder holding over 10 percent.  Each of these entities </w:t>
      </w:r>
      <w:r w:rsidR="007C1215">
        <w:rPr>
          <w:sz w:val="20"/>
        </w:rPr>
        <w:t xml:space="preserve">is a </w:t>
      </w:r>
      <w:r w:rsidRPr="00200E0F" w:rsidR="00200E0F">
        <w:rPr>
          <w:sz w:val="20"/>
        </w:rPr>
        <w:t>Delaware entit</w:t>
      </w:r>
      <w:r w:rsidR="007C1215">
        <w:rPr>
          <w:sz w:val="20"/>
        </w:rPr>
        <w:t>y</w:t>
      </w:r>
      <w:r w:rsidRPr="00200E0F" w:rsidR="00200E0F">
        <w:rPr>
          <w:sz w:val="20"/>
        </w:rPr>
        <w:t>.</w:t>
      </w:r>
      <w:r w:rsidR="00200E0F">
        <w:rPr>
          <w:sz w:val="20"/>
        </w:rPr>
        <w:t xml:space="preserve">  </w:t>
      </w:r>
      <w:r w:rsidR="00E21FE1">
        <w:rPr>
          <w:sz w:val="20"/>
        </w:rPr>
        <w:t xml:space="preserve">Lead </w:t>
      </w:r>
      <w:r w:rsidR="00200E0F">
        <w:rPr>
          <w:sz w:val="20"/>
        </w:rPr>
        <w:t>Application</w:t>
      </w:r>
      <w:r w:rsidR="00450B2A">
        <w:rPr>
          <w:sz w:val="20"/>
        </w:rPr>
        <w:t xml:space="preserve">, </w:t>
      </w:r>
      <w:r w:rsidR="00200E0F">
        <w:rPr>
          <w:sz w:val="20"/>
        </w:rPr>
        <w:t>Exh. C at 7-9.</w:t>
      </w:r>
    </w:p>
  </w:footnote>
  <w:footnote w:id="13">
    <w:p w:rsidR="0009631D" w:rsidRPr="00403B91" w:rsidP="0009631D">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p>
  </w:footnote>
  <w:footnote w:id="14">
    <w:p w:rsidR="0038750A" w:rsidP="0038750A">
      <w:pPr>
        <w:pStyle w:val="FootnoteText"/>
        <w:rPr>
          <w:color w:val="000000"/>
          <w:sz w:val="20"/>
        </w:rPr>
      </w:pPr>
      <w:r>
        <w:rPr>
          <w:rStyle w:val="FootnoteReference"/>
          <w:color w:val="000000"/>
          <w:sz w:val="20"/>
        </w:rPr>
        <w:footnoteRef/>
      </w:r>
      <w:r>
        <w:rPr>
          <w:color w:val="000000"/>
          <w:sz w:val="2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21394"/>
    <w:rsid w:val="00021B30"/>
    <w:rsid w:val="000224EB"/>
    <w:rsid w:val="00026C34"/>
    <w:rsid w:val="000275C0"/>
    <w:rsid w:val="000308A3"/>
    <w:rsid w:val="00036507"/>
    <w:rsid w:val="00036643"/>
    <w:rsid w:val="00037B27"/>
    <w:rsid w:val="00040A35"/>
    <w:rsid w:val="00051153"/>
    <w:rsid w:val="00053C09"/>
    <w:rsid w:val="00056FBA"/>
    <w:rsid w:val="000622EA"/>
    <w:rsid w:val="000677AC"/>
    <w:rsid w:val="00073655"/>
    <w:rsid w:val="000861FE"/>
    <w:rsid w:val="0009631D"/>
    <w:rsid w:val="00097A4D"/>
    <w:rsid w:val="000B7414"/>
    <w:rsid w:val="000C1734"/>
    <w:rsid w:val="000C29BF"/>
    <w:rsid w:val="000C3D4B"/>
    <w:rsid w:val="000D2F53"/>
    <w:rsid w:val="000E1FC6"/>
    <w:rsid w:val="000E240A"/>
    <w:rsid w:val="000E30CA"/>
    <w:rsid w:val="000E759F"/>
    <w:rsid w:val="00102CB4"/>
    <w:rsid w:val="00111189"/>
    <w:rsid w:val="00115112"/>
    <w:rsid w:val="00115EE2"/>
    <w:rsid w:val="001212A4"/>
    <w:rsid w:val="00130651"/>
    <w:rsid w:val="001335D1"/>
    <w:rsid w:val="001369D6"/>
    <w:rsid w:val="001404EC"/>
    <w:rsid w:val="001419AD"/>
    <w:rsid w:val="00145A03"/>
    <w:rsid w:val="00161D32"/>
    <w:rsid w:val="00165A52"/>
    <w:rsid w:val="001746B2"/>
    <w:rsid w:val="00176EAA"/>
    <w:rsid w:val="00177E40"/>
    <w:rsid w:val="00182A74"/>
    <w:rsid w:val="00183BC5"/>
    <w:rsid w:val="00183F96"/>
    <w:rsid w:val="0019360E"/>
    <w:rsid w:val="00197863"/>
    <w:rsid w:val="00197FA0"/>
    <w:rsid w:val="001B01AF"/>
    <w:rsid w:val="001B158F"/>
    <w:rsid w:val="001B2C2C"/>
    <w:rsid w:val="001B4E69"/>
    <w:rsid w:val="001B5E2E"/>
    <w:rsid w:val="001C0940"/>
    <w:rsid w:val="001C1487"/>
    <w:rsid w:val="001D3ABA"/>
    <w:rsid w:val="001D3C4A"/>
    <w:rsid w:val="001D5BAB"/>
    <w:rsid w:val="001E28FC"/>
    <w:rsid w:val="001E4A3D"/>
    <w:rsid w:val="001E4A8D"/>
    <w:rsid w:val="001E50F1"/>
    <w:rsid w:val="001F09B5"/>
    <w:rsid w:val="001F51CD"/>
    <w:rsid w:val="001F537A"/>
    <w:rsid w:val="001F5484"/>
    <w:rsid w:val="001F5B20"/>
    <w:rsid w:val="002009DB"/>
    <w:rsid w:val="00200A46"/>
    <w:rsid w:val="00200E0F"/>
    <w:rsid w:val="002015A7"/>
    <w:rsid w:val="00201ECC"/>
    <w:rsid w:val="00216AE5"/>
    <w:rsid w:val="00224FC0"/>
    <w:rsid w:val="0022664E"/>
    <w:rsid w:val="00234975"/>
    <w:rsid w:val="002356B5"/>
    <w:rsid w:val="002360A2"/>
    <w:rsid w:val="00236297"/>
    <w:rsid w:val="00242548"/>
    <w:rsid w:val="00251418"/>
    <w:rsid w:val="0025377B"/>
    <w:rsid w:val="0025577D"/>
    <w:rsid w:val="00256B4A"/>
    <w:rsid w:val="0026393B"/>
    <w:rsid w:val="00263DF9"/>
    <w:rsid w:val="002710BB"/>
    <w:rsid w:val="0027368D"/>
    <w:rsid w:val="0027442F"/>
    <w:rsid w:val="00277EC1"/>
    <w:rsid w:val="00277F1D"/>
    <w:rsid w:val="00280D2A"/>
    <w:rsid w:val="00281C4B"/>
    <w:rsid w:val="0028593D"/>
    <w:rsid w:val="002A0611"/>
    <w:rsid w:val="002A0F17"/>
    <w:rsid w:val="002A1A50"/>
    <w:rsid w:val="002A1F0F"/>
    <w:rsid w:val="002A2BE7"/>
    <w:rsid w:val="002B416D"/>
    <w:rsid w:val="002D3ED6"/>
    <w:rsid w:val="002D70E5"/>
    <w:rsid w:val="002E148F"/>
    <w:rsid w:val="002E7ED3"/>
    <w:rsid w:val="002F5A0D"/>
    <w:rsid w:val="002F6DB1"/>
    <w:rsid w:val="00300258"/>
    <w:rsid w:val="0030141C"/>
    <w:rsid w:val="00305B61"/>
    <w:rsid w:val="0030659D"/>
    <w:rsid w:val="00312E20"/>
    <w:rsid w:val="00312F6E"/>
    <w:rsid w:val="00316C41"/>
    <w:rsid w:val="00321466"/>
    <w:rsid w:val="00326C90"/>
    <w:rsid w:val="00326DAB"/>
    <w:rsid w:val="00330DD0"/>
    <w:rsid w:val="00332E1C"/>
    <w:rsid w:val="003348A2"/>
    <w:rsid w:val="00340CBB"/>
    <w:rsid w:val="003452E3"/>
    <w:rsid w:val="00354BAE"/>
    <w:rsid w:val="003602FC"/>
    <w:rsid w:val="00362735"/>
    <w:rsid w:val="003713FE"/>
    <w:rsid w:val="00375720"/>
    <w:rsid w:val="00377A13"/>
    <w:rsid w:val="003805A7"/>
    <w:rsid w:val="00381027"/>
    <w:rsid w:val="003826DE"/>
    <w:rsid w:val="00385D22"/>
    <w:rsid w:val="0038750A"/>
    <w:rsid w:val="00387CB5"/>
    <w:rsid w:val="00391A26"/>
    <w:rsid w:val="003A0623"/>
    <w:rsid w:val="003A1449"/>
    <w:rsid w:val="003A46D8"/>
    <w:rsid w:val="003B6314"/>
    <w:rsid w:val="003D2CC0"/>
    <w:rsid w:val="003D3C17"/>
    <w:rsid w:val="003E7B36"/>
    <w:rsid w:val="003E7CC1"/>
    <w:rsid w:val="003F1B6E"/>
    <w:rsid w:val="003F5DCE"/>
    <w:rsid w:val="00400AED"/>
    <w:rsid w:val="004021E8"/>
    <w:rsid w:val="00403B91"/>
    <w:rsid w:val="00405233"/>
    <w:rsid w:val="00407C5B"/>
    <w:rsid w:val="00420703"/>
    <w:rsid w:val="004241B2"/>
    <w:rsid w:val="004329F7"/>
    <w:rsid w:val="004423CD"/>
    <w:rsid w:val="00443169"/>
    <w:rsid w:val="00447D27"/>
    <w:rsid w:val="00450B2A"/>
    <w:rsid w:val="00457DA2"/>
    <w:rsid w:val="00461B7F"/>
    <w:rsid w:val="0046789B"/>
    <w:rsid w:val="0046793A"/>
    <w:rsid w:val="00473B72"/>
    <w:rsid w:val="004767C7"/>
    <w:rsid w:val="004778DF"/>
    <w:rsid w:val="00493B38"/>
    <w:rsid w:val="00495966"/>
    <w:rsid w:val="004A348A"/>
    <w:rsid w:val="004A421B"/>
    <w:rsid w:val="004A46C9"/>
    <w:rsid w:val="004A60DC"/>
    <w:rsid w:val="004A71CD"/>
    <w:rsid w:val="004A7791"/>
    <w:rsid w:val="004B04FC"/>
    <w:rsid w:val="004B18DF"/>
    <w:rsid w:val="004B3411"/>
    <w:rsid w:val="004B495B"/>
    <w:rsid w:val="004B7234"/>
    <w:rsid w:val="004C2281"/>
    <w:rsid w:val="004C49EF"/>
    <w:rsid w:val="004C5B2A"/>
    <w:rsid w:val="004D082B"/>
    <w:rsid w:val="004D15D9"/>
    <w:rsid w:val="004D2F8C"/>
    <w:rsid w:val="004D31A3"/>
    <w:rsid w:val="004D36B9"/>
    <w:rsid w:val="004D5709"/>
    <w:rsid w:val="004E0968"/>
    <w:rsid w:val="004E1A72"/>
    <w:rsid w:val="004E1CCD"/>
    <w:rsid w:val="004E31B7"/>
    <w:rsid w:val="004E4528"/>
    <w:rsid w:val="0050188C"/>
    <w:rsid w:val="00502046"/>
    <w:rsid w:val="005100C2"/>
    <w:rsid w:val="005129CA"/>
    <w:rsid w:val="005136DE"/>
    <w:rsid w:val="00520052"/>
    <w:rsid w:val="005200CE"/>
    <w:rsid w:val="00522012"/>
    <w:rsid w:val="00522391"/>
    <w:rsid w:val="00522514"/>
    <w:rsid w:val="00522D7C"/>
    <w:rsid w:val="005259AC"/>
    <w:rsid w:val="00526992"/>
    <w:rsid w:val="0053003F"/>
    <w:rsid w:val="00535182"/>
    <w:rsid w:val="00541B00"/>
    <w:rsid w:val="00543479"/>
    <w:rsid w:val="0054376A"/>
    <w:rsid w:val="00546673"/>
    <w:rsid w:val="00550C74"/>
    <w:rsid w:val="005546D4"/>
    <w:rsid w:val="00561463"/>
    <w:rsid w:val="00562113"/>
    <w:rsid w:val="00572EC5"/>
    <w:rsid w:val="005740DA"/>
    <w:rsid w:val="005746C3"/>
    <w:rsid w:val="00575E6B"/>
    <w:rsid w:val="005766C0"/>
    <w:rsid w:val="00577D34"/>
    <w:rsid w:val="00580295"/>
    <w:rsid w:val="00583816"/>
    <w:rsid w:val="00585942"/>
    <w:rsid w:val="00590D65"/>
    <w:rsid w:val="0059120F"/>
    <w:rsid w:val="005917A5"/>
    <w:rsid w:val="00593AB4"/>
    <w:rsid w:val="00596619"/>
    <w:rsid w:val="005A033D"/>
    <w:rsid w:val="005B25B5"/>
    <w:rsid w:val="005B3A47"/>
    <w:rsid w:val="005B4DEE"/>
    <w:rsid w:val="005B643A"/>
    <w:rsid w:val="005B7CA9"/>
    <w:rsid w:val="005C1C87"/>
    <w:rsid w:val="005C3453"/>
    <w:rsid w:val="005D2008"/>
    <w:rsid w:val="005D7414"/>
    <w:rsid w:val="005D7703"/>
    <w:rsid w:val="005E7171"/>
    <w:rsid w:val="005F24AE"/>
    <w:rsid w:val="005F4D6E"/>
    <w:rsid w:val="005F7B41"/>
    <w:rsid w:val="0060549D"/>
    <w:rsid w:val="00607DDE"/>
    <w:rsid w:val="0061693A"/>
    <w:rsid w:val="00617F02"/>
    <w:rsid w:val="00620E39"/>
    <w:rsid w:val="006253CB"/>
    <w:rsid w:val="00630CA6"/>
    <w:rsid w:val="006324B2"/>
    <w:rsid w:val="00633A19"/>
    <w:rsid w:val="00633B7C"/>
    <w:rsid w:val="006350EA"/>
    <w:rsid w:val="00635535"/>
    <w:rsid w:val="006519AD"/>
    <w:rsid w:val="00652D35"/>
    <w:rsid w:val="006535EE"/>
    <w:rsid w:val="00655921"/>
    <w:rsid w:val="00663E39"/>
    <w:rsid w:val="00673C29"/>
    <w:rsid w:val="006741AB"/>
    <w:rsid w:val="00680A52"/>
    <w:rsid w:val="00681E42"/>
    <w:rsid w:val="00681F18"/>
    <w:rsid w:val="00685356"/>
    <w:rsid w:val="006917C9"/>
    <w:rsid w:val="00691FC2"/>
    <w:rsid w:val="006950EB"/>
    <w:rsid w:val="006956A7"/>
    <w:rsid w:val="00695882"/>
    <w:rsid w:val="006A1CCC"/>
    <w:rsid w:val="006A261C"/>
    <w:rsid w:val="006B280D"/>
    <w:rsid w:val="006B29E2"/>
    <w:rsid w:val="006B3B24"/>
    <w:rsid w:val="006B4201"/>
    <w:rsid w:val="006B7F06"/>
    <w:rsid w:val="006D1338"/>
    <w:rsid w:val="006D5004"/>
    <w:rsid w:val="006D71A2"/>
    <w:rsid w:val="006D74D7"/>
    <w:rsid w:val="006E619A"/>
    <w:rsid w:val="006F16E1"/>
    <w:rsid w:val="006F3BD7"/>
    <w:rsid w:val="00701274"/>
    <w:rsid w:val="00702A0D"/>
    <w:rsid w:val="007057D1"/>
    <w:rsid w:val="00715142"/>
    <w:rsid w:val="00716EA6"/>
    <w:rsid w:val="00720946"/>
    <w:rsid w:val="007218EB"/>
    <w:rsid w:val="00731FA9"/>
    <w:rsid w:val="00732C04"/>
    <w:rsid w:val="00734092"/>
    <w:rsid w:val="00743073"/>
    <w:rsid w:val="00747341"/>
    <w:rsid w:val="007558D7"/>
    <w:rsid w:val="007644F1"/>
    <w:rsid w:val="007656E1"/>
    <w:rsid w:val="00767EC4"/>
    <w:rsid w:val="0077094E"/>
    <w:rsid w:val="0077609C"/>
    <w:rsid w:val="00776B9C"/>
    <w:rsid w:val="00782554"/>
    <w:rsid w:val="00785D9A"/>
    <w:rsid w:val="0078725E"/>
    <w:rsid w:val="00791C6D"/>
    <w:rsid w:val="00792642"/>
    <w:rsid w:val="00794A8B"/>
    <w:rsid w:val="00797C32"/>
    <w:rsid w:val="007A6B8F"/>
    <w:rsid w:val="007B1B03"/>
    <w:rsid w:val="007B32EB"/>
    <w:rsid w:val="007B72DB"/>
    <w:rsid w:val="007C1215"/>
    <w:rsid w:val="007C1BBF"/>
    <w:rsid w:val="007C3463"/>
    <w:rsid w:val="007C50D7"/>
    <w:rsid w:val="007D352B"/>
    <w:rsid w:val="007E1866"/>
    <w:rsid w:val="007F43F2"/>
    <w:rsid w:val="00802B98"/>
    <w:rsid w:val="008045DD"/>
    <w:rsid w:val="00806A59"/>
    <w:rsid w:val="008138F2"/>
    <w:rsid w:val="00826D0B"/>
    <w:rsid w:val="00827549"/>
    <w:rsid w:val="00830116"/>
    <w:rsid w:val="00831C83"/>
    <w:rsid w:val="008356D9"/>
    <w:rsid w:val="00845964"/>
    <w:rsid w:val="008546EB"/>
    <w:rsid w:val="0086589F"/>
    <w:rsid w:val="00866DA2"/>
    <w:rsid w:val="008700D8"/>
    <w:rsid w:val="008739B1"/>
    <w:rsid w:val="008763BF"/>
    <w:rsid w:val="0088349F"/>
    <w:rsid w:val="008939C6"/>
    <w:rsid w:val="008A1E75"/>
    <w:rsid w:val="008A53FB"/>
    <w:rsid w:val="008B4167"/>
    <w:rsid w:val="008C49B6"/>
    <w:rsid w:val="008D0A8D"/>
    <w:rsid w:val="008D584B"/>
    <w:rsid w:val="008D7345"/>
    <w:rsid w:val="008D7E11"/>
    <w:rsid w:val="008E012F"/>
    <w:rsid w:val="008E1DA3"/>
    <w:rsid w:val="008E4710"/>
    <w:rsid w:val="008E6637"/>
    <w:rsid w:val="008F000C"/>
    <w:rsid w:val="00904094"/>
    <w:rsid w:val="00917CD9"/>
    <w:rsid w:val="00920C9F"/>
    <w:rsid w:val="009226D0"/>
    <w:rsid w:val="00936752"/>
    <w:rsid w:val="00940AAE"/>
    <w:rsid w:val="00943E51"/>
    <w:rsid w:val="00944B3A"/>
    <w:rsid w:val="00950931"/>
    <w:rsid w:val="00951E8A"/>
    <w:rsid w:val="0095530B"/>
    <w:rsid w:val="00960AE0"/>
    <w:rsid w:val="00970500"/>
    <w:rsid w:val="0097153B"/>
    <w:rsid w:val="00982B20"/>
    <w:rsid w:val="009831F8"/>
    <w:rsid w:val="00991DB0"/>
    <w:rsid w:val="0099315B"/>
    <w:rsid w:val="00995BC1"/>
    <w:rsid w:val="009A4D61"/>
    <w:rsid w:val="009A75BB"/>
    <w:rsid w:val="009B0256"/>
    <w:rsid w:val="009B2476"/>
    <w:rsid w:val="009B5143"/>
    <w:rsid w:val="009B64FB"/>
    <w:rsid w:val="009B6A22"/>
    <w:rsid w:val="009B784B"/>
    <w:rsid w:val="009C243B"/>
    <w:rsid w:val="009C3364"/>
    <w:rsid w:val="009C6AFA"/>
    <w:rsid w:val="009D0445"/>
    <w:rsid w:val="009D24EA"/>
    <w:rsid w:val="009E2539"/>
    <w:rsid w:val="009E360F"/>
    <w:rsid w:val="009F1CF9"/>
    <w:rsid w:val="009F1D82"/>
    <w:rsid w:val="00A01EF0"/>
    <w:rsid w:val="00A02F23"/>
    <w:rsid w:val="00A05155"/>
    <w:rsid w:val="00A07085"/>
    <w:rsid w:val="00A121C3"/>
    <w:rsid w:val="00A2001F"/>
    <w:rsid w:val="00A233DD"/>
    <w:rsid w:val="00A23947"/>
    <w:rsid w:val="00A26B04"/>
    <w:rsid w:val="00A27BF4"/>
    <w:rsid w:val="00A3606F"/>
    <w:rsid w:val="00A36EAE"/>
    <w:rsid w:val="00A41F59"/>
    <w:rsid w:val="00A6163F"/>
    <w:rsid w:val="00A65835"/>
    <w:rsid w:val="00A66F66"/>
    <w:rsid w:val="00A67047"/>
    <w:rsid w:val="00A6784F"/>
    <w:rsid w:val="00A77513"/>
    <w:rsid w:val="00A81900"/>
    <w:rsid w:val="00A87DB7"/>
    <w:rsid w:val="00A91022"/>
    <w:rsid w:val="00A91D5A"/>
    <w:rsid w:val="00AA7D57"/>
    <w:rsid w:val="00AC28AC"/>
    <w:rsid w:val="00AC734F"/>
    <w:rsid w:val="00AD181A"/>
    <w:rsid w:val="00AF4A47"/>
    <w:rsid w:val="00B040DD"/>
    <w:rsid w:val="00B07D18"/>
    <w:rsid w:val="00B11BA0"/>
    <w:rsid w:val="00B13303"/>
    <w:rsid w:val="00B13C3F"/>
    <w:rsid w:val="00B15470"/>
    <w:rsid w:val="00B21EC8"/>
    <w:rsid w:val="00B23CAD"/>
    <w:rsid w:val="00B25760"/>
    <w:rsid w:val="00B25BBF"/>
    <w:rsid w:val="00B349DA"/>
    <w:rsid w:val="00B36F96"/>
    <w:rsid w:val="00B4425B"/>
    <w:rsid w:val="00B444DB"/>
    <w:rsid w:val="00B44D3E"/>
    <w:rsid w:val="00B45C1E"/>
    <w:rsid w:val="00B45FC1"/>
    <w:rsid w:val="00B47A16"/>
    <w:rsid w:val="00B50071"/>
    <w:rsid w:val="00B575BF"/>
    <w:rsid w:val="00B60358"/>
    <w:rsid w:val="00B60DB5"/>
    <w:rsid w:val="00B64DC5"/>
    <w:rsid w:val="00B65A6B"/>
    <w:rsid w:val="00B66F80"/>
    <w:rsid w:val="00B702A7"/>
    <w:rsid w:val="00B75B3E"/>
    <w:rsid w:val="00B77B57"/>
    <w:rsid w:val="00B8723A"/>
    <w:rsid w:val="00B93990"/>
    <w:rsid w:val="00BA4F2C"/>
    <w:rsid w:val="00BB2151"/>
    <w:rsid w:val="00BB5C18"/>
    <w:rsid w:val="00BC5A76"/>
    <w:rsid w:val="00BD1484"/>
    <w:rsid w:val="00BE1693"/>
    <w:rsid w:val="00BE5548"/>
    <w:rsid w:val="00BE66B7"/>
    <w:rsid w:val="00BF05AA"/>
    <w:rsid w:val="00BF176B"/>
    <w:rsid w:val="00BF38EB"/>
    <w:rsid w:val="00BF5C4F"/>
    <w:rsid w:val="00C029AB"/>
    <w:rsid w:val="00C04314"/>
    <w:rsid w:val="00C04DC2"/>
    <w:rsid w:val="00C06CF8"/>
    <w:rsid w:val="00C10C58"/>
    <w:rsid w:val="00C11A2B"/>
    <w:rsid w:val="00C25C13"/>
    <w:rsid w:val="00C30C53"/>
    <w:rsid w:val="00C32A79"/>
    <w:rsid w:val="00C34A2D"/>
    <w:rsid w:val="00C350D5"/>
    <w:rsid w:val="00C3761D"/>
    <w:rsid w:val="00C5569D"/>
    <w:rsid w:val="00C70279"/>
    <w:rsid w:val="00C86B1E"/>
    <w:rsid w:val="00C87A92"/>
    <w:rsid w:val="00C920D5"/>
    <w:rsid w:val="00C929F8"/>
    <w:rsid w:val="00C96682"/>
    <w:rsid w:val="00CA09A3"/>
    <w:rsid w:val="00CA0D2C"/>
    <w:rsid w:val="00CA29F2"/>
    <w:rsid w:val="00CA3C71"/>
    <w:rsid w:val="00CA4566"/>
    <w:rsid w:val="00CA78D0"/>
    <w:rsid w:val="00CB0686"/>
    <w:rsid w:val="00CB14FF"/>
    <w:rsid w:val="00CB2D67"/>
    <w:rsid w:val="00CB4813"/>
    <w:rsid w:val="00CC1EDE"/>
    <w:rsid w:val="00CC317A"/>
    <w:rsid w:val="00CC3F33"/>
    <w:rsid w:val="00CC4A75"/>
    <w:rsid w:val="00CC5510"/>
    <w:rsid w:val="00CC7532"/>
    <w:rsid w:val="00CE3E5D"/>
    <w:rsid w:val="00CE521B"/>
    <w:rsid w:val="00CF77E2"/>
    <w:rsid w:val="00D018B5"/>
    <w:rsid w:val="00D035B5"/>
    <w:rsid w:val="00D05431"/>
    <w:rsid w:val="00D05F64"/>
    <w:rsid w:val="00D07E66"/>
    <w:rsid w:val="00D165AD"/>
    <w:rsid w:val="00D16CA0"/>
    <w:rsid w:val="00D20E80"/>
    <w:rsid w:val="00D238CC"/>
    <w:rsid w:val="00D24EA9"/>
    <w:rsid w:val="00D43D8B"/>
    <w:rsid w:val="00D52F09"/>
    <w:rsid w:val="00D639F9"/>
    <w:rsid w:val="00D64860"/>
    <w:rsid w:val="00D7212F"/>
    <w:rsid w:val="00D74AFE"/>
    <w:rsid w:val="00D82CB0"/>
    <w:rsid w:val="00D86E33"/>
    <w:rsid w:val="00D900F4"/>
    <w:rsid w:val="00D92BE8"/>
    <w:rsid w:val="00D9432D"/>
    <w:rsid w:val="00DA39CC"/>
    <w:rsid w:val="00DD1807"/>
    <w:rsid w:val="00DD6FA8"/>
    <w:rsid w:val="00DE022E"/>
    <w:rsid w:val="00DE0494"/>
    <w:rsid w:val="00DE2829"/>
    <w:rsid w:val="00DE3DEA"/>
    <w:rsid w:val="00DE4B07"/>
    <w:rsid w:val="00DE5CD2"/>
    <w:rsid w:val="00DF1C7A"/>
    <w:rsid w:val="00DF240A"/>
    <w:rsid w:val="00DF671B"/>
    <w:rsid w:val="00DF7039"/>
    <w:rsid w:val="00E0266D"/>
    <w:rsid w:val="00E055EC"/>
    <w:rsid w:val="00E060D5"/>
    <w:rsid w:val="00E1311E"/>
    <w:rsid w:val="00E17818"/>
    <w:rsid w:val="00E17EC3"/>
    <w:rsid w:val="00E20623"/>
    <w:rsid w:val="00E21FE1"/>
    <w:rsid w:val="00E261C6"/>
    <w:rsid w:val="00E30201"/>
    <w:rsid w:val="00E317EE"/>
    <w:rsid w:val="00E33739"/>
    <w:rsid w:val="00E36283"/>
    <w:rsid w:val="00E40AFA"/>
    <w:rsid w:val="00E40C65"/>
    <w:rsid w:val="00E42CE8"/>
    <w:rsid w:val="00E465EF"/>
    <w:rsid w:val="00E53381"/>
    <w:rsid w:val="00E70C97"/>
    <w:rsid w:val="00E745AD"/>
    <w:rsid w:val="00E8258A"/>
    <w:rsid w:val="00E83D4A"/>
    <w:rsid w:val="00E85877"/>
    <w:rsid w:val="00E9137B"/>
    <w:rsid w:val="00E97A21"/>
    <w:rsid w:val="00EA3499"/>
    <w:rsid w:val="00EB3FED"/>
    <w:rsid w:val="00EC0E5B"/>
    <w:rsid w:val="00EC452C"/>
    <w:rsid w:val="00EE708C"/>
    <w:rsid w:val="00EE75DA"/>
    <w:rsid w:val="00EF024C"/>
    <w:rsid w:val="00EF113F"/>
    <w:rsid w:val="00EF18E6"/>
    <w:rsid w:val="00EF63F1"/>
    <w:rsid w:val="00EF6D04"/>
    <w:rsid w:val="00F10081"/>
    <w:rsid w:val="00F1649D"/>
    <w:rsid w:val="00F20D8E"/>
    <w:rsid w:val="00F24C03"/>
    <w:rsid w:val="00F27619"/>
    <w:rsid w:val="00F300FB"/>
    <w:rsid w:val="00F33002"/>
    <w:rsid w:val="00F50085"/>
    <w:rsid w:val="00F51098"/>
    <w:rsid w:val="00F52F66"/>
    <w:rsid w:val="00F54506"/>
    <w:rsid w:val="00F55292"/>
    <w:rsid w:val="00F55FA7"/>
    <w:rsid w:val="00F57C5C"/>
    <w:rsid w:val="00F607F4"/>
    <w:rsid w:val="00F6230C"/>
    <w:rsid w:val="00F64938"/>
    <w:rsid w:val="00F67A48"/>
    <w:rsid w:val="00FA27FB"/>
    <w:rsid w:val="00FA5C02"/>
    <w:rsid w:val="00FA5EA9"/>
    <w:rsid w:val="00FA6093"/>
    <w:rsid w:val="00FB3EDD"/>
    <w:rsid w:val="00FB5C45"/>
    <w:rsid w:val="00FB61D8"/>
    <w:rsid w:val="00FB734E"/>
    <w:rsid w:val="00FC3E64"/>
    <w:rsid w:val="00FC6449"/>
    <w:rsid w:val="00FD3EDA"/>
    <w:rsid w:val="00FE3F67"/>
    <w:rsid w:val="00FE61D5"/>
    <w:rsid w:val="00FF1E77"/>
    <w:rsid w:val="00FF6D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linda.ray@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gregory.kwa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L&amp;pubNum=1000546&amp;cite=47USCAS34&amp;originatingDoc=I2978955ac90b11e6bfb79a463a4b3bc7&amp;refType=LQ&amp;originationContext=document&amp;vr=3.0&amp;rs=cblt1.0&amp;transitionType=DocumentItem&amp;contextData=(sc.Search)" TargetMode="External" /><Relationship Id="rId2" Type="http://schemas.openxmlformats.org/officeDocument/2006/relationships/hyperlink" Target="http://www.westlaw.com/Link/Document/FullText?findType=L&amp;pubNum=1000546&amp;cite=47USCAS39&amp;originatingDoc=I2978955ac90b11e6bfb79a463a4b3bc7&amp;refType=LQ&amp;originationContext=document&amp;vr=3.0&amp;rs=cblt1.0&amp;transitionType=DocumentItem&amp;contextData=(sc.Search)" TargetMode="External" /><Relationship Id="rId3" Type="http://schemas.openxmlformats.org/officeDocument/2006/relationships/hyperlink" Target="http://www.westlaw.com/Link/Document/FullText?findType=Y&amp;serNum=1954047056&amp;pubNum=0001043&amp;originatingDoc=I2978955ac90b11e6bfb79a463a4b3bc7&amp;refType=CA&amp;originationContext=document&amp;vr=3.0&amp;rs=cblt1.0&amp;transitionType=DocumentItem&amp;contextData=(sc.Search)" TargetMode="External" /><Relationship Id="rId4" Type="http://schemas.openxmlformats.org/officeDocument/2006/relationships/hyperlink" Target="http://www.westlaw.com/Link/Document/FullText?findType=L&amp;pubNum=1000546&amp;cite=3USCAS301&amp;originatingDoc=I2978955ac90b11e6bfb79a463a4b3bc7&amp;refType=LQ&amp;originationContext=document&amp;vr=3.0&amp;rs=cblt1.0&amp;transitionType=DocumentItem&amp;contextData=(sc.Search)"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