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0B16" w:rsidRPr="00B20363" w:rsidP="00FE0B16">
      <w:pPr>
        <w:jc w:val="right"/>
        <w:rPr>
          <w:b/>
          <w:sz w:val="24"/>
        </w:rPr>
      </w:pPr>
      <w:r>
        <w:rPr>
          <w:b/>
          <w:sz w:val="24"/>
        </w:rPr>
        <w:t>DA 19-</w:t>
      </w:r>
      <w:r w:rsidRPr="00FD7E06" w:rsidR="00FD7E06">
        <w:rPr>
          <w:b/>
          <w:sz w:val="24"/>
        </w:rPr>
        <w:t>636</w:t>
      </w:r>
    </w:p>
    <w:p w:rsidR="00FE0B16" w:rsidRPr="00B20363" w:rsidP="00FE0B16">
      <w:pPr>
        <w:spacing w:before="60"/>
        <w:jc w:val="right"/>
        <w:rPr>
          <w:b/>
          <w:sz w:val="24"/>
        </w:rPr>
      </w:pPr>
      <w:r>
        <w:rPr>
          <w:b/>
          <w:sz w:val="24"/>
        </w:rPr>
        <w:t xml:space="preserve">Released:  </w:t>
      </w:r>
      <w:r w:rsidR="00D85A63">
        <w:rPr>
          <w:b/>
          <w:sz w:val="24"/>
        </w:rPr>
        <w:t>July</w:t>
      </w:r>
      <w:r>
        <w:rPr>
          <w:b/>
          <w:sz w:val="24"/>
        </w:rPr>
        <w:t xml:space="preserve"> </w:t>
      </w:r>
      <w:r w:rsidRPr="004E4C9B" w:rsidR="004E4C9B">
        <w:rPr>
          <w:b/>
          <w:sz w:val="24"/>
        </w:rPr>
        <w:t>10</w:t>
      </w:r>
      <w:r>
        <w:rPr>
          <w:b/>
          <w:sz w:val="24"/>
        </w:rPr>
        <w:t>, 2019</w:t>
      </w:r>
    </w:p>
    <w:p w:rsidR="00FE0B16" w:rsidP="00FE0B16">
      <w:pPr>
        <w:jc w:val="right"/>
        <w:rPr>
          <w:sz w:val="24"/>
        </w:rPr>
      </w:pPr>
    </w:p>
    <w:p w:rsidR="00FE0B16" w:rsidRPr="00B53F9E" w:rsidP="00FE0B16">
      <w:pPr>
        <w:spacing w:after="240"/>
        <w:jc w:val="center"/>
        <w:rPr>
          <w:rFonts w:ascii="Times New Roman Bold" w:hAnsi="Times New Roman Bold"/>
          <w:b/>
          <w:caps/>
          <w:sz w:val="24"/>
        </w:rPr>
      </w:pPr>
      <w:bookmarkStart w:id="0" w:name="_Hlk1037059"/>
      <w:r>
        <w:rPr>
          <w:b/>
          <w:szCs w:val="18"/>
        </w:rPr>
        <w:t xml:space="preserve">MEDIA BUREAU ANNOUNCES FILING OF PETITION FOR DECLARATORY RULING BY HEMISPHERE MEDIA GROUP, INC., AND PERMIT-BUT-DISCLOSE </w:t>
      </w:r>
      <w:r>
        <w:rPr>
          <w:b/>
          <w:i/>
          <w:szCs w:val="18"/>
        </w:rPr>
        <w:t xml:space="preserve">EX PARTE </w:t>
      </w:r>
      <w:r>
        <w:rPr>
          <w:b/>
          <w:szCs w:val="18"/>
        </w:rPr>
        <w:t>STATUS FOR THE PROCEEDING</w:t>
      </w:r>
      <w:bookmarkEnd w:id="0"/>
    </w:p>
    <w:p w:rsidR="00FE0B16" w:rsidP="00FE0B16">
      <w:pPr>
        <w:jc w:val="center"/>
        <w:rPr>
          <w:b/>
          <w:sz w:val="24"/>
        </w:rPr>
      </w:pPr>
      <w:r>
        <w:rPr>
          <w:b/>
          <w:sz w:val="24"/>
        </w:rPr>
        <w:t>MB Docket 19-</w:t>
      </w:r>
      <w:r w:rsidRPr="00FD7E06" w:rsidR="00FD7E06">
        <w:rPr>
          <w:b/>
          <w:sz w:val="24"/>
        </w:rPr>
        <w:t>194</w:t>
      </w:r>
    </w:p>
    <w:p w:rsidR="00FE0B16" w:rsidP="00FE0B16">
      <w:pPr>
        <w:rPr>
          <w:sz w:val="24"/>
        </w:rPr>
      </w:pPr>
    </w:p>
    <w:p w:rsidR="00FE0B16" w:rsidRPr="00B53F9E" w:rsidP="00FE0B16">
      <w:pPr>
        <w:widowControl/>
        <w:rPr>
          <w:b/>
          <w:snapToGrid/>
          <w:kern w:val="0"/>
          <w:szCs w:val="18"/>
        </w:rPr>
      </w:pPr>
      <w:r w:rsidRPr="00B53F9E">
        <w:rPr>
          <w:b/>
          <w:snapToGrid/>
          <w:kern w:val="0"/>
          <w:szCs w:val="18"/>
        </w:rPr>
        <w:t xml:space="preserve">Comment Date:  </w:t>
      </w:r>
      <w:r w:rsidR="004E4C9B">
        <w:rPr>
          <w:b/>
          <w:snapToGrid/>
          <w:kern w:val="0"/>
          <w:szCs w:val="18"/>
        </w:rPr>
        <w:t>August 9</w:t>
      </w:r>
      <w:r w:rsidRPr="00B53F9E">
        <w:rPr>
          <w:b/>
          <w:snapToGrid/>
          <w:kern w:val="0"/>
          <w:szCs w:val="18"/>
        </w:rPr>
        <w:t>, 2019</w:t>
      </w:r>
    </w:p>
    <w:p w:rsidR="00FE0B16" w:rsidRPr="00B53F9E" w:rsidP="00FE0B16">
      <w:pPr>
        <w:widowControl/>
        <w:rPr>
          <w:b/>
          <w:snapToGrid/>
          <w:kern w:val="0"/>
          <w:szCs w:val="18"/>
        </w:rPr>
      </w:pPr>
      <w:r w:rsidRPr="00B53F9E">
        <w:rPr>
          <w:b/>
          <w:snapToGrid/>
          <w:kern w:val="0"/>
          <w:szCs w:val="18"/>
        </w:rPr>
        <w:t xml:space="preserve">Reply Date:  </w:t>
      </w:r>
      <w:r w:rsidR="0057167A">
        <w:rPr>
          <w:b/>
          <w:snapToGrid/>
          <w:kern w:val="0"/>
          <w:szCs w:val="18"/>
        </w:rPr>
        <w:t>August 26</w:t>
      </w:r>
      <w:r w:rsidRPr="00B53F9E">
        <w:rPr>
          <w:b/>
          <w:snapToGrid/>
          <w:kern w:val="0"/>
          <w:szCs w:val="18"/>
        </w:rPr>
        <w:t>, 2019</w:t>
      </w:r>
    </w:p>
    <w:p w:rsidR="00FE0B16" w:rsidRPr="00B53F9E" w:rsidP="00FE0B16">
      <w:pPr>
        <w:widowControl/>
        <w:jc w:val="center"/>
        <w:rPr>
          <w:b/>
          <w:snapToGrid/>
          <w:kern w:val="0"/>
          <w:szCs w:val="18"/>
        </w:rPr>
      </w:pPr>
    </w:p>
    <w:p w:rsidR="00FE0B16" w:rsidRPr="00B53F9E" w:rsidP="00FE0B16">
      <w:pPr>
        <w:widowControl/>
        <w:rPr>
          <w:snapToGrid/>
          <w:kern w:val="0"/>
          <w:szCs w:val="18"/>
        </w:rPr>
      </w:pPr>
    </w:p>
    <w:p w:rsidR="00FE0B16" w:rsidP="00FE0B16">
      <w:pPr>
        <w:widowControl/>
        <w:ind w:firstLine="720"/>
        <w:rPr>
          <w:snapToGrid/>
          <w:kern w:val="0"/>
          <w:szCs w:val="18"/>
        </w:rPr>
      </w:pPr>
      <w:r>
        <w:rPr>
          <w:szCs w:val="18"/>
        </w:rPr>
        <w:t xml:space="preserve">Hemisphere Media Group, Inc. (HMTV) </w:t>
      </w:r>
      <w:r w:rsidRPr="00B53F9E">
        <w:rPr>
          <w:snapToGrid/>
          <w:kern w:val="0"/>
          <w:szCs w:val="18"/>
        </w:rPr>
        <w:t>has filed a petition for declaratory ruling</w:t>
      </w:r>
      <w:r>
        <w:rPr>
          <w:snapToGrid/>
          <w:kern w:val="0"/>
          <w:szCs w:val="18"/>
          <w:vertAlign w:val="superscript"/>
        </w:rPr>
        <w:footnoteReference w:id="2"/>
      </w:r>
      <w:r w:rsidRPr="00B53F9E">
        <w:rPr>
          <w:snapToGrid/>
          <w:kern w:val="0"/>
          <w:szCs w:val="18"/>
        </w:rPr>
        <w:t xml:space="preserve"> (Petition) asking the Federal Communications Commission (Commission) to</w:t>
      </w:r>
      <w:r w:rsidR="007C0579">
        <w:rPr>
          <w:snapToGrid/>
          <w:kern w:val="0"/>
          <w:szCs w:val="18"/>
        </w:rPr>
        <w:t xml:space="preserve"> find that it would be in the public interest to</w:t>
      </w:r>
      <w:r w:rsidRPr="00B53F9E">
        <w:rPr>
          <w:snapToGrid/>
          <w:kern w:val="0"/>
          <w:szCs w:val="18"/>
        </w:rPr>
        <w:t xml:space="preserve"> </w:t>
      </w:r>
      <w:r>
        <w:rPr>
          <w:snapToGrid/>
          <w:kern w:val="0"/>
          <w:szCs w:val="18"/>
        </w:rPr>
        <w:t>permit foreign investors to own up to 100 percent in the aggregate of both its equity and voting interests.</w:t>
      </w:r>
      <w:r>
        <w:rPr>
          <w:rStyle w:val="FootnoteReference"/>
          <w:kern w:val="0"/>
          <w:szCs w:val="18"/>
        </w:rPr>
        <w:footnoteReference w:id="3"/>
      </w:r>
      <w:r>
        <w:rPr>
          <w:snapToGrid/>
          <w:kern w:val="0"/>
          <w:szCs w:val="18"/>
        </w:rPr>
        <w:t xml:space="preserve">  </w:t>
      </w:r>
      <w:r w:rsidR="00D1666B">
        <w:rPr>
          <w:snapToGrid/>
          <w:kern w:val="0"/>
          <w:szCs w:val="18"/>
        </w:rPr>
        <w:t>This ruling would supersede HMTV’s existing declaratory ruling, which (1) permits foreign investors to own up to 49.99 percent in the aggregate of both HMTV’s equity and voting interests and (2) provides for specific approval of various foreign entities and individuals to hold up to a 49.99 percent voting interest and up to 49.99 of the company’s equity.</w:t>
      </w:r>
      <w:r>
        <w:rPr>
          <w:rStyle w:val="FootnoteReference"/>
          <w:kern w:val="0"/>
          <w:szCs w:val="18"/>
        </w:rPr>
        <w:footnoteReference w:id="4"/>
      </w:r>
      <w:r w:rsidR="00D1666B">
        <w:rPr>
          <w:snapToGrid/>
          <w:kern w:val="0"/>
          <w:szCs w:val="18"/>
        </w:rPr>
        <w:t xml:space="preserve">  </w:t>
      </w:r>
      <w:r>
        <w:rPr>
          <w:snapToGrid/>
          <w:kern w:val="0"/>
          <w:szCs w:val="18"/>
        </w:rPr>
        <w:t xml:space="preserve">In the Petition, </w:t>
      </w:r>
      <w:r w:rsidR="00D1666B">
        <w:rPr>
          <w:snapToGrid/>
          <w:kern w:val="0"/>
          <w:szCs w:val="18"/>
        </w:rPr>
        <w:t xml:space="preserve">HMTV also seeks specific approval of all previously approved foreign investors; </w:t>
      </w:r>
      <w:r>
        <w:rPr>
          <w:snapToGrid/>
          <w:kern w:val="0"/>
          <w:szCs w:val="18"/>
        </w:rPr>
        <w:t>HMTV does not seek approval of a change in control and does not seek specific approval of any new foreign investors.</w:t>
      </w:r>
      <w:r>
        <w:rPr>
          <w:rStyle w:val="FootnoteReference"/>
          <w:kern w:val="0"/>
          <w:szCs w:val="18"/>
        </w:rPr>
        <w:footnoteReference w:id="5"/>
      </w:r>
    </w:p>
    <w:p w:rsidR="00FE0B16" w:rsidP="00FE0B16">
      <w:pPr>
        <w:widowControl/>
        <w:ind w:firstLine="720"/>
        <w:rPr>
          <w:snapToGrid/>
          <w:kern w:val="0"/>
          <w:szCs w:val="18"/>
        </w:rPr>
      </w:pPr>
    </w:p>
    <w:p w:rsidR="00FE0B16" w:rsidP="00FE0B16">
      <w:pPr>
        <w:widowControl/>
        <w:ind w:firstLine="720"/>
        <w:rPr>
          <w:szCs w:val="18"/>
        </w:rPr>
      </w:pPr>
      <w:r>
        <w:rPr>
          <w:szCs w:val="18"/>
        </w:rPr>
        <w:t xml:space="preserve">On January 18, 2017, the Media Bureau, on delegated authority, granted a petition for declaratory ruling filed by HMTV (2016 Petition) </w:t>
      </w:r>
      <w:r w:rsidRPr="00BD12B8">
        <w:rPr>
          <w:snapToGrid/>
          <w:kern w:val="0"/>
          <w:szCs w:val="18"/>
        </w:rPr>
        <w:t>permitting</w:t>
      </w:r>
      <w:r>
        <w:rPr>
          <w:szCs w:val="18"/>
        </w:rPr>
        <w:t xml:space="preserve"> foreign investors to own up to 49.99 percent in the </w:t>
      </w:r>
      <w:r>
        <w:rPr>
          <w:szCs w:val="18"/>
        </w:rPr>
        <w:t>aggregate of both its and equity and voting interests.</w:t>
      </w:r>
      <w:r>
        <w:rPr>
          <w:rStyle w:val="FootnoteReference"/>
          <w:szCs w:val="18"/>
        </w:rPr>
        <w:footnoteReference w:id="6"/>
      </w:r>
      <w:r>
        <w:rPr>
          <w:szCs w:val="18"/>
        </w:rPr>
        <w:t xml:space="preserve">  The </w:t>
      </w:r>
      <w:r>
        <w:rPr>
          <w:i/>
          <w:szCs w:val="18"/>
        </w:rPr>
        <w:t xml:space="preserve">2017 Declaratory Ruling </w:t>
      </w:r>
      <w:r>
        <w:rPr>
          <w:szCs w:val="18"/>
        </w:rPr>
        <w:t xml:space="preserve">also granted specific approval allowing Cinema </w:t>
      </w:r>
      <w:r>
        <w:rPr>
          <w:szCs w:val="18"/>
        </w:rPr>
        <w:t>Aeropuerto</w:t>
      </w:r>
      <w:r>
        <w:rPr>
          <w:szCs w:val="18"/>
        </w:rPr>
        <w:t>, S.A. de C.V. (</w:t>
      </w:r>
      <w:bookmarkStart w:id="3" w:name="_Hlk512340861"/>
      <w:r>
        <w:rPr>
          <w:szCs w:val="18"/>
        </w:rPr>
        <w:t xml:space="preserve">Cinema </w:t>
      </w:r>
      <w:r>
        <w:rPr>
          <w:szCs w:val="18"/>
        </w:rPr>
        <w:t>Aeropuerto</w:t>
      </w:r>
      <w:bookmarkEnd w:id="3"/>
      <w:r>
        <w:rPr>
          <w:szCs w:val="18"/>
        </w:rPr>
        <w:t xml:space="preserve">), a Mexican corporation, </w:t>
      </w:r>
      <w:r w:rsidRPr="00786A73">
        <w:rPr>
          <w:szCs w:val="22"/>
        </w:rPr>
        <w:t xml:space="preserve">and a series of subsidiary foreign entities and associated foreign entities and individuals to hold up to </w:t>
      </w:r>
      <w:r w:rsidRPr="00786A73">
        <w:rPr>
          <w:rFonts w:ascii="TimesNewRomanMTStd" w:hAnsi="TimesNewRomanMTStd" w:cs="TimesNewRomanMTStd"/>
          <w:szCs w:val="22"/>
        </w:rPr>
        <w:t>49.99 percent of the voting interests and 49.99 percent of the equity of HMTV.</w:t>
      </w:r>
      <w:r>
        <w:rPr>
          <w:rStyle w:val="FootnoteReference"/>
          <w:rFonts w:ascii="TimesNewRomanMTStd" w:hAnsi="TimesNewRomanMTStd" w:cs="TimesNewRomanMTStd"/>
          <w:szCs w:val="22"/>
        </w:rPr>
        <w:footnoteReference w:id="7"/>
      </w:r>
      <w:r w:rsidRPr="00786A73">
        <w:rPr>
          <w:rFonts w:ascii="TimesNewRomanMTStd" w:hAnsi="TimesNewRomanMTStd" w:cs="TimesNewRomanMTStd"/>
          <w:szCs w:val="22"/>
        </w:rPr>
        <w:t xml:space="preserve"> </w:t>
      </w:r>
      <w:r>
        <w:rPr>
          <w:szCs w:val="18"/>
        </w:rPr>
        <w:t xml:space="preserve"> As explained in the </w:t>
      </w:r>
      <w:r>
        <w:rPr>
          <w:i/>
          <w:szCs w:val="18"/>
        </w:rPr>
        <w:t xml:space="preserve">2017 Declaratory Ruling, </w:t>
      </w:r>
      <w:r>
        <w:rPr>
          <w:szCs w:val="18"/>
        </w:rPr>
        <w:t xml:space="preserve">Cinema </w:t>
      </w:r>
      <w:r>
        <w:rPr>
          <w:szCs w:val="18"/>
        </w:rPr>
        <w:t>Aeropuerto’s</w:t>
      </w:r>
      <w:r>
        <w:rPr>
          <w:szCs w:val="18"/>
        </w:rPr>
        <w:t xml:space="preserve"> ultimate parent was HSBC 61549, a trust organized under Mexican law for the benefit of the descendants of Mr. José Joaquín Vargas Gómez.</w:t>
      </w:r>
      <w:r>
        <w:rPr>
          <w:rStyle w:val="FootnoteReference"/>
          <w:szCs w:val="18"/>
        </w:rPr>
        <w:footnoteReference w:id="8"/>
      </w:r>
      <w:r>
        <w:rPr>
          <w:szCs w:val="18"/>
        </w:rPr>
        <w:t xml:space="preserve">  The sole trustee of HSBC 61549 was HSBC México, S.A., an indirect wholly-owned subsidiary of HSBC Holdings plc, which is organized under the laws of the United Kingdom.</w:t>
      </w:r>
      <w:r>
        <w:rPr>
          <w:rStyle w:val="FootnoteReference"/>
          <w:szCs w:val="18"/>
        </w:rPr>
        <w:footnoteReference w:id="9"/>
      </w:r>
      <w:r>
        <w:rPr>
          <w:szCs w:val="18"/>
        </w:rPr>
        <w:t xml:space="preserve">  The shares of the trust were voted at the direction of a trust committee comprised solely of children of Mr. Gómez.</w:t>
      </w:r>
      <w:r>
        <w:rPr>
          <w:rStyle w:val="FootnoteReference"/>
          <w:szCs w:val="18"/>
        </w:rPr>
        <w:footnoteReference w:id="10"/>
      </w:r>
      <w:r>
        <w:rPr>
          <w:szCs w:val="18"/>
        </w:rPr>
        <w:t xml:space="preserve">  </w:t>
      </w:r>
    </w:p>
    <w:p w:rsidR="00FE0B16" w:rsidP="00FE0B16">
      <w:pPr>
        <w:rPr>
          <w:szCs w:val="18"/>
        </w:rPr>
      </w:pPr>
    </w:p>
    <w:p w:rsidR="00FE0B16" w:rsidP="00422415">
      <w:pPr>
        <w:widowControl/>
        <w:ind w:firstLine="720"/>
        <w:rPr>
          <w:szCs w:val="18"/>
        </w:rPr>
      </w:pPr>
      <w:r>
        <w:rPr>
          <w:szCs w:val="18"/>
        </w:rPr>
        <w:t xml:space="preserve">HMTV filed a remedial petition for declaratory ruling in 2018 (2018 Petition), which was prompted by Cinema </w:t>
      </w:r>
      <w:r>
        <w:rPr>
          <w:szCs w:val="18"/>
        </w:rPr>
        <w:t>Aeropuerto’s</w:t>
      </w:r>
      <w:r>
        <w:rPr>
          <w:szCs w:val="18"/>
        </w:rPr>
        <w:t xml:space="preserve"> March 23, 2018, amendment to the Schedule 13D on file with the Securities and Exchange Commission with respect to its investment in HMTV.</w:t>
      </w:r>
      <w:r>
        <w:rPr>
          <w:rStyle w:val="FootnoteReference"/>
          <w:szCs w:val="18"/>
        </w:rPr>
        <w:footnoteReference w:id="11"/>
      </w:r>
      <w:r>
        <w:rPr>
          <w:szCs w:val="18"/>
        </w:rPr>
        <w:t xml:space="preserve">  Cinema </w:t>
      </w:r>
      <w:r>
        <w:rPr>
          <w:szCs w:val="18"/>
        </w:rPr>
        <w:t>Aeropuerto</w:t>
      </w:r>
      <w:r>
        <w:rPr>
          <w:szCs w:val="18"/>
        </w:rPr>
        <w:t xml:space="preserve"> reported that HSBC 61549 had been replaced with Santander Trust Agreement Number 2003914 (the Trust), with Banco Santander (Mexico) as the Trustee.</w:t>
      </w:r>
      <w:r>
        <w:rPr>
          <w:rStyle w:val="FootnoteReference"/>
          <w:szCs w:val="18"/>
        </w:rPr>
        <w:footnoteReference w:id="12"/>
      </w:r>
      <w:r>
        <w:rPr>
          <w:szCs w:val="18"/>
        </w:rPr>
        <w:t xml:space="preserve">  The new trustee continued to vote the shares of Grupo MSV</w:t>
      </w:r>
      <w:r w:rsidR="00CC3F09">
        <w:rPr>
          <w:szCs w:val="18"/>
        </w:rPr>
        <w:t xml:space="preserve">—the ultimate corporate parent of Cinema </w:t>
      </w:r>
      <w:r w:rsidR="00CC3F09">
        <w:rPr>
          <w:szCs w:val="18"/>
        </w:rPr>
        <w:t>Aeropuerto</w:t>
      </w:r>
      <w:r w:rsidR="00CC3F09">
        <w:rPr>
          <w:szCs w:val="18"/>
        </w:rPr>
        <w:t>—</w:t>
      </w:r>
      <w:r>
        <w:rPr>
          <w:szCs w:val="18"/>
        </w:rPr>
        <w:t>at the direction of a trust committee, the members of which remained unchanged.</w:t>
      </w:r>
      <w:r>
        <w:rPr>
          <w:rStyle w:val="FootnoteReference"/>
          <w:szCs w:val="18"/>
        </w:rPr>
        <w:footnoteReference w:id="13"/>
      </w:r>
      <w:r w:rsidR="00422415">
        <w:rPr>
          <w:szCs w:val="18"/>
        </w:rPr>
        <w:t xml:space="preserve">  </w:t>
      </w:r>
      <w:r>
        <w:rPr>
          <w:szCs w:val="18"/>
        </w:rPr>
        <w:t xml:space="preserve">In the </w:t>
      </w:r>
      <w:r w:rsidRPr="00833A55">
        <w:rPr>
          <w:i/>
        </w:rPr>
        <w:t>201</w:t>
      </w:r>
      <w:r>
        <w:rPr>
          <w:i/>
        </w:rPr>
        <w:t>8</w:t>
      </w:r>
      <w:r w:rsidR="00CC3F09">
        <w:rPr>
          <w:i/>
        </w:rPr>
        <w:t xml:space="preserve"> </w:t>
      </w:r>
      <w:r w:rsidRPr="00833A55">
        <w:rPr>
          <w:i/>
        </w:rPr>
        <w:t>Declaratory Ruling</w:t>
      </w:r>
      <w:r>
        <w:t xml:space="preserve">, the Commission granted HMTV’s request for </w:t>
      </w:r>
      <w:r>
        <w:rPr>
          <w:szCs w:val="18"/>
        </w:rPr>
        <w:t xml:space="preserve">specific approval for the following foreign entities to hold up to a 49.9 percent voting and equity </w:t>
      </w:r>
      <w:r w:rsidRPr="00BD12B8">
        <w:rPr>
          <w:snapToGrid/>
          <w:kern w:val="0"/>
          <w:szCs w:val="18"/>
        </w:rPr>
        <w:t>interest</w:t>
      </w:r>
      <w:r>
        <w:rPr>
          <w:szCs w:val="18"/>
        </w:rPr>
        <w:t xml:space="preserve"> in HMTV indirectly through Cinema </w:t>
      </w:r>
      <w:r>
        <w:rPr>
          <w:szCs w:val="18"/>
        </w:rPr>
        <w:t>Aeropuerto</w:t>
      </w:r>
      <w:r>
        <w:rPr>
          <w:szCs w:val="18"/>
        </w:rPr>
        <w:t xml:space="preserve">:  Santander Trust Agreement Number 2003914; Banco Santander (México), S.A.; Grupo </w:t>
      </w:r>
      <w:r>
        <w:rPr>
          <w:szCs w:val="18"/>
        </w:rPr>
        <w:t>Financiero</w:t>
      </w:r>
      <w:r>
        <w:rPr>
          <w:szCs w:val="18"/>
        </w:rPr>
        <w:t xml:space="preserve"> Santander</w:t>
      </w:r>
      <w:r w:rsidRPr="00587D28">
        <w:rPr>
          <w:szCs w:val="18"/>
        </w:rPr>
        <w:t xml:space="preserve"> </w:t>
      </w:r>
      <w:r>
        <w:rPr>
          <w:szCs w:val="18"/>
        </w:rPr>
        <w:t>México, S.A. de C.V.; and Banco Santander, S.A.</w:t>
      </w:r>
      <w:r>
        <w:rPr>
          <w:rStyle w:val="FootnoteReference"/>
          <w:szCs w:val="18"/>
        </w:rPr>
        <w:footnoteReference w:id="14"/>
      </w:r>
    </w:p>
    <w:p w:rsidR="00D1666B" w:rsidP="00FE0B16">
      <w:pPr>
        <w:widowControl/>
        <w:ind w:firstLine="720"/>
        <w:rPr>
          <w:szCs w:val="18"/>
        </w:rPr>
      </w:pPr>
    </w:p>
    <w:p w:rsidR="00D1666B" w:rsidP="00FE0B16">
      <w:pPr>
        <w:widowControl/>
        <w:ind w:firstLine="720"/>
        <w:rPr>
          <w:szCs w:val="18"/>
        </w:rPr>
      </w:pPr>
      <w:r>
        <w:rPr>
          <w:szCs w:val="18"/>
        </w:rPr>
        <w:t xml:space="preserve">HMTV now requests a new declaratory ruling under the Commission’s revised foreign ownership rules to </w:t>
      </w:r>
      <w:r w:rsidR="003B0ABC">
        <w:rPr>
          <w:szCs w:val="18"/>
        </w:rPr>
        <w:t>permit up to 100 percent aggregate foreign ownership of voting and equity interests</w:t>
      </w:r>
      <w:r w:rsidR="0055681E">
        <w:rPr>
          <w:szCs w:val="18"/>
        </w:rPr>
        <w:t xml:space="preserve"> and</w:t>
      </w:r>
      <w:r w:rsidR="003B0ABC">
        <w:rPr>
          <w:szCs w:val="18"/>
        </w:rPr>
        <w:t xml:space="preserve"> </w:t>
      </w:r>
      <w:r w:rsidR="0055681E">
        <w:rPr>
          <w:szCs w:val="18"/>
        </w:rPr>
        <w:t xml:space="preserve">to </w:t>
      </w:r>
      <w:r w:rsidR="003B0ABC">
        <w:rPr>
          <w:szCs w:val="18"/>
        </w:rPr>
        <w:t>re-approv</w:t>
      </w:r>
      <w:r w:rsidR="0055681E">
        <w:rPr>
          <w:szCs w:val="18"/>
        </w:rPr>
        <w:t>e</w:t>
      </w:r>
      <w:r w:rsidR="003B0ABC">
        <w:rPr>
          <w:szCs w:val="18"/>
        </w:rPr>
        <w:t xml:space="preserve"> each foreign investor or group previously approved by the Commission.  No new foreign investors/groups are being added and the Petition does not seek approval of a transfer of control.</w:t>
      </w:r>
    </w:p>
    <w:p w:rsidR="00FE0B16" w:rsidRPr="00B53F9E" w:rsidP="00FE0B16">
      <w:pPr>
        <w:widowControl/>
        <w:rPr>
          <w:snapToGrid/>
          <w:kern w:val="0"/>
          <w:szCs w:val="18"/>
        </w:rPr>
      </w:pPr>
    </w:p>
    <w:p w:rsidR="00FE0B16" w:rsidRPr="00B53F9E" w:rsidP="002B04C7">
      <w:pPr>
        <w:keepNext/>
        <w:widowControl/>
        <w:spacing w:before="120" w:after="240"/>
        <w:rPr>
          <w:b/>
          <w:snapToGrid/>
          <w:kern w:val="0"/>
          <w:szCs w:val="22"/>
        </w:rPr>
      </w:pPr>
      <w:r w:rsidRPr="00B53F9E">
        <w:rPr>
          <w:b/>
          <w:i/>
          <w:snapToGrid/>
          <w:kern w:val="0"/>
          <w:szCs w:val="22"/>
        </w:rPr>
        <w:t>EX PARTE</w:t>
      </w:r>
      <w:r w:rsidRPr="00B53F9E">
        <w:rPr>
          <w:b/>
          <w:snapToGrid/>
          <w:kern w:val="0"/>
          <w:szCs w:val="22"/>
        </w:rPr>
        <w:t xml:space="preserve"> STATUS OF THIS PROCEEDING</w:t>
      </w:r>
    </w:p>
    <w:p w:rsidR="00FE0B16" w:rsidRPr="00B53F9E" w:rsidP="002B04C7">
      <w:pPr>
        <w:keepNext/>
        <w:widowControl/>
        <w:ind w:firstLine="720"/>
        <w:rPr>
          <w:snapToGrid/>
          <w:kern w:val="0"/>
          <w:szCs w:val="22"/>
          <w:highlight w:val="yellow"/>
        </w:rPr>
      </w:pPr>
      <w:r w:rsidRPr="00B53F9E">
        <w:rPr>
          <w:snapToGrid/>
          <w:kern w:val="0"/>
          <w:szCs w:val="22"/>
        </w:rPr>
        <w:t>In order to</w:t>
      </w:r>
      <w:r w:rsidRPr="00B53F9E">
        <w:rPr>
          <w:snapToGrid/>
          <w:kern w:val="0"/>
          <w:szCs w:val="22"/>
        </w:rPr>
        <w:t xml:space="preserve"> assure the staff’s ability to discuss and obtain information needed to resolve the issues presented by this Public Notice and pursuant to section 1.1200(a) of the Rules,</w:t>
      </w:r>
      <w:r>
        <w:rPr>
          <w:snapToGrid/>
          <w:kern w:val="0"/>
          <w:szCs w:val="22"/>
          <w:vertAlign w:val="superscript"/>
        </w:rPr>
        <w:footnoteReference w:id="15"/>
      </w:r>
      <w:r w:rsidRPr="00B53F9E">
        <w:rPr>
          <w:snapToGrid/>
          <w:kern w:val="0"/>
          <w:szCs w:val="22"/>
        </w:rPr>
        <w:t xml:space="preserve"> we establish a docket for </w:t>
      </w:r>
      <w:r w:rsidRPr="00B53F9E">
        <w:rPr>
          <w:snapToGrid/>
          <w:kern w:val="0"/>
          <w:szCs w:val="22"/>
        </w:rPr>
        <w:t xml:space="preserve">this proceeding and announce that the </w:t>
      </w:r>
      <w:r w:rsidRPr="00B53F9E">
        <w:rPr>
          <w:i/>
          <w:snapToGrid/>
          <w:kern w:val="0"/>
          <w:szCs w:val="22"/>
        </w:rPr>
        <w:t xml:space="preserve">ex </w:t>
      </w:r>
      <w:r w:rsidRPr="00B53F9E">
        <w:rPr>
          <w:i/>
          <w:snapToGrid/>
          <w:kern w:val="0"/>
          <w:szCs w:val="22"/>
        </w:rPr>
        <w:t>parte</w:t>
      </w:r>
      <w:r w:rsidRPr="00B53F9E">
        <w:rPr>
          <w:snapToGrid/>
          <w:kern w:val="0"/>
          <w:szCs w:val="22"/>
        </w:rPr>
        <w:t xml:space="preserve"> procedures applicable to permit-but-disclose proceedings will govern our consideration of th</w:t>
      </w:r>
      <w:r>
        <w:rPr>
          <w:snapToGrid/>
          <w:kern w:val="0"/>
          <w:szCs w:val="22"/>
        </w:rPr>
        <w:t>is petition</w:t>
      </w:r>
      <w:r w:rsidRPr="00B53F9E">
        <w:rPr>
          <w:snapToGrid/>
          <w:kern w:val="0"/>
          <w:szCs w:val="22"/>
        </w:rPr>
        <w:t>.</w:t>
      </w:r>
      <w:r>
        <w:rPr>
          <w:snapToGrid/>
          <w:kern w:val="0"/>
          <w:szCs w:val="22"/>
          <w:vertAlign w:val="superscript"/>
        </w:rPr>
        <w:footnoteReference w:id="16"/>
      </w:r>
      <w:r w:rsidRPr="00B53F9E">
        <w:rPr>
          <w:snapToGrid/>
          <w:kern w:val="0"/>
          <w:szCs w:val="22"/>
          <w:highlight w:val="yellow"/>
        </w:rPr>
        <w:t xml:space="preserve">  </w:t>
      </w:r>
    </w:p>
    <w:p w:rsidR="00FE0B16" w:rsidRPr="00B53F9E" w:rsidP="00FE0B16">
      <w:pPr>
        <w:widowControl/>
        <w:ind w:firstLine="720"/>
        <w:rPr>
          <w:snapToGrid/>
          <w:kern w:val="0"/>
          <w:szCs w:val="22"/>
          <w:highlight w:val="yellow"/>
        </w:rPr>
      </w:pPr>
    </w:p>
    <w:p w:rsidR="00FE0B16" w:rsidRPr="00B53F9E" w:rsidP="00FE0B16">
      <w:pPr>
        <w:widowControl/>
        <w:ind w:firstLine="720"/>
        <w:rPr>
          <w:snapToGrid/>
          <w:kern w:val="0"/>
          <w:szCs w:val="22"/>
        </w:rPr>
      </w:pPr>
      <w:r w:rsidRPr="00B53F9E">
        <w:rPr>
          <w:snapToGrid/>
          <w:kern w:val="0"/>
          <w:szCs w:val="22"/>
        </w:rPr>
        <w:t xml:space="preserve">The proceeding in this Notice shall be treated as a “permit-but-disclose” proceeding in accordance with the Commission’s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rules.</w:t>
      </w:r>
      <w:r>
        <w:rPr>
          <w:snapToGrid/>
          <w:kern w:val="0"/>
          <w:szCs w:val="22"/>
          <w:vertAlign w:val="superscript"/>
        </w:rPr>
        <w:footnoteReference w:id="17"/>
      </w:r>
      <w:r w:rsidRPr="00B53F9E">
        <w:rPr>
          <w:snapToGrid/>
          <w:kern w:val="0"/>
          <w:szCs w:val="22"/>
        </w:rPr>
        <w:t xml:space="preserve">  Persons making </w:t>
      </w:r>
      <w:r w:rsidRPr="00B53F9E">
        <w:rPr>
          <w:i/>
          <w:snapToGrid/>
          <w:kern w:val="0"/>
          <w:szCs w:val="22"/>
        </w:rPr>
        <w:t xml:space="preserve">ex </w:t>
      </w:r>
      <w:r w:rsidRPr="00B53F9E">
        <w:rPr>
          <w:i/>
          <w:snapToGrid/>
          <w:kern w:val="0"/>
          <w:szCs w:val="22"/>
        </w:rPr>
        <w:t>parte</w:t>
      </w:r>
      <w:r w:rsidRPr="00B53F9E">
        <w:rPr>
          <w:i/>
          <w:snapToGrid/>
          <w:kern w:val="0"/>
          <w:szCs w:val="22"/>
        </w:rPr>
        <w:t xml:space="preserve"> </w:t>
      </w:r>
      <w:r w:rsidRPr="00B53F9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 xml:space="preserve">presentations are reminded that memoranda summarizing the presentation must (1) list all persons attending or otherwise participating in the meeting at which the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 xml:space="preserve">meetings are deemed to be written </w:t>
      </w:r>
      <w:r w:rsidRPr="00B53F9E">
        <w:rPr>
          <w:i/>
          <w:iCs/>
          <w:snapToGrid/>
          <w:kern w:val="0"/>
          <w:szCs w:val="22"/>
        </w:rPr>
        <w:t xml:space="preserve">ex </w:t>
      </w:r>
      <w:r w:rsidRPr="00B53F9E">
        <w:rPr>
          <w:i/>
          <w:iCs/>
          <w:snapToGrid/>
          <w:kern w:val="0"/>
          <w:szCs w:val="22"/>
        </w:rPr>
        <w:t>parte</w:t>
      </w:r>
      <w:r w:rsidRPr="00B53F9E">
        <w:rPr>
          <w:snapToGrid/>
          <w:kern w:val="0"/>
          <w:szCs w:val="22"/>
        </w:rPr>
        <w:t xml:space="preserve"> presentations and must be filed consistent with rule 1.1206(b), 47 CFR § 1.1206(b).  Participants in this proceeding should familiarize themselves with the Commission’s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rules.</w:t>
      </w:r>
      <w:r w:rsidRPr="00B53F9E">
        <w:rPr>
          <w:snapToGrid/>
          <w:kern w:val="0"/>
          <w:szCs w:val="22"/>
          <w:vertAlign w:val="superscript"/>
        </w:rPr>
        <w:t xml:space="preserve"> </w:t>
      </w:r>
      <w:r>
        <w:rPr>
          <w:snapToGrid/>
          <w:kern w:val="0"/>
          <w:szCs w:val="22"/>
          <w:vertAlign w:val="superscript"/>
        </w:rPr>
        <w:footnoteReference w:id="18"/>
      </w:r>
      <w:r w:rsidRPr="00B53F9E">
        <w:rPr>
          <w:snapToGrid/>
          <w:kern w:val="0"/>
          <w:szCs w:val="22"/>
        </w:rPr>
        <w:t xml:space="preserve">  We strongly urge parties to use the Electronic Comment Filing System (ECFS) to file </w:t>
      </w:r>
      <w:r w:rsidRPr="00B53F9E">
        <w:rPr>
          <w:i/>
          <w:iCs/>
          <w:snapToGrid/>
          <w:kern w:val="0"/>
          <w:szCs w:val="22"/>
        </w:rPr>
        <w:t xml:space="preserve">ex </w:t>
      </w:r>
      <w:r w:rsidRPr="00B53F9E">
        <w:rPr>
          <w:i/>
          <w:iCs/>
          <w:snapToGrid/>
          <w:kern w:val="0"/>
          <w:szCs w:val="22"/>
        </w:rPr>
        <w:t>parte</w:t>
      </w:r>
      <w:r w:rsidRPr="00B53F9E">
        <w:rPr>
          <w:snapToGrid/>
          <w:kern w:val="0"/>
          <w:szCs w:val="22"/>
        </w:rPr>
        <w:t xml:space="preserve"> submissions.  All </w:t>
      </w:r>
      <w:r w:rsidRPr="00B53F9E">
        <w:rPr>
          <w:i/>
          <w:snapToGrid/>
          <w:kern w:val="0"/>
          <w:szCs w:val="22"/>
        </w:rPr>
        <w:t xml:space="preserve">ex </w:t>
      </w:r>
      <w:r w:rsidRPr="00B53F9E">
        <w:rPr>
          <w:i/>
          <w:snapToGrid/>
          <w:kern w:val="0"/>
          <w:szCs w:val="22"/>
        </w:rPr>
        <w:t>parte</w:t>
      </w:r>
      <w:r w:rsidRPr="00B53F9E">
        <w:rPr>
          <w:snapToGrid/>
          <w:kern w:val="0"/>
          <w:szCs w:val="22"/>
        </w:rPr>
        <w:t xml:space="preserve"> filings must be clearly labeled as such and must reference MB Docket No. 19-</w:t>
      </w:r>
      <w:r w:rsidR="00FD7E06">
        <w:rPr>
          <w:snapToGrid/>
          <w:kern w:val="0"/>
          <w:szCs w:val="22"/>
        </w:rPr>
        <w:t>194</w:t>
      </w:r>
      <w:r w:rsidRPr="00B53F9E">
        <w:rPr>
          <w:snapToGrid/>
          <w:kern w:val="0"/>
          <w:szCs w:val="22"/>
        </w:rPr>
        <w:t>.</w:t>
      </w:r>
    </w:p>
    <w:p w:rsidR="00FE0B16" w:rsidRPr="00B53F9E" w:rsidP="00FE0B16">
      <w:pPr>
        <w:widowControl/>
        <w:ind w:firstLine="720"/>
        <w:rPr>
          <w:b/>
          <w:bCs/>
          <w:snapToGrid/>
          <w:color w:val="010101"/>
          <w:kern w:val="0"/>
          <w:szCs w:val="22"/>
        </w:rPr>
      </w:pPr>
    </w:p>
    <w:p w:rsidR="00FE0B16" w:rsidRPr="00B53F9E" w:rsidP="00FE0B16">
      <w:pPr>
        <w:widowControl/>
        <w:autoSpaceDE w:val="0"/>
        <w:autoSpaceDN w:val="0"/>
        <w:adjustRightInd w:val="0"/>
        <w:rPr>
          <w:b/>
          <w:bCs/>
          <w:snapToGrid/>
          <w:color w:val="010101"/>
          <w:kern w:val="0"/>
          <w:szCs w:val="22"/>
        </w:rPr>
      </w:pPr>
      <w:r w:rsidRPr="00B53F9E">
        <w:rPr>
          <w:b/>
          <w:bCs/>
          <w:snapToGrid/>
          <w:color w:val="010101"/>
          <w:kern w:val="0"/>
          <w:szCs w:val="22"/>
        </w:rPr>
        <w:t>GENERAL INFORMATION</w:t>
      </w:r>
    </w:p>
    <w:p w:rsidR="00FE0B16" w:rsidRPr="00B53F9E" w:rsidP="00FE0B16">
      <w:pPr>
        <w:widowControl/>
        <w:autoSpaceDE w:val="0"/>
        <w:autoSpaceDN w:val="0"/>
        <w:adjustRightInd w:val="0"/>
        <w:rPr>
          <w:b/>
          <w:bCs/>
          <w:snapToGrid/>
          <w:color w:val="010101"/>
          <w:kern w:val="0"/>
          <w:szCs w:val="22"/>
        </w:rPr>
      </w:pPr>
    </w:p>
    <w:p w:rsidR="00FE0B16" w:rsidRPr="00B53F9E" w:rsidP="00FE0B16">
      <w:pPr>
        <w:widowControl/>
        <w:ind w:firstLine="720"/>
        <w:rPr>
          <w:snapToGrid/>
          <w:color w:val="010101"/>
          <w:kern w:val="0"/>
          <w:szCs w:val="22"/>
        </w:rPr>
      </w:pPr>
      <w:r w:rsidRPr="00B53F9E">
        <w:rPr>
          <w:snapToGrid/>
          <w:color w:val="010101"/>
          <w:kern w:val="0"/>
          <w:szCs w:val="22"/>
        </w:rPr>
        <w:t xml:space="preserve">The petition for declaratory ruling referred to in this Public Notice has been accepted for filing upon initial review.  The Commission reserves the right to return any filing if, upon further </w:t>
      </w:r>
      <w:r w:rsidRPr="00B53F9E">
        <w:rPr>
          <w:snapToGrid/>
          <w:kern w:val="0"/>
          <w:szCs w:val="18"/>
        </w:rPr>
        <w:t>examination</w:t>
      </w:r>
      <w:r w:rsidRPr="00B53F9E">
        <w:rPr>
          <w:snapToGrid/>
          <w:color w:val="010101"/>
          <w:kern w:val="0"/>
          <w:szCs w:val="22"/>
        </w:rPr>
        <w:t xml:space="preserve">, it is determined to be defective and not in conformance with the Commission’s rules or policies.  Interested persons must file comments no later than </w:t>
      </w:r>
      <w:r w:rsidRPr="0057167A" w:rsidR="0057167A">
        <w:rPr>
          <w:b/>
          <w:snapToGrid/>
          <w:color w:val="010101"/>
          <w:kern w:val="0"/>
          <w:szCs w:val="22"/>
        </w:rPr>
        <w:t>August 9</w:t>
      </w:r>
      <w:r w:rsidRPr="00B53F9E">
        <w:rPr>
          <w:b/>
          <w:snapToGrid/>
          <w:color w:val="010101"/>
          <w:kern w:val="0"/>
          <w:szCs w:val="22"/>
        </w:rPr>
        <w:t>, 2019</w:t>
      </w:r>
      <w:r w:rsidRPr="00B53F9E">
        <w:rPr>
          <w:snapToGrid/>
          <w:color w:val="010101"/>
          <w:kern w:val="0"/>
          <w:szCs w:val="22"/>
        </w:rPr>
        <w:t xml:space="preserve">.  Replies must be filed no later than </w:t>
      </w:r>
      <w:r w:rsidRPr="0057167A" w:rsidR="0057167A">
        <w:rPr>
          <w:b/>
          <w:snapToGrid/>
          <w:color w:val="010101"/>
          <w:kern w:val="0"/>
          <w:szCs w:val="22"/>
        </w:rPr>
        <w:t>August 26,</w:t>
      </w:r>
      <w:r w:rsidRPr="00B53F9E">
        <w:rPr>
          <w:b/>
          <w:snapToGrid/>
          <w:color w:val="010101"/>
          <w:kern w:val="0"/>
          <w:szCs w:val="22"/>
        </w:rPr>
        <w:t xml:space="preserve"> 2019</w:t>
      </w:r>
      <w:r w:rsidRPr="00B53F9E">
        <w:rPr>
          <w:snapToGrid/>
          <w:color w:val="010101"/>
          <w:kern w:val="0"/>
          <w:szCs w:val="22"/>
        </w:rPr>
        <w:t xml:space="preserve">.   </w:t>
      </w:r>
    </w:p>
    <w:p w:rsidR="00FE0B16" w:rsidRPr="00B53F9E" w:rsidP="00FE0B16">
      <w:pPr>
        <w:widowControl/>
        <w:autoSpaceDE w:val="0"/>
        <w:autoSpaceDN w:val="0"/>
        <w:adjustRightInd w:val="0"/>
        <w:rPr>
          <w:snapToGrid/>
          <w:color w:val="010101"/>
          <w:kern w:val="0"/>
          <w:szCs w:val="22"/>
        </w:rPr>
      </w:pPr>
    </w:p>
    <w:p w:rsidR="00FE0B16" w:rsidRPr="00B53F9E" w:rsidP="00FE0B16">
      <w:pPr>
        <w:widowControl/>
        <w:autoSpaceDE w:val="0"/>
        <w:autoSpaceDN w:val="0"/>
        <w:adjustRightInd w:val="0"/>
        <w:ind w:firstLine="720"/>
        <w:rPr>
          <w:bCs/>
          <w:snapToGrid/>
          <w:color w:val="010101"/>
          <w:kern w:val="0"/>
          <w:szCs w:val="22"/>
        </w:rPr>
      </w:pPr>
      <w:r w:rsidRPr="00B53F9E">
        <w:rPr>
          <w:bCs/>
          <w:snapToGrid/>
          <w:color w:val="010101"/>
          <w:kern w:val="0"/>
          <w:szCs w:val="22"/>
        </w:rPr>
        <w:t xml:space="preserve">To allow the Commission to consider fully all substantive issues regarding the </w:t>
      </w:r>
      <w:r>
        <w:rPr>
          <w:bCs/>
          <w:snapToGrid/>
          <w:color w:val="010101"/>
          <w:kern w:val="0"/>
          <w:szCs w:val="22"/>
        </w:rPr>
        <w:t>petition</w:t>
      </w:r>
      <w:r w:rsidRPr="00B53F9E">
        <w:rPr>
          <w:bCs/>
          <w:snapToGrid/>
          <w:color w:val="010101"/>
          <w:kern w:val="0"/>
          <w:szCs w:val="22"/>
        </w:rPr>
        <w:t xml:space="preserve"> in as timely and efficient a manner as possible, commenters should raise all issues in their initial filings. A party or interested person seeking to raise a new issue after the pleading cycle has closed must show good cause why it was not possible for it to have raised the issue previously</w:t>
      </w:r>
      <w:r>
        <w:rPr>
          <w:bCs/>
          <w:snapToGrid/>
          <w:color w:val="010101"/>
          <w:kern w:val="0"/>
          <w:szCs w:val="22"/>
        </w:rPr>
        <w:t>.</w:t>
      </w:r>
      <w:r w:rsidRPr="00B53F9E">
        <w:rPr>
          <w:bCs/>
          <w:snapToGrid/>
          <w:color w:val="010101"/>
          <w:kern w:val="0"/>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E0B16" w:rsidRPr="00B53F9E" w:rsidP="00FE0B16">
      <w:pPr>
        <w:widowControl/>
        <w:autoSpaceDE w:val="0"/>
        <w:autoSpaceDN w:val="0"/>
        <w:adjustRightInd w:val="0"/>
        <w:rPr>
          <w:b/>
          <w:bCs/>
          <w:snapToGrid/>
          <w:color w:val="010101"/>
          <w:kern w:val="0"/>
          <w:szCs w:val="22"/>
        </w:rPr>
      </w:pPr>
      <w:r w:rsidRPr="00B53F9E">
        <w:rPr>
          <w:b/>
          <w:bCs/>
          <w:snapToGrid/>
          <w:color w:val="010101"/>
          <w:kern w:val="0"/>
          <w:szCs w:val="22"/>
        </w:rPr>
        <w:tab/>
      </w:r>
    </w:p>
    <w:p w:rsidR="00FE0B16" w:rsidRPr="00B53F9E" w:rsidP="00FE0B16">
      <w:pPr>
        <w:widowControl/>
        <w:autoSpaceDE w:val="0"/>
        <w:autoSpaceDN w:val="0"/>
        <w:adjustRightInd w:val="0"/>
        <w:ind w:firstLine="720"/>
        <w:rPr>
          <w:snapToGrid/>
          <w:color w:val="010101"/>
          <w:kern w:val="0"/>
          <w:szCs w:val="22"/>
        </w:rPr>
      </w:pPr>
      <w:r w:rsidRPr="00B53F9E">
        <w:rPr>
          <w:snapToGrid/>
          <w:color w:val="010101"/>
          <w:kern w:val="0"/>
          <w:szCs w:val="22"/>
        </w:rPr>
        <w:t>All filings concerning matters referenced in this Public Notice should refer to MB Docket No.19</w:t>
      </w:r>
      <w:r>
        <w:rPr>
          <w:snapToGrid/>
          <w:color w:val="010101"/>
          <w:kern w:val="0"/>
          <w:szCs w:val="22"/>
        </w:rPr>
        <w:t>-</w:t>
      </w:r>
      <w:r w:rsidR="00FD7E06">
        <w:rPr>
          <w:snapToGrid/>
          <w:color w:val="010101"/>
          <w:kern w:val="0"/>
          <w:szCs w:val="22"/>
        </w:rPr>
        <w:t>194</w:t>
      </w:r>
      <w:r w:rsidRPr="00B53F9E">
        <w:rPr>
          <w:snapToGrid/>
          <w:color w:val="010101"/>
          <w:kern w:val="0"/>
          <w:szCs w:val="22"/>
        </w:rPr>
        <w:t xml:space="preserve">.  </w:t>
      </w:r>
    </w:p>
    <w:p w:rsidR="00FE0B16" w:rsidRPr="00B53F9E" w:rsidP="00FE0B16">
      <w:pPr>
        <w:widowControl/>
        <w:autoSpaceDE w:val="0"/>
        <w:autoSpaceDN w:val="0"/>
        <w:adjustRightInd w:val="0"/>
        <w:rPr>
          <w:snapToGrid/>
          <w:color w:val="010101"/>
          <w:kern w:val="0"/>
          <w:szCs w:val="22"/>
        </w:rPr>
      </w:pPr>
    </w:p>
    <w:p w:rsidR="00FE0B16" w:rsidRPr="00B53F9E" w:rsidP="00FE0B16">
      <w:pPr>
        <w:widowControl/>
        <w:autoSpaceDE w:val="0"/>
        <w:autoSpaceDN w:val="0"/>
        <w:adjustRightInd w:val="0"/>
        <w:ind w:firstLine="720"/>
        <w:rPr>
          <w:snapToGrid/>
          <w:color w:val="010101"/>
          <w:kern w:val="0"/>
          <w:szCs w:val="22"/>
        </w:rPr>
      </w:pPr>
      <w:r w:rsidRPr="00B53F9E">
        <w:rPr>
          <w:snapToGrid/>
          <w:color w:val="010101"/>
          <w:kern w:val="0"/>
          <w:szCs w:val="22"/>
        </w:rPr>
        <w:t>Submissions in this matter may be filed electronically (</w:t>
      </w:r>
      <w:r w:rsidRPr="007148FF">
        <w:rPr>
          <w:iCs/>
          <w:snapToGrid/>
          <w:color w:val="010101"/>
          <w:kern w:val="0"/>
          <w:szCs w:val="22"/>
        </w:rPr>
        <w:t>i.e.</w:t>
      </w:r>
      <w:r w:rsidRPr="007148FF">
        <w:rPr>
          <w:snapToGrid/>
          <w:color w:val="010101"/>
          <w:kern w:val="0"/>
          <w:szCs w:val="22"/>
        </w:rPr>
        <w:t>,</w:t>
      </w:r>
      <w:r w:rsidRPr="00B53F9E">
        <w:rPr>
          <w:snapToGrid/>
          <w:color w:val="010101"/>
          <w:kern w:val="0"/>
          <w:szCs w:val="22"/>
        </w:rPr>
        <w:t xml:space="preserve"> through ECFS) or by filing paper copies.</w:t>
      </w:r>
    </w:p>
    <w:p w:rsidR="00FE0B16" w:rsidRPr="00B53F9E" w:rsidP="00FE0B16">
      <w:pPr>
        <w:widowControl/>
        <w:autoSpaceDE w:val="0"/>
        <w:autoSpaceDN w:val="0"/>
        <w:adjustRightInd w:val="0"/>
        <w:rPr>
          <w:snapToGrid/>
          <w:color w:val="010101"/>
          <w:kern w:val="0"/>
          <w:szCs w:val="22"/>
        </w:rPr>
      </w:pPr>
    </w:p>
    <w:p w:rsidR="00FE0B16" w:rsidRPr="007148FF" w:rsidP="00FE0B16">
      <w:pPr>
        <w:widowControl/>
        <w:numPr>
          <w:ilvl w:val="0"/>
          <w:numId w:val="1"/>
        </w:numPr>
        <w:autoSpaceDE w:val="0"/>
        <w:autoSpaceDN w:val="0"/>
        <w:adjustRightInd w:val="0"/>
        <w:rPr>
          <w:snapToGrid/>
          <w:color w:val="010101"/>
          <w:kern w:val="0"/>
          <w:szCs w:val="22"/>
        </w:rPr>
      </w:pPr>
      <w:r w:rsidRPr="00B53F9E">
        <w:rPr>
          <w:snapToGrid/>
          <w:color w:val="010101"/>
          <w:kern w:val="0"/>
          <w:szCs w:val="22"/>
        </w:rPr>
        <w:t>Electronic Filers:  Documents may be filed electronically using the Internet by accessing the</w:t>
      </w:r>
      <w:r w:rsidR="007148FF">
        <w:rPr>
          <w:snapToGrid/>
          <w:color w:val="010101"/>
          <w:kern w:val="0"/>
          <w:szCs w:val="22"/>
        </w:rPr>
        <w:t xml:space="preserve"> </w:t>
      </w:r>
      <w:r w:rsidRPr="007148FF">
        <w:rPr>
          <w:snapToGrid/>
          <w:color w:val="010101"/>
          <w:kern w:val="0"/>
          <w:szCs w:val="22"/>
        </w:rPr>
        <w:t xml:space="preserve">ECFS:  </w:t>
      </w:r>
      <w:hyperlink r:id="rId5" w:history="1">
        <w:r w:rsidRPr="007148FF">
          <w:rPr>
            <w:snapToGrid/>
            <w:color w:val="0000FF"/>
            <w:kern w:val="0"/>
            <w:szCs w:val="22"/>
            <w:u w:val="single"/>
          </w:rPr>
          <w:t>http://fjallfoss.fcc.gov/ecfs2/</w:t>
        </w:r>
      </w:hyperlink>
      <w:r w:rsidRPr="007148FF">
        <w:rPr>
          <w:snapToGrid/>
          <w:color w:val="010101"/>
          <w:kern w:val="0"/>
          <w:szCs w:val="22"/>
        </w:rPr>
        <w:t>.</w:t>
      </w:r>
    </w:p>
    <w:p w:rsidR="00FE0B16" w:rsidRPr="00B53F9E" w:rsidP="00FE0B16">
      <w:pPr>
        <w:widowControl/>
        <w:autoSpaceDE w:val="0"/>
        <w:autoSpaceDN w:val="0"/>
        <w:adjustRightInd w:val="0"/>
        <w:rPr>
          <w:snapToGrid/>
          <w:color w:val="010101"/>
          <w:kern w:val="0"/>
          <w:szCs w:val="22"/>
        </w:rPr>
      </w:pPr>
    </w:p>
    <w:p w:rsidR="00FE0B16" w:rsidRPr="007148FF" w:rsidP="00FE0B16">
      <w:pPr>
        <w:widowControl/>
        <w:numPr>
          <w:ilvl w:val="0"/>
          <w:numId w:val="1"/>
        </w:numPr>
        <w:autoSpaceDE w:val="0"/>
        <w:autoSpaceDN w:val="0"/>
        <w:adjustRightInd w:val="0"/>
        <w:rPr>
          <w:snapToGrid/>
          <w:color w:val="010101"/>
          <w:kern w:val="0"/>
          <w:szCs w:val="22"/>
        </w:rPr>
      </w:pPr>
      <w:r w:rsidRPr="00B53F9E">
        <w:rPr>
          <w:snapToGrid/>
          <w:color w:val="010101"/>
          <w:kern w:val="0"/>
          <w:szCs w:val="22"/>
        </w:rPr>
        <w:t>Paper Filers:  Parties who choose to file by paper must file an original and four copies of each</w:t>
      </w:r>
      <w:r w:rsidR="007148FF">
        <w:rPr>
          <w:snapToGrid/>
          <w:color w:val="010101"/>
          <w:kern w:val="0"/>
          <w:szCs w:val="22"/>
        </w:rPr>
        <w:t xml:space="preserve"> </w:t>
      </w:r>
      <w:r w:rsidRPr="007148FF">
        <w:rPr>
          <w:snapToGrid/>
          <w:color w:val="010101"/>
          <w:kern w:val="0"/>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7148FF">
        <w:rPr>
          <w:snapToGrid/>
          <w:color w:val="010101"/>
          <w:kern w:val="0"/>
          <w:szCs w:val="22"/>
          <w:vertAlign w:val="superscript"/>
        </w:rPr>
        <w:t>th</w:t>
      </w:r>
      <w:r w:rsidRPr="007148FF">
        <w:rPr>
          <w:snapToGrid/>
          <w:color w:val="010101"/>
          <w:kern w:val="0"/>
          <w:szCs w:val="22"/>
        </w:rPr>
        <w:t xml:space="preserve"> Street, S.W., Washington, DC 20554.</w:t>
      </w:r>
    </w:p>
    <w:p w:rsidR="00FE0B16" w:rsidRPr="00B53F9E" w:rsidP="00FE0B16">
      <w:pPr>
        <w:widowControl/>
        <w:autoSpaceDE w:val="0"/>
        <w:autoSpaceDN w:val="0"/>
        <w:adjustRightInd w:val="0"/>
        <w:rPr>
          <w:snapToGrid/>
          <w:color w:val="010101"/>
          <w:kern w:val="0"/>
          <w:szCs w:val="22"/>
        </w:rPr>
      </w:pPr>
    </w:p>
    <w:p w:rsidR="00FE0B16" w:rsidRPr="00B53F9E" w:rsidP="007148FF">
      <w:pPr>
        <w:widowControl/>
        <w:numPr>
          <w:ilvl w:val="0"/>
          <w:numId w:val="1"/>
        </w:numPr>
        <w:tabs>
          <w:tab w:val="left" w:pos="1080"/>
        </w:tabs>
        <w:autoSpaceDE w:val="0"/>
        <w:autoSpaceDN w:val="0"/>
        <w:adjustRightInd w:val="0"/>
        <w:ind w:left="1080"/>
        <w:rPr>
          <w:snapToGrid/>
          <w:color w:val="010101"/>
          <w:kern w:val="0"/>
          <w:szCs w:val="22"/>
        </w:rPr>
      </w:pPr>
      <w:r w:rsidRPr="00B53F9E">
        <w:rPr>
          <w:snapToGrid/>
          <w:color w:val="010101"/>
          <w:kern w:val="0"/>
          <w:szCs w:val="22"/>
        </w:rPr>
        <w:t>All hand-delivered or messenger-delivered paper filings no larger than a copier paper box</w:t>
      </w:r>
      <w:r w:rsidR="007148FF">
        <w:rPr>
          <w:snapToGrid/>
          <w:color w:val="010101"/>
          <w:kern w:val="0"/>
          <w:szCs w:val="22"/>
        </w:rPr>
        <w:t xml:space="preserve"> </w:t>
      </w:r>
      <w:r w:rsidRPr="00B53F9E">
        <w:rPr>
          <w:snapToGrid/>
          <w:color w:val="010101"/>
          <w:kern w:val="0"/>
          <w:szCs w:val="22"/>
        </w:rPr>
        <w:t>for</w:t>
      </w:r>
      <w:r w:rsidR="007148FF">
        <w:rPr>
          <w:snapToGrid/>
          <w:color w:val="010101"/>
          <w:kern w:val="0"/>
          <w:szCs w:val="22"/>
        </w:rPr>
        <w:t xml:space="preserve"> </w:t>
      </w:r>
      <w:r w:rsidRPr="00B53F9E">
        <w:rPr>
          <w:snapToGrid/>
          <w:color w:val="010101"/>
          <w:kern w:val="0"/>
          <w:szCs w:val="22"/>
        </w:rPr>
        <w:t>the Commission’s Secretary must be delivered to the Mail and Distribution Window at FCC Headquarters at 445 12</w:t>
      </w:r>
      <w:r w:rsidRPr="00B53F9E">
        <w:rPr>
          <w:snapToGrid/>
          <w:color w:val="010101"/>
          <w:kern w:val="0"/>
          <w:sz w:val="14"/>
          <w:szCs w:val="14"/>
        </w:rPr>
        <w:t xml:space="preserve">th </w:t>
      </w:r>
      <w:r w:rsidRPr="00B53F9E">
        <w:rPr>
          <w:snapToGrid/>
          <w:color w:val="010101"/>
          <w:kern w:val="0"/>
          <w:szCs w:val="22"/>
        </w:rPr>
        <w:t xml:space="preserve">Street, S.W., Washington, D.C. 20554.  </w:t>
      </w:r>
      <w:r w:rsidRPr="00B53F9E">
        <w:rPr>
          <w:snapToGrid/>
          <w:kern w:val="0"/>
          <w:szCs w:val="22"/>
        </w:rPr>
        <w:t xml:space="preserve">The filing hours are 8:00 a.m. to 7:00 p.m.  </w:t>
      </w:r>
      <w:r w:rsidRPr="00B53F9E">
        <w:rPr>
          <w:snapToGrid/>
          <w:color w:val="010101"/>
          <w:kern w:val="0"/>
          <w:szCs w:val="22"/>
        </w:rPr>
        <w:t>All hand deliveries must be held together with rubber bands or fasteners.  Any envelopes must be disposed of before entering the building.</w:t>
      </w:r>
    </w:p>
    <w:p w:rsidR="00FE0B16" w:rsidRPr="00B53F9E" w:rsidP="00FE0B16">
      <w:pPr>
        <w:widowControl/>
        <w:autoSpaceDE w:val="0"/>
        <w:autoSpaceDN w:val="0"/>
        <w:adjustRightInd w:val="0"/>
        <w:rPr>
          <w:snapToGrid/>
          <w:color w:val="010101"/>
          <w:kern w:val="0"/>
          <w:szCs w:val="22"/>
        </w:rPr>
      </w:pPr>
    </w:p>
    <w:p w:rsidR="00FE0B16" w:rsidRPr="007148FF" w:rsidP="007148FF">
      <w:pPr>
        <w:widowControl/>
        <w:numPr>
          <w:ilvl w:val="0"/>
          <w:numId w:val="1"/>
        </w:numPr>
        <w:tabs>
          <w:tab w:val="left" w:pos="1080"/>
        </w:tabs>
        <w:autoSpaceDE w:val="0"/>
        <w:autoSpaceDN w:val="0"/>
        <w:adjustRightInd w:val="0"/>
        <w:ind w:left="1080"/>
        <w:rPr>
          <w:snapToGrid/>
          <w:color w:val="010101"/>
          <w:kern w:val="0"/>
          <w:szCs w:val="22"/>
        </w:rPr>
      </w:pPr>
      <w:r w:rsidRPr="00B53F9E">
        <w:rPr>
          <w:snapToGrid/>
          <w:color w:val="010101"/>
          <w:kern w:val="0"/>
          <w:szCs w:val="22"/>
        </w:rPr>
        <w:t>Commercial overnight mail (other than U.S. Postal Service Express Mail and Priority</w:t>
      </w:r>
      <w:r w:rsidR="007148FF">
        <w:rPr>
          <w:snapToGrid/>
          <w:color w:val="010101"/>
          <w:kern w:val="0"/>
          <w:szCs w:val="22"/>
        </w:rPr>
        <w:t xml:space="preserve"> </w:t>
      </w:r>
      <w:r w:rsidRPr="007148FF">
        <w:rPr>
          <w:snapToGrid/>
          <w:color w:val="010101"/>
          <w:kern w:val="0"/>
          <w:szCs w:val="22"/>
        </w:rPr>
        <w:t xml:space="preserve">Mail) must be sent to </w:t>
      </w:r>
      <w:r w:rsidRPr="007148FF">
        <w:rPr>
          <w:snapToGrid/>
          <w:kern w:val="0"/>
          <w:szCs w:val="22"/>
        </w:rPr>
        <w:t>9050 Junction Drive, Annapolis Junction, MD 20701</w:t>
      </w:r>
      <w:r w:rsidRPr="007148FF">
        <w:rPr>
          <w:snapToGrid/>
          <w:color w:val="010101"/>
          <w:kern w:val="0"/>
          <w:szCs w:val="22"/>
        </w:rPr>
        <w:t>.</w:t>
      </w:r>
    </w:p>
    <w:p w:rsidR="00FE0B16" w:rsidRPr="00B53F9E" w:rsidP="00FE0B16">
      <w:pPr>
        <w:widowControl/>
        <w:autoSpaceDE w:val="0"/>
        <w:autoSpaceDN w:val="0"/>
        <w:adjustRightInd w:val="0"/>
        <w:rPr>
          <w:snapToGrid/>
          <w:color w:val="010101"/>
          <w:kern w:val="0"/>
          <w:szCs w:val="22"/>
        </w:rPr>
      </w:pPr>
    </w:p>
    <w:p w:rsidR="00FE0B16" w:rsidRPr="007148FF" w:rsidP="007148FF">
      <w:pPr>
        <w:widowControl/>
        <w:numPr>
          <w:ilvl w:val="0"/>
          <w:numId w:val="1"/>
        </w:numPr>
        <w:tabs>
          <w:tab w:val="left" w:pos="1080"/>
        </w:tabs>
        <w:autoSpaceDE w:val="0"/>
        <w:autoSpaceDN w:val="0"/>
        <w:adjustRightInd w:val="0"/>
        <w:ind w:left="1080"/>
        <w:rPr>
          <w:snapToGrid/>
          <w:color w:val="010101"/>
          <w:kern w:val="0"/>
          <w:szCs w:val="22"/>
        </w:rPr>
      </w:pPr>
      <w:r w:rsidRPr="00B53F9E">
        <w:rPr>
          <w:snapToGrid/>
          <w:color w:val="010101"/>
          <w:kern w:val="0"/>
          <w:szCs w:val="22"/>
        </w:rPr>
        <w:t>U.S. Postal Service first-class, Express, and Priority mail must be addressed to 445 12</w:t>
      </w:r>
      <w:r w:rsidRPr="007148FF">
        <w:rPr>
          <w:snapToGrid/>
          <w:color w:val="010101"/>
          <w:kern w:val="0"/>
          <w:szCs w:val="22"/>
          <w:vertAlign w:val="superscript"/>
        </w:rPr>
        <w:t>th</w:t>
      </w:r>
      <w:r w:rsidR="007148FF">
        <w:rPr>
          <w:snapToGrid/>
          <w:color w:val="010101"/>
          <w:kern w:val="0"/>
          <w:szCs w:val="22"/>
        </w:rPr>
        <w:t xml:space="preserve"> </w:t>
      </w:r>
      <w:r w:rsidRPr="007148FF">
        <w:rPr>
          <w:snapToGrid/>
          <w:color w:val="010101"/>
          <w:kern w:val="0"/>
          <w:szCs w:val="22"/>
        </w:rPr>
        <w:t>Street, S.W., Washington, DC 20554.</w:t>
      </w:r>
    </w:p>
    <w:p w:rsidR="00FE0B16" w:rsidRPr="00B53F9E" w:rsidP="00FE0B16">
      <w:pPr>
        <w:widowControl/>
        <w:autoSpaceDE w:val="0"/>
        <w:autoSpaceDN w:val="0"/>
        <w:adjustRightInd w:val="0"/>
        <w:rPr>
          <w:snapToGrid/>
          <w:color w:val="010101"/>
          <w:kern w:val="0"/>
          <w:szCs w:val="22"/>
        </w:rPr>
      </w:pPr>
    </w:p>
    <w:p w:rsidR="00FE0B16" w:rsidRPr="00B53F9E" w:rsidP="007148FF">
      <w:pPr>
        <w:keepNext/>
        <w:widowControl/>
        <w:autoSpaceDE w:val="0"/>
        <w:autoSpaceDN w:val="0"/>
        <w:adjustRightInd w:val="0"/>
        <w:rPr>
          <w:b/>
          <w:bCs/>
          <w:snapToGrid/>
          <w:color w:val="010101"/>
          <w:kern w:val="0"/>
          <w:szCs w:val="22"/>
        </w:rPr>
      </w:pPr>
      <w:r w:rsidRPr="00B53F9E">
        <w:rPr>
          <w:b/>
          <w:bCs/>
          <w:snapToGrid/>
          <w:color w:val="010101"/>
          <w:kern w:val="0"/>
          <w:szCs w:val="22"/>
        </w:rPr>
        <w:t>In addition, one copy of each submission must be sent to the following:</w:t>
      </w:r>
    </w:p>
    <w:p w:rsidR="00FE0B16" w:rsidRPr="00B53F9E" w:rsidP="007148FF">
      <w:pPr>
        <w:keepNext/>
        <w:widowControl/>
        <w:autoSpaceDE w:val="0"/>
        <w:autoSpaceDN w:val="0"/>
        <w:adjustRightInd w:val="0"/>
        <w:rPr>
          <w:b/>
          <w:bCs/>
          <w:snapToGrid/>
          <w:color w:val="010101"/>
          <w:kern w:val="0"/>
          <w:szCs w:val="22"/>
        </w:rPr>
      </w:pPr>
    </w:p>
    <w:p w:rsidR="00FE0B16" w:rsidRPr="00B53F9E" w:rsidP="007148FF">
      <w:pPr>
        <w:widowControl/>
        <w:numPr>
          <w:ilvl w:val="0"/>
          <w:numId w:val="1"/>
        </w:numPr>
        <w:tabs>
          <w:tab w:val="left" w:pos="1080"/>
        </w:tabs>
        <w:autoSpaceDE w:val="0"/>
        <w:autoSpaceDN w:val="0"/>
        <w:adjustRightInd w:val="0"/>
        <w:ind w:left="1080"/>
        <w:rPr>
          <w:snapToGrid/>
          <w:color w:val="010101"/>
          <w:kern w:val="0"/>
          <w:szCs w:val="22"/>
        </w:rPr>
      </w:pPr>
      <w:r w:rsidRPr="00B53F9E">
        <w:rPr>
          <w:snapToGrid/>
          <w:color w:val="010101"/>
          <w:kern w:val="0"/>
          <w:szCs w:val="22"/>
        </w:rPr>
        <w:t xml:space="preserve">David </w:t>
      </w:r>
      <w:r w:rsidR="00B81876">
        <w:rPr>
          <w:snapToGrid/>
          <w:color w:val="010101"/>
          <w:kern w:val="0"/>
          <w:szCs w:val="22"/>
        </w:rPr>
        <w:t>Roberts</w:t>
      </w:r>
      <w:r w:rsidRPr="00B53F9E">
        <w:rPr>
          <w:snapToGrid/>
          <w:color w:val="010101"/>
          <w:kern w:val="0"/>
          <w:szCs w:val="22"/>
        </w:rPr>
        <w:t>, Video Division, Media Bureau, Room 2-A66</w:t>
      </w:r>
      <w:r w:rsidR="00A70B46">
        <w:rPr>
          <w:snapToGrid/>
          <w:color w:val="010101"/>
          <w:kern w:val="0"/>
          <w:szCs w:val="22"/>
        </w:rPr>
        <w:t>0</w:t>
      </w:r>
      <w:r w:rsidRPr="00B53F9E">
        <w:rPr>
          <w:snapToGrid/>
          <w:color w:val="010101"/>
          <w:kern w:val="0"/>
          <w:szCs w:val="22"/>
        </w:rPr>
        <w:t xml:space="preserve">, e-mail </w:t>
      </w:r>
      <w:hyperlink r:id="rId6" w:history="1">
        <w:r w:rsidRPr="00EC259A" w:rsidR="00A70B46">
          <w:rPr>
            <w:rStyle w:val="Hyperlink"/>
            <w:snapToGrid/>
            <w:kern w:val="0"/>
            <w:szCs w:val="22"/>
          </w:rPr>
          <w:t>David.Roberts@fcc.gov</w:t>
        </w:r>
      </w:hyperlink>
    </w:p>
    <w:p w:rsidR="00FE0B16" w:rsidRPr="00B53F9E" w:rsidP="00FE0B16">
      <w:pPr>
        <w:widowControl/>
        <w:ind w:left="720"/>
        <w:rPr>
          <w:snapToGrid/>
          <w:color w:val="010101"/>
          <w:kern w:val="0"/>
          <w:szCs w:val="22"/>
        </w:rPr>
      </w:pPr>
    </w:p>
    <w:p w:rsidR="00FE0B16" w:rsidRPr="00B53F9E" w:rsidP="007148FF">
      <w:pPr>
        <w:widowControl/>
        <w:numPr>
          <w:ilvl w:val="0"/>
          <w:numId w:val="1"/>
        </w:numPr>
        <w:tabs>
          <w:tab w:val="left" w:pos="1080"/>
        </w:tabs>
        <w:autoSpaceDE w:val="0"/>
        <w:autoSpaceDN w:val="0"/>
        <w:adjustRightInd w:val="0"/>
        <w:ind w:left="1080"/>
        <w:rPr>
          <w:snapToGrid/>
          <w:color w:val="010101"/>
          <w:kern w:val="0"/>
          <w:szCs w:val="22"/>
        </w:rPr>
      </w:pPr>
      <w:r>
        <w:rPr>
          <w:snapToGrid/>
          <w:color w:val="010101"/>
          <w:kern w:val="0"/>
          <w:szCs w:val="22"/>
        </w:rPr>
        <w:t>Benjamin Arden</w:t>
      </w:r>
      <w:r w:rsidRPr="00B53F9E">
        <w:rPr>
          <w:snapToGrid/>
          <w:color w:val="010101"/>
          <w:kern w:val="0"/>
          <w:szCs w:val="22"/>
        </w:rPr>
        <w:t>, Video Division, Media Bureau, Room 2-A6</w:t>
      </w:r>
      <w:r>
        <w:rPr>
          <w:snapToGrid/>
          <w:color w:val="010101"/>
          <w:kern w:val="0"/>
          <w:szCs w:val="22"/>
        </w:rPr>
        <w:t>22</w:t>
      </w:r>
      <w:r w:rsidRPr="00B53F9E">
        <w:rPr>
          <w:snapToGrid/>
          <w:color w:val="010101"/>
          <w:kern w:val="0"/>
          <w:szCs w:val="22"/>
        </w:rPr>
        <w:t xml:space="preserve">, e-mail </w:t>
      </w:r>
      <w:hyperlink r:id="rId7" w:history="1">
        <w:r w:rsidRPr="00EC259A">
          <w:rPr>
            <w:rStyle w:val="Hyperlink"/>
            <w:snapToGrid/>
            <w:kern w:val="0"/>
            <w:szCs w:val="22"/>
          </w:rPr>
          <w:t>Benjamin.Arden@fcc.gov</w:t>
        </w:r>
      </w:hyperlink>
    </w:p>
    <w:p w:rsidR="00FE0B16" w:rsidRPr="00B53F9E" w:rsidP="00FE0B16">
      <w:pPr>
        <w:widowControl/>
        <w:autoSpaceDE w:val="0"/>
        <w:autoSpaceDN w:val="0"/>
        <w:adjustRightInd w:val="0"/>
        <w:rPr>
          <w:snapToGrid/>
          <w:color w:val="010101"/>
          <w:kern w:val="0"/>
          <w:szCs w:val="22"/>
        </w:rPr>
      </w:pPr>
    </w:p>
    <w:p w:rsidR="00FE0B16" w:rsidRPr="00B53F9E" w:rsidP="007148FF">
      <w:pPr>
        <w:widowControl/>
        <w:autoSpaceDE w:val="0"/>
        <w:autoSpaceDN w:val="0"/>
        <w:adjustRightInd w:val="0"/>
        <w:ind w:firstLine="720"/>
        <w:rPr>
          <w:snapToGrid/>
          <w:color w:val="010101"/>
          <w:kern w:val="0"/>
          <w:szCs w:val="22"/>
        </w:rPr>
      </w:pPr>
      <w:r w:rsidRPr="00B53F9E">
        <w:rPr>
          <w:snapToGrid/>
          <w:color w:val="010101"/>
          <w:kern w:val="0"/>
          <w:szCs w:val="22"/>
        </w:rPr>
        <w:t xml:space="preserve">Any </w:t>
      </w:r>
      <w:r w:rsidRPr="007148FF">
        <w:rPr>
          <w:bCs/>
          <w:snapToGrid/>
          <w:color w:val="010101"/>
          <w:kern w:val="0"/>
          <w:szCs w:val="22"/>
        </w:rPr>
        <w:t>submission</w:t>
      </w:r>
      <w:r w:rsidRPr="00B53F9E">
        <w:rPr>
          <w:snapToGrid/>
          <w:color w:val="010101"/>
          <w:kern w:val="0"/>
          <w:szCs w:val="22"/>
        </w:rPr>
        <w:t xml:space="preserve"> that is e-mailed to David </w:t>
      </w:r>
      <w:r w:rsidR="00A70B46">
        <w:rPr>
          <w:snapToGrid/>
          <w:color w:val="010101"/>
          <w:kern w:val="0"/>
          <w:szCs w:val="22"/>
        </w:rPr>
        <w:t>Roberts</w:t>
      </w:r>
      <w:r w:rsidRPr="00B53F9E">
        <w:rPr>
          <w:snapToGrid/>
          <w:color w:val="010101"/>
          <w:kern w:val="0"/>
          <w:szCs w:val="22"/>
        </w:rPr>
        <w:t xml:space="preserve"> or </w:t>
      </w:r>
      <w:r>
        <w:rPr>
          <w:snapToGrid/>
          <w:color w:val="010101"/>
          <w:kern w:val="0"/>
          <w:szCs w:val="22"/>
        </w:rPr>
        <w:t>Benjamin Arden</w:t>
      </w:r>
      <w:r w:rsidRPr="00B53F9E">
        <w:rPr>
          <w:snapToGrid/>
          <w:color w:val="010101"/>
          <w:kern w:val="0"/>
          <w:szCs w:val="22"/>
        </w:rPr>
        <w:t xml:space="preserve"> should include in the subject line of the email (1) MB Docket No. 19-</w:t>
      </w:r>
      <w:r w:rsidRPr="00FD7E06" w:rsidR="00FD7E06">
        <w:rPr>
          <w:snapToGrid/>
          <w:color w:val="010101"/>
          <w:kern w:val="0"/>
          <w:szCs w:val="22"/>
        </w:rPr>
        <w:t>194</w:t>
      </w:r>
      <w:r w:rsidRPr="00FD7E06">
        <w:rPr>
          <w:snapToGrid/>
          <w:color w:val="010101"/>
          <w:kern w:val="0"/>
          <w:szCs w:val="22"/>
        </w:rPr>
        <w:t>;</w:t>
      </w:r>
      <w:r w:rsidRPr="00B53F9E">
        <w:rPr>
          <w:snapToGrid/>
          <w:color w:val="010101"/>
          <w:kern w:val="0"/>
          <w:szCs w:val="22"/>
        </w:rPr>
        <w:t xml:space="preserve"> (2) the name of the submitting part; (3) a brief description or title identifying the type of document being submitted (</w:t>
      </w:r>
      <w:r w:rsidRPr="007148FF">
        <w:rPr>
          <w:iCs/>
          <w:snapToGrid/>
          <w:color w:val="010101"/>
          <w:kern w:val="0"/>
          <w:szCs w:val="22"/>
        </w:rPr>
        <w:t>e.g</w:t>
      </w:r>
      <w:r w:rsidRPr="007148FF">
        <w:rPr>
          <w:snapToGrid/>
          <w:color w:val="010101"/>
          <w:kern w:val="0"/>
          <w:szCs w:val="22"/>
        </w:rPr>
        <w:t>.,</w:t>
      </w:r>
      <w:r w:rsidRPr="00B53F9E">
        <w:rPr>
          <w:snapToGrid/>
          <w:color w:val="010101"/>
          <w:kern w:val="0"/>
          <w:szCs w:val="22"/>
        </w:rPr>
        <w:t xml:space="preserve"> MB Docket No. 19-</w:t>
      </w:r>
      <w:r w:rsidR="00FD7E06">
        <w:rPr>
          <w:snapToGrid/>
          <w:color w:val="010101"/>
          <w:kern w:val="0"/>
          <w:szCs w:val="22"/>
        </w:rPr>
        <w:t>194</w:t>
      </w:r>
      <w:bookmarkStart w:id="5" w:name="_GoBack"/>
      <w:bookmarkEnd w:id="5"/>
      <w:r w:rsidRPr="00B53F9E">
        <w:rPr>
          <w:snapToGrid/>
          <w:color w:val="010101"/>
          <w:kern w:val="0"/>
          <w:szCs w:val="22"/>
        </w:rPr>
        <w:t xml:space="preserve">, </w:t>
      </w:r>
      <w:r>
        <w:rPr>
          <w:snapToGrid/>
          <w:color w:val="010101"/>
          <w:kern w:val="0"/>
          <w:szCs w:val="22"/>
        </w:rPr>
        <w:t>HMTV</w:t>
      </w:r>
      <w:r w:rsidRPr="00B53F9E">
        <w:rPr>
          <w:snapToGrid/>
          <w:color w:val="010101"/>
          <w:kern w:val="0"/>
          <w:szCs w:val="22"/>
        </w:rPr>
        <w:t xml:space="preserve"> Petition for Declaratory Ruling, </w:t>
      </w:r>
      <w:r w:rsidRPr="00B53F9E">
        <w:rPr>
          <w:i/>
          <w:snapToGrid/>
          <w:color w:val="010101"/>
          <w:kern w:val="0"/>
          <w:szCs w:val="22"/>
        </w:rPr>
        <w:t>E</w:t>
      </w:r>
      <w:r w:rsidRPr="00B53F9E">
        <w:rPr>
          <w:i/>
          <w:iCs/>
          <w:snapToGrid/>
          <w:color w:val="010101"/>
          <w:kern w:val="0"/>
          <w:szCs w:val="22"/>
        </w:rPr>
        <w:t xml:space="preserve">x </w:t>
      </w:r>
      <w:r w:rsidRPr="00B53F9E">
        <w:rPr>
          <w:i/>
          <w:iCs/>
          <w:snapToGrid/>
          <w:color w:val="010101"/>
          <w:kern w:val="0"/>
          <w:szCs w:val="22"/>
        </w:rPr>
        <w:t>Parte</w:t>
      </w:r>
      <w:r w:rsidRPr="00B53F9E">
        <w:rPr>
          <w:i/>
          <w:iCs/>
          <w:snapToGrid/>
          <w:color w:val="010101"/>
          <w:kern w:val="0"/>
          <w:szCs w:val="22"/>
        </w:rPr>
        <w:t xml:space="preserve"> </w:t>
      </w:r>
      <w:r w:rsidRPr="00B53F9E">
        <w:rPr>
          <w:snapToGrid/>
          <w:color w:val="010101"/>
          <w:kern w:val="0"/>
          <w:szCs w:val="22"/>
        </w:rPr>
        <w:t>Notice).</w:t>
      </w:r>
    </w:p>
    <w:p w:rsidR="00FE0B16" w:rsidRPr="00B53F9E" w:rsidP="00FE0B16">
      <w:pPr>
        <w:widowControl/>
        <w:autoSpaceDE w:val="0"/>
        <w:autoSpaceDN w:val="0"/>
        <w:adjustRightInd w:val="0"/>
        <w:rPr>
          <w:snapToGrid/>
          <w:color w:val="010101"/>
          <w:kern w:val="0"/>
          <w:szCs w:val="22"/>
        </w:rPr>
      </w:pPr>
    </w:p>
    <w:p w:rsidR="00FE0B16" w:rsidRPr="00B53F9E" w:rsidP="007148FF">
      <w:pPr>
        <w:widowControl/>
        <w:autoSpaceDE w:val="0"/>
        <w:autoSpaceDN w:val="0"/>
        <w:adjustRightInd w:val="0"/>
        <w:ind w:firstLine="720"/>
        <w:rPr>
          <w:snapToGrid/>
          <w:color w:val="010101"/>
          <w:kern w:val="0"/>
          <w:szCs w:val="22"/>
        </w:rPr>
      </w:pPr>
      <w:r w:rsidRPr="00B53F9E">
        <w:rPr>
          <w:i/>
          <w:iCs/>
          <w:snapToGrid/>
          <w:color w:val="010101"/>
          <w:kern w:val="0"/>
          <w:szCs w:val="22"/>
        </w:rPr>
        <w:t>People with Disabilities</w:t>
      </w:r>
      <w:r w:rsidRPr="00B53F9E">
        <w:rPr>
          <w:snapToGrid/>
          <w:color w:val="010101"/>
          <w:kern w:val="0"/>
          <w:szCs w:val="22"/>
        </w:rPr>
        <w:t xml:space="preserve">.  To </w:t>
      </w:r>
      <w:r w:rsidRPr="007148FF">
        <w:rPr>
          <w:bCs/>
          <w:snapToGrid/>
          <w:color w:val="010101"/>
          <w:kern w:val="0"/>
          <w:szCs w:val="22"/>
        </w:rPr>
        <w:t>request</w:t>
      </w:r>
      <w:r w:rsidRPr="00B53F9E">
        <w:rPr>
          <w:snapToGrid/>
          <w:color w:val="010101"/>
          <w:kern w:val="0"/>
          <w:szCs w:val="22"/>
        </w:rPr>
        <w:t xml:space="preserve"> materials in accessible formats for people with disabilities (braille, large print, electronic files, audio format), send an e-mail to fcc504@fcc.gov or call the Consumer &amp; Governmental Affairs Bureau at (202) 418-0530 (voice), (202) 418-0432 (TTY).</w:t>
      </w:r>
    </w:p>
    <w:p w:rsidR="00FE0B16" w:rsidRPr="00B53F9E" w:rsidP="00FE0B16">
      <w:pPr>
        <w:widowControl/>
        <w:autoSpaceDE w:val="0"/>
        <w:autoSpaceDN w:val="0"/>
        <w:adjustRightInd w:val="0"/>
        <w:rPr>
          <w:snapToGrid/>
          <w:color w:val="010101"/>
          <w:kern w:val="0"/>
          <w:szCs w:val="22"/>
        </w:rPr>
      </w:pPr>
    </w:p>
    <w:p w:rsidR="00FE0B16" w:rsidP="007148FF">
      <w:pPr>
        <w:widowControl/>
        <w:autoSpaceDE w:val="0"/>
        <w:autoSpaceDN w:val="0"/>
        <w:adjustRightInd w:val="0"/>
        <w:ind w:firstLine="720"/>
        <w:rPr>
          <w:snapToGrid/>
          <w:color w:val="010101"/>
          <w:kern w:val="0"/>
          <w:szCs w:val="22"/>
        </w:rPr>
      </w:pPr>
      <w:r w:rsidRPr="00B53F9E">
        <w:rPr>
          <w:i/>
          <w:iCs/>
          <w:snapToGrid/>
          <w:color w:val="010101"/>
          <w:kern w:val="0"/>
          <w:szCs w:val="22"/>
        </w:rPr>
        <w:t>Availability of Documents</w:t>
      </w:r>
      <w:r w:rsidRPr="00B53F9E">
        <w:rPr>
          <w:snapToGrid/>
          <w:color w:val="010101"/>
          <w:kern w:val="0"/>
          <w:szCs w:val="22"/>
        </w:rPr>
        <w:t xml:space="preserve">.  </w:t>
      </w:r>
      <w:r w:rsidRPr="007148FF">
        <w:rPr>
          <w:bCs/>
          <w:snapToGrid/>
          <w:color w:val="010101"/>
          <w:kern w:val="0"/>
          <w:szCs w:val="22"/>
        </w:rPr>
        <w:t>Documents</w:t>
      </w:r>
      <w:r w:rsidRPr="00B53F9E">
        <w:rPr>
          <w:snapToGrid/>
          <w:color w:val="010101"/>
          <w:kern w:val="0"/>
          <w:szCs w:val="22"/>
        </w:rPr>
        <w:t xml:space="preserve"> in this proceeding will be available for public inspection and copying during business hours at the FCC Reference Information Center, Portals II, 445 12</w:t>
      </w:r>
      <w:r w:rsidRPr="00B53F9E">
        <w:rPr>
          <w:snapToGrid/>
          <w:color w:val="010101"/>
          <w:kern w:val="0"/>
          <w:sz w:val="14"/>
          <w:szCs w:val="14"/>
        </w:rPr>
        <w:t xml:space="preserve">th </w:t>
      </w:r>
      <w:r w:rsidRPr="00B53F9E">
        <w:rPr>
          <w:snapToGrid/>
          <w:color w:val="010101"/>
          <w:kern w:val="0"/>
          <w:szCs w:val="22"/>
        </w:rPr>
        <w:t xml:space="preserve">Street, S.W., Room CY-A257, Washington, D.C. 20554.  The </w:t>
      </w:r>
      <w:r>
        <w:rPr>
          <w:snapToGrid/>
          <w:color w:val="010101"/>
          <w:kern w:val="0"/>
          <w:szCs w:val="22"/>
        </w:rPr>
        <w:t>documents</w:t>
      </w:r>
      <w:r w:rsidRPr="00B53F9E">
        <w:rPr>
          <w:snapToGrid/>
          <w:color w:val="010101"/>
          <w:kern w:val="0"/>
          <w:szCs w:val="22"/>
        </w:rPr>
        <w:t xml:space="preserve"> are also available electronically through the Commission’s ECFS</w:t>
      </w:r>
      <w:r>
        <w:rPr>
          <w:snapToGrid/>
          <w:color w:val="010101"/>
          <w:kern w:val="0"/>
          <w:szCs w:val="22"/>
        </w:rPr>
        <w:t>, which</w:t>
      </w:r>
      <w:r w:rsidRPr="00B53F9E">
        <w:rPr>
          <w:snapToGrid/>
          <w:color w:val="010101"/>
          <w:kern w:val="0"/>
          <w:szCs w:val="22"/>
        </w:rPr>
        <w:t xml:space="preserve"> may be accessed on the Commission’s Internet website at </w:t>
      </w:r>
      <w:hyperlink r:id="rId8" w:history="1">
        <w:r w:rsidRPr="00B53F9E">
          <w:rPr>
            <w:snapToGrid/>
            <w:color w:val="0000FF"/>
            <w:kern w:val="0"/>
            <w:szCs w:val="22"/>
            <w:u w:val="single"/>
          </w:rPr>
          <w:t>http://www.fcc.gov</w:t>
        </w:r>
      </w:hyperlink>
      <w:r w:rsidRPr="00B53F9E">
        <w:rPr>
          <w:snapToGrid/>
          <w:color w:val="010101"/>
          <w:kern w:val="0"/>
          <w:szCs w:val="22"/>
        </w:rPr>
        <w:t xml:space="preserve">. </w:t>
      </w:r>
    </w:p>
    <w:p w:rsidR="007148FF" w:rsidRPr="00B53F9E" w:rsidP="007148FF">
      <w:pPr>
        <w:widowControl/>
        <w:autoSpaceDE w:val="0"/>
        <w:autoSpaceDN w:val="0"/>
        <w:adjustRightInd w:val="0"/>
        <w:ind w:firstLine="720"/>
        <w:rPr>
          <w:snapToGrid/>
          <w:kern w:val="0"/>
          <w:szCs w:val="22"/>
        </w:rPr>
      </w:pPr>
    </w:p>
    <w:p w:rsidR="00FE0B16" w:rsidRPr="00B53F9E" w:rsidP="007148FF">
      <w:pPr>
        <w:widowControl/>
        <w:autoSpaceDE w:val="0"/>
        <w:autoSpaceDN w:val="0"/>
        <w:adjustRightInd w:val="0"/>
        <w:ind w:firstLine="720"/>
        <w:rPr>
          <w:snapToGrid/>
          <w:kern w:val="0"/>
          <w:szCs w:val="22"/>
        </w:rPr>
      </w:pPr>
      <w:r w:rsidRPr="00B53F9E">
        <w:rPr>
          <w:snapToGrid/>
          <w:kern w:val="0"/>
          <w:szCs w:val="22"/>
        </w:rPr>
        <w:t xml:space="preserve">For further information, contact </w:t>
      </w:r>
      <w:r w:rsidRPr="007148FF">
        <w:rPr>
          <w:bCs/>
          <w:snapToGrid/>
          <w:color w:val="010101"/>
          <w:kern w:val="0"/>
          <w:szCs w:val="22"/>
        </w:rPr>
        <w:t>David</w:t>
      </w:r>
      <w:r w:rsidRPr="00B53F9E">
        <w:rPr>
          <w:snapToGrid/>
          <w:kern w:val="0"/>
          <w:szCs w:val="22"/>
        </w:rPr>
        <w:t xml:space="preserve"> </w:t>
      </w:r>
      <w:r w:rsidR="00A70B46">
        <w:rPr>
          <w:snapToGrid/>
          <w:kern w:val="0"/>
          <w:szCs w:val="22"/>
        </w:rPr>
        <w:t>Roberts</w:t>
      </w:r>
      <w:r w:rsidRPr="00B53F9E">
        <w:rPr>
          <w:snapToGrid/>
          <w:kern w:val="0"/>
          <w:szCs w:val="22"/>
        </w:rPr>
        <w:t xml:space="preserve"> at (202) 418-16</w:t>
      </w:r>
      <w:r w:rsidR="00A70B46">
        <w:rPr>
          <w:snapToGrid/>
          <w:kern w:val="0"/>
          <w:szCs w:val="22"/>
        </w:rPr>
        <w:t>18</w:t>
      </w:r>
      <w:r w:rsidRPr="00B53F9E">
        <w:rPr>
          <w:snapToGrid/>
          <w:kern w:val="0"/>
          <w:szCs w:val="22"/>
        </w:rPr>
        <w:t xml:space="preserve"> or </w:t>
      </w:r>
      <w:r>
        <w:rPr>
          <w:snapToGrid/>
          <w:kern w:val="0"/>
          <w:szCs w:val="22"/>
        </w:rPr>
        <w:t>Benjamin Arden</w:t>
      </w:r>
      <w:r w:rsidRPr="00B53F9E">
        <w:rPr>
          <w:snapToGrid/>
          <w:kern w:val="0"/>
          <w:szCs w:val="22"/>
        </w:rPr>
        <w:t xml:space="preserve"> at (202) 418-</w:t>
      </w:r>
      <w:r>
        <w:rPr>
          <w:snapToGrid/>
          <w:kern w:val="0"/>
          <w:szCs w:val="22"/>
        </w:rPr>
        <w:t>0288</w:t>
      </w:r>
      <w:r w:rsidRPr="00B53F9E">
        <w:rPr>
          <w:snapToGrid/>
          <w:kern w:val="0"/>
          <w:szCs w:val="22"/>
        </w:rPr>
        <w:t xml:space="preserve">.  For press inquiries, contact Janice Wise at (202) 418-8165.  </w:t>
      </w:r>
    </w:p>
    <w:p w:rsidR="00FE0B16" w:rsidRPr="00B53F9E" w:rsidP="00FE0B16">
      <w:pPr>
        <w:widowControl/>
        <w:spacing w:before="120" w:after="240"/>
        <w:rPr>
          <w:snapToGrid/>
          <w:kern w:val="0"/>
          <w:szCs w:val="22"/>
        </w:rPr>
      </w:pPr>
    </w:p>
    <w:p w:rsidR="00FE0B16" w:rsidRPr="00930ECF" w:rsidP="00FE0B16">
      <w:pPr>
        <w:rPr>
          <w:sz w:val="24"/>
        </w:rPr>
      </w:pPr>
      <w:r w:rsidRPr="00B53F9E">
        <w:rPr>
          <w:snapToGrid/>
          <w:kern w:val="0"/>
          <w:szCs w:val="22"/>
        </w:rPr>
        <w:t xml:space="preserve">By:  Chief, Media Bureau    </w:t>
      </w:r>
    </w:p>
    <w:p w:rsidR="00D641D3"/>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NewRomanMTSt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0B16" w:rsidP="00FE0B16">
      <w:r>
        <w:separator/>
      </w:r>
    </w:p>
  </w:footnote>
  <w:footnote w:type="continuationSeparator" w:id="1">
    <w:p w:rsidR="00FE0B16" w:rsidP="00FE0B16">
      <w:r>
        <w:continuationSeparator/>
      </w:r>
    </w:p>
  </w:footnote>
  <w:footnote w:id="2">
    <w:p w:rsidR="00FE0B16" w:rsidRPr="00D147CD" w:rsidP="00FE0B16">
      <w:pPr>
        <w:pStyle w:val="FootnoteText"/>
      </w:pPr>
      <w:r>
        <w:rPr>
          <w:rStyle w:val="FootnoteReference"/>
        </w:rPr>
        <w:footnoteRef/>
      </w:r>
      <w:r>
        <w:t xml:space="preserve"> </w:t>
      </w:r>
      <w:r w:rsidRPr="00D147CD">
        <w:t>47 CFR § 1.</w:t>
      </w:r>
      <w:r>
        <w:t xml:space="preserve">5000 </w:t>
      </w:r>
      <w:r>
        <w:rPr>
          <w:i/>
        </w:rPr>
        <w:t>et seq</w:t>
      </w:r>
      <w:r w:rsidRPr="00D147CD">
        <w:t>.</w:t>
      </w:r>
    </w:p>
  </w:footnote>
  <w:footnote w:id="3">
    <w:p w:rsidR="00FE0B16" w:rsidP="00FE0B16">
      <w:pPr>
        <w:pStyle w:val="FootnoteText"/>
      </w:pPr>
      <w:r w:rsidRPr="00D85A63">
        <w:rPr>
          <w:rStyle w:val="FootnoteReference"/>
        </w:rPr>
        <w:footnoteRef/>
      </w:r>
      <w:r w:rsidRPr="00D85A63">
        <w:t xml:space="preserve"> Petition at 1.</w:t>
      </w:r>
      <w:r w:rsidRPr="00D85A63" w:rsidR="00E6550F">
        <w:t xml:space="preserve">  The Petition was filed on </w:t>
      </w:r>
      <w:r w:rsidRPr="00D85A63" w:rsidR="00174079">
        <w:t xml:space="preserve">June 3, 2019, and </w:t>
      </w:r>
      <w:r w:rsidRPr="00D85A63" w:rsidR="00D85A63">
        <w:t xml:space="preserve">it was </w:t>
      </w:r>
      <w:r w:rsidRPr="00D85A63" w:rsidR="00174079">
        <w:t xml:space="preserve">supplemented on </w:t>
      </w:r>
      <w:r w:rsidRPr="00D85A63" w:rsidR="00D85A63">
        <w:t>July</w:t>
      </w:r>
      <w:r w:rsidRPr="00D85A63" w:rsidR="00174079">
        <w:t xml:space="preserve"> </w:t>
      </w:r>
      <w:r w:rsidRPr="00D85A63" w:rsidR="00D85A63">
        <w:t>2</w:t>
      </w:r>
      <w:r w:rsidRPr="00D85A63" w:rsidR="00174079">
        <w:t>, 2019</w:t>
      </w:r>
      <w:r w:rsidRPr="00D85A63" w:rsidR="00B5051C">
        <w:t xml:space="preserve"> (Supplement)</w:t>
      </w:r>
      <w:r w:rsidRPr="00D85A63" w:rsidR="00174079">
        <w:t>.</w:t>
      </w:r>
      <w:r w:rsidRPr="00D85A63" w:rsidR="00B5051C">
        <w:t xml:space="preserve">  The Supplement made clear that HMTV was seeking a new ruling</w:t>
      </w:r>
      <w:r w:rsidRPr="00D85A63" w:rsidR="00D85A63">
        <w:t xml:space="preserve"> under section 1.5000 </w:t>
      </w:r>
      <w:r w:rsidRPr="00D85A63" w:rsidR="00D85A63">
        <w:rPr>
          <w:i/>
        </w:rPr>
        <w:t>et seq</w:t>
      </w:r>
      <w:r w:rsidRPr="00D85A63" w:rsidR="00D85A63">
        <w:t>. of the Commission’s rules</w:t>
      </w:r>
      <w:r w:rsidRPr="00D85A63" w:rsidR="00B5051C">
        <w:t xml:space="preserve"> and provided additional information required under th</w:t>
      </w:r>
      <w:r w:rsidRPr="00D85A63" w:rsidR="00D85A63">
        <w:t>ose</w:t>
      </w:r>
      <w:r w:rsidRPr="00D85A63" w:rsidR="00B5051C">
        <w:t xml:space="preserve"> rules.  </w:t>
      </w:r>
      <w:r w:rsidRPr="00D85A63" w:rsidR="00B5051C">
        <w:rPr>
          <w:i/>
        </w:rPr>
        <w:t xml:space="preserve">See </w:t>
      </w:r>
      <w:r w:rsidRPr="00D85A63" w:rsidR="00B5051C">
        <w:t xml:space="preserve">47 CFR § 1.5000 </w:t>
      </w:r>
      <w:r w:rsidRPr="00D85A63" w:rsidR="00B5051C">
        <w:rPr>
          <w:i/>
        </w:rPr>
        <w:t>et seq</w:t>
      </w:r>
      <w:r w:rsidRPr="00D85A63" w:rsidR="00B5051C">
        <w:t>.</w:t>
      </w:r>
    </w:p>
  </w:footnote>
  <w:footnote w:id="4">
    <w:p w:rsidR="00D1666B" w:rsidRPr="00D85A63" w:rsidP="00D1666B">
      <w:pPr>
        <w:pStyle w:val="FootnoteText"/>
      </w:pPr>
      <w:r>
        <w:rPr>
          <w:rStyle w:val="FootnoteReference"/>
        </w:rPr>
        <w:footnoteRef/>
      </w:r>
      <w:r>
        <w:t xml:space="preserve"> </w:t>
      </w:r>
      <w:r>
        <w:rPr>
          <w:i/>
          <w:iCs/>
        </w:rPr>
        <w:t>Hemisphere Media Group, Inc.</w:t>
      </w:r>
      <w:r>
        <w:t xml:space="preserve">, Declaratory Ruling, 32 FCC </w:t>
      </w:r>
      <w:r>
        <w:t>Rcd</w:t>
      </w:r>
      <w:r>
        <w:t xml:space="preserve"> 718 (MB 2017) (</w:t>
      </w:r>
      <w:bookmarkStart w:id="1" w:name="_Hlk512332171"/>
      <w:r w:rsidRPr="00833A55">
        <w:rPr>
          <w:i/>
        </w:rPr>
        <w:t>2017 Declaratory Ruling</w:t>
      </w:r>
      <w:bookmarkEnd w:id="1"/>
      <w:r>
        <w:t xml:space="preserve">); </w:t>
      </w:r>
      <w:r>
        <w:rPr>
          <w:i/>
        </w:rPr>
        <w:t xml:space="preserve">see also </w:t>
      </w:r>
      <w:r>
        <w:rPr>
          <w:i/>
          <w:iCs/>
        </w:rPr>
        <w:t>Hemisphere Media Group, Inc.</w:t>
      </w:r>
      <w:r>
        <w:t xml:space="preserve">, Declaratory Ruling, 33 FCC </w:t>
      </w:r>
      <w:r>
        <w:t>Rcd</w:t>
      </w:r>
      <w:r>
        <w:t xml:space="preserve"> 8779 (MB 2018) (revising the </w:t>
      </w:r>
      <w:r w:rsidRPr="00833A55">
        <w:rPr>
          <w:i/>
        </w:rPr>
        <w:t>2017 Declaratory Ruling</w:t>
      </w:r>
      <w:r w:rsidRPr="00ED3FF9">
        <w:t xml:space="preserve"> </w:t>
      </w:r>
      <w:r>
        <w:t xml:space="preserve">to permit </w:t>
      </w:r>
      <w:r w:rsidRPr="00ED3FF9">
        <w:t>Banco Santander (</w:t>
      </w:r>
      <w:bookmarkStart w:id="2" w:name="_Hlk522611005"/>
      <w:r w:rsidRPr="00ED3FF9">
        <w:t>México</w:t>
      </w:r>
      <w:bookmarkEnd w:id="2"/>
      <w:r w:rsidRPr="00ED3FF9">
        <w:t>, S.A.), a Mexican Corporation</w:t>
      </w:r>
      <w:r>
        <w:t>,</w:t>
      </w:r>
      <w:r w:rsidRPr="00ED3FF9">
        <w:t xml:space="preserve"> and affiliated entities, to hold up to 49.99% of the voting interests and up to 49.99% of the equity of HMTV</w:t>
      </w:r>
      <w:r>
        <w:t>) (</w:t>
      </w:r>
      <w:r w:rsidRPr="00833A55">
        <w:rPr>
          <w:i/>
        </w:rPr>
        <w:t>201</w:t>
      </w:r>
      <w:r>
        <w:rPr>
          <w:i/>
        </w:rPr>
        <w:t>8</w:t>
      </w:r>
      <w:r w:rsidRPr="00833A55">
        <w:rPr>
          <w:i/>
        </w:rPr>
        <w:t xml:space="preserve"> Declaratory Ruling</w:t>
      </w:r>
      <w:r>
        <w:t xml:space="preserve">).  The </w:t>
      </w:r>
      <w:r w:rsidRPr="00976B92">
        <w:rPr>
          <w:i/>
        </w:rPr>
        <w:t>2017 Declaratory Ruling</w:t>
      </w:r>
      <w:r>
        <w:t xml:space="preserve"> was adopted after the release of the order revising the Commission foreign ownership rules, but before the new rules had gone into effect.  </w:t>
      </w:r>
      <w:r>
        <w:rPr>
          <w:i/>
        </w:rPr>
        <w:t>See generally Review of Foreign Ownership Policies for Broadcast, Common Carrier and Aeronautical Radio Licensees under Section 310(b)(4) of the Communications Act of 1934, as Amended</w:t>
      </w:r>
      <w:r>
        <w:t xml:space="preserve">, Report and Order, 31 FCC </w:t>
      </w:r>
      <w:r>
        <w:t>Rcd</w:t>
      </w:r>
      <w:r>
        <w:t xml:space="preserve"> 11272 (2016).  Accordingly, the ruling—which incorporates the limited modifications adopted in the </w:t>
      </w:r>
      <w:r w:rsidRPr="000023BC">
        <w:rPr>
          <w:i/>
        </w:rPr>
        <w:t>2018 Declaratory Ruling</w:t>
      </w:r>
      <w:r>
        <w:t xml:space="preserve">—was issued under the broadcast foreign ownership policy as set forth by the Commission in 2013.  </w:t>
      </w:r>
      <w:r>
        <w:rPr>
          <w:i/>
        </w:rPr>
        <w:t>See generally Commission Policies and Procedures under Section 310(b)(4) of the Communications Act, Foreign Investment in Broadcast Licensees</w:t>
      </w:r>
      <w:r>
        <w:t xml:space="preserve">, Declaratory Ruling, 28 FCC </w:t>
      </w:r>
      <w:r>
        <w:t>Rcd</w:t>
      </w:r>
      <w:r>
        <w:t xml:space="preserve"> 16244 (2013).  </w:t>
      </w:r>
      <w:r w:rsidR="00D85A63">
        <w:t>As noted above, t</w:t>
      </w:r>
      <w:r>
        <w:t>h</w:t>
      </w:r>
      <w:r w:rsidRPr="00D85A63">
        <w:t>e Petition seeks a new ruling under the revised rules.</w:t>
      </w:r>
    </w:p>
  </w:footnote>
  <w:footnote w:id="5">
    <w:p w:rsidR="00FE0B16" w:rsidP="00FE0B16">
      <w:pPr>
        <w:pStyle w:val="FootnoteText"/>
      </w:pPr>
      <w:r w:rsidRPr="00D85A63">
        <w:rPr>
          <w:rStyle w:val="FootnoteReference"/>
        </w:rPr>
        <w:footnoteRef/>
      </w:r>
      <w:r w:rsidRPr="00D85A63">
        <w:t xml:space="preserve"> </w:t>
      </w:r>
      <w:r w:rsidRPr="00D85A63" w:rsidR="00D85A63">
        <w:rPr>
          <w:i/>
        </w:rPr>
        <w:t>See</w:t>
      </w:r>
      <w:r w:rsidRPr="00D85A63" w:rsidR="00D85A63">
        <w:t xml:space="preserve"> </w:t>
      </w:r>
      <w:r w:rsidRPr="00D85A63">
        <w:t>Petition at 1</w:t>
      </w:r>
      <w:r w:rsidRPr="00D85A63" w:rsidR="00D85A63">
        <w:t>; Supplement at 2-5.</w:t>
      </w:r>
    </w:p>
  </w:footnote>
  <w:footnote w:id="6">
    <w:p w:rsidR="00FE0B16" w:rsidRPr="00833A55" w:rsidP="00FE0B16">
      <w:pPr>
        <w:pStyle w:val="FootnoteText"/>
      </w:pPr>
      <w:r>
        <w:rPr>
          <w:rStyle w:val="FootnoteReference"/>
        </w:rPr>
        <w:footnoteRef/>
      </w:r>
      <w:r>
        <w:t xml:space="preserve"> </w:t>
      </w:r>
      <w:r w:rsidRPr="00833A55">
        <w:rPr>
          <w:i/>
        </w:rPr>
        <w:t>2017 Declaratory Ruling</w:t>
      </w:r>
      <w:r w:rsidRPr="002D32DC">
        <w:t xml:space="preserve">, </w:t>
      </w:r>
      <w:r>
        <w:t xml:space="preserve">32 FCC </w:t>
      </w:r>
      <w:r>
        <w:t>Rcd</w:t>
      </w:r>
      <w:r>
        <w:t xml:space="preserve"> at 725.</w:t>
      </w:r>
    </w:p>
  </w:footnote>
  <w:footnote w:id="7">
    <w:p w:rsidR="00FE0B16" w:rsidRPr="009755C6" w:rsidP="00FE0B16">
      <w:pPr>
        <w:pStyle w:val="FootnoteText"/>
      </w:pPr>
      <w:r>
        <w:rPr>
          <w:rStyle w:val="FootnoteReference"/>
        </w:rPr>
        <w:footnoteRef/>
      </w:r>
      <w:r>
        <w:t xml:space="preserve"> </w:t>
      </w:r>
      <w:r>
        <w:rPr>
          <w:i/>
        </w:rPr>
        <w:t>Id.</w:t>
      </w:r>
      <w:r>
        <w:t xml:space="preserve"> </w:t>
      </w:r>
    </w:p>
  </w:footnote>
  <w:footnote w:id="8">
    <w:p w:rsidR="00FE0B16" w:rsidRPr="00811AA3" w:rsidP="00FE0B16">
      <w:pPr>
        <w:pStyle w:val="FootnoteText"/>
      </w:pPr>
      <w:r>
        <w:rPr>
          <w:rStyle w:val="FootnoteReference"/>
        </w:rPr>
        <w:footnoteRef/>
      </w:r>
      <w:r>
        <w:t xml:space="preserve"> </w:t>
      </w:r>
      <w:r>
        <w:rPr>
          <w:i/>
        </w:rPr>
        <w:t xml:space="preserve">Id. </w:t>
      </w:r>
      <w:r>
        <w:t>at 719.</w:t>
      </w:r>
    </w:p>
  </w:footnote>
  <w:footnote w:id="9">
    <w:p w:rsidR="00FE0B16" w:rsidRPr="00946FE8" w:rsidP="00FE0B16">
      <w:pPr>
        <w:pStyle w:val="FootnoteText"/>
      </w:pPr>
      <w:r>
        <w:rPr>
          <w:rStyle w:val="FootnoteReference"/>
        </w:rPr>
        <w:footnoteRef/>
      </w:r>
      <w:r>
        <w:t xml:space="preserve"> </w:t>
      </w:r>
      <w:r>
        <w:rPr>
          <w:i/>
        </w:rPr>
        <w:t>Id</w:t>
      </w:r>
      <w:r>
        <w:t xml:space="preserve">.  </w:t>
      </w:r>
    </w:p>
  </w:footnote>
  <w:footnote w:id="10">
    <w:p w:rsidR="00FE0B16" w:rsidRPr="0074605D" w:rsidP="00FE0B16">
      <w:pPr>
        <w:pStyle w:val="FootnoteText"/>
      </w:pPr>
      <w:r>
        <w:rPr>
          <w:rStyle w:val="FootnoteReference"/>
        </w:rPr>
        <w:footnoteRef/>
      </w:r>
      <w:r>
        <w:t xml:space="preserve"> </w:t>
      </w:r>
      <w:r>
        <w:rPr>
          <w:i/>
        </w:rPr>
        <w:t xml:space="preserve">Id. </w:t>
      </w:r>
    </w:p>
  </w:footnote>
  <w:footnote w:id="11">
    <w:p w:rsidR="00FE0B16" w:rsidP="00FE0B16">
      <w:pPr>
        <w:pStyle w:val="FootnoteText"/>
      </w:pPr>
      <w:r>
        <w:rPr>
          <w:rStyle w:val="FootnoteReference"/>
        </w:rPr>
        <w:footnoteRef/>
      </w:r>
      <w:r>
        <w:t xml:space="preserve"> </w:t>
      </w:r>
      <w:bookmarkStart w:id="4" w:name="_Hlk512341316"/>
      <w:r>
        <w:t>Petition of Hemisphere Media Group, Inc., for Remedial Declaratory Ruling, MB Docket No. 18-134, at 2 (2018 Petition)</w:t>
      </w:r>
      <w:bookmarkEnd w:id="4"/>
      <w:r>
        <w:t>.</w:t>
      </w:r>
      <w:r w:rsidRPr="00F7144F">
        <w:t xml:space="preserve"> </w:t>
      </w:r>
    </w:p>
  </w:footnote>
  <w:footnote w:id="12">
    <w:p w:rsidR="00FE0B16" w:rsidRPr="003F46C6" w:rsidP="00FE0B16">
      <w:pPr>
        <w:pStyle w:val="FootnoteText"/>
        <w:rPr>
          <w:i/>
        </w:rPr>
      </w:pPr>
      <w:r w:rsidRPr="003F46C6">
        <w:rPr>
          <w:rStyle w:val="FootnoteReference"/>
          <w:sz w:val="20"/>
        </w:rPr>
        <w:footnoteRef/>
      </w:r>
      <w:r w:rsidRPr="003F46C6">
        <w:t xml:space="preserve"> </w:t>
      </w:r>
      <w:r w:rsidRPr="003F46C6">
        <w:rPr>
          <w:i/>
        </w:rPr>
        <w:t xml:space="preserve">Id.  </w:t>
      </w:r>
      <w:r w:rsidRPr="003F46C6">
        <w:t xml:space="preserve">HMTV confirmed with Cinema </w:t>
      </w:r>
      <w:r w:rsidRPr="003F46C6">
        <w:t>Aeropuerto</w:t>
      </w:r>
      <w:r w:rsidRPr="003F46C6">
        <w:t xml:space="preserve"> and its counsel that there were no other changes to the trust structure </w:t>
      </w:r>
      <w:r w:rsidRPr="003F46C6">
        <w:rPr>
          <w:snapToGrid w:val="0"/>
        </w:rPr>
        <w:t>other</w:t>
      </w:r>
      <w:r w:rsidRPr="003F46C6">
        <w:t xml:space="preserve"> than the replacement of HSBC Mexico by Banco Santander (Mexico).  </w:t>
      </w:r>
      <w:r w:rsidRPr="003F46C6">
        <w:rPr>
          <w:i/>
        </w:rPr>
        <w:t>Id.</w:t>
      </w:r>
    </w:p>
  </w:footnote>
  <w:footnote w:id="13">
    <w:p w:rsidR="00FE0B16" w:rsidP="00FE0B16">
      <w:pPr>
        <w:pStyle w:val="FootnoteText"/>
      </w:pPr>
      <w:r>
        <w:rPr>
          <w:rStyle w:val="FootnoteReference"/>
        </w:rPr>
        <w:footnoteRef/>
      </w:r>
      <w:r>
        <w:t xml:space="preserve"> </w:t>
      </w:r>
      <w:r>
        <w:rPr>
          <w:i/>
        </w:rPr>
        <w:t>Id.</w:t>
      </w:r>
    </w:p>
  </w:footnote>
  <w:footnote w:id="14">
    <w:p w:rsidR="00FE0B16" w:rsidRPr="00F7144F" w:rsidP="00FE0B16">
      <w:pPr>
        <w:pStyle w:val="FootnoteText"/>
      </w:pPr>
      <w:r>
        <w:rPr>
          <w:rStyle w:val="FootnoteReference"/>
        </w:rPr>
        <w:footnoteRef/>
      </w:r>
      <w:r>
        <w:t xml:space="preserve"> </w:t>
      </w:r>
      <w:r w:rsidRPr="00833A55">
        <w:rPr>
          <w:i/>
        </w:rPr>
        <w:t>201</w:t>
      </w:r>
      <w:r>
        <w:rPr>
          <w:i/>
        </w:rPr>
        <w:t>8</w:t>
      </w:r>
      <w:r w:rsidRPr="00833A55">
        <w:rPr>
          <w:i/>
        </w:rPr>
        <w:t xml:space="preserve"> Declaratory Ruling</w:t>
      </w:r>
      <w:r w:rsidR="00594ACA">
        <w:t xml:space="preserve">, 33 FCC </w:t>
      </w:r>
      <w:r w:rsidR="00594ACA">
        <w:t>Rcd</w:t>
      </w:r>
      <w:r>
        <w:t xml:space="preserve"> at 8779, para. 1.</w:t>
      </w:r>
    </w:p>
  </w:footnote>
  <w:footnote w:id="15">
    <w:p w:rsidR="00FE0B16" w:rsidRPr="00D147CD" w:rsidP="00FE0B16">
      <w:pPr>
        <w:pStyle w:val="FootnoteText"/>
      </w:pPr>
      <w:r w:rsidRPr="00D147CD">
        <w:rPr>
          <w:rStyle w:val="FootnoteReference"/>
        </w:rPr>
        <w:footnoteRef/>
      </w:r>
      <w:r w:rsidRPr="00D147CD">
        <w:t xml:space="preserve"> 47 CFR § 1.1200(a).</w:t>
      </w:r>
    </w:p>
  </w:footnote>
  <w:footnote w:id="16">
    <w:p w:rsidR="00FE0B16" w:rsidRPr="00D147CD" w:rsidP="00FE0B16">
      <w:pPr>
        <w:pStyle w:val="FootnoteText"/>
      </w:pPr>
      <w:r w:rsidRPr="00D147CD">
        <w:rPr>
          <w:rStyle w:val="FootnoteReference"/>
        </w:rPr>
        <w:footnoteRef/>
      </w:r>
      <w:r w:rsidRPr="00D147CD">
        <w:t xml:space="preserve"> </w:t>
      </w:r>
      <w:r w:rsidRPr="00D147CD">
        <w:rPr>
          <w:i/>
        </w:rPr>
        <w:t>See</w:t>
      </w:r>
      <w:r w:rsidRPr="00D147CD">
        <w:t xml:space="preserve"> </w:t>
      </w:r>
      <w:r w:rsidRPr="00D147CD">
        <w:rPr>
          <w:i/>
        </w:rPr>
        <w:t>id</w:t>
      </w:r>
      <w:r w:rsidRPr="00D147CD">
        <w:t>. § 1.1206.</w:t>
      </w:r>
    </w:p>
  </w:footnote>
  <w:footnote w:id="17">
    <w:p w:rsidR="00FE0B16" w:rsidRPr="00D147CD" w:rsidP="00FE0B16">
      <w:pPr>
        <w:pStyle w:val="FootnoteText"/>
        <w:rPr>
          <w:i/>
          <w:iCs/>
        </w:rPr>
      </w:pPr>
      <w:r w:rsidRPr="00D147CD">
        <w:rPr>
          <w:rStyle w:val="FootnoteReference"/>
        </w:rPr>
        <w:footnoteRef/>
      </w:r>
      <w:r w:rsidRPr="00D147CD">
        <w:t xml:space="preserve"> </w:t>
      </w:r>
      <w:r w:rsidRPr="002D32DC" w:rsidR="002D32DC">
        <w:rPr>
          <w:i/>
        </w:rPr>
        <w:t>Id.</w:t>
      </w:r>
      <w:r w:rsidRPr="00D147CD">
        <w:t xml:space="preserve"> § 1.1200 </w:t>
      </w:r>
      <w:r w:rsidRPr="00D147CD">
        <w:rPr>
          <w:i/>
          <w:iCs/>
        </w:rPr>
        <w:t>et seq</w:t>
      </w:r>
      <w:r>
        <w:rPr>
          <w:i/>
          <w:iCs/>
        </w:rPr>
        <w:t>.</w:t>
      </w:r>
    </w:p>
  </w:footnote>
  <w:footnote w:id="18">
    <w:p w:rsidR="00FE0B16" w:rsidRPr="00D147CD" w:rsidP="00FE0B16">
      <w:pPr>
        <w:pStyle w:val="FootnoteText"/>
      </w:pPr>
      <w:r w:rsidRPr="00D147CD">
        <w:rPr>
          <w:rStyle w:val="FootnoteReference"/>
        </w:rPr>
        <w:footnoteRef/>
      </w:r>
      <w:r w:rsidRPr="00D147CD">
        <w:t xml:space="preserve"> </w:t>
      </w:r>
      <w:r w:rsidRPr="00D147CD">
        <w:rPr>
          <w:i/>
        </w:rPr>
        <w:t>Id</w:t>
      </w:r>
      <w:r w:rsidRPr="00D147CD">
        <w:t>. § 1.1206(b)(2).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19-</w:t>
    </w:r>
    <w:r w:rsidRPr="00FD7E06" w:rsidR="00FD7E06">
      <w:rPr>
        <w:b/>
      </w:rPr>
      <w:t>636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1323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16"/>
    <w:rsid w:val="000023BC"/>
    <w:rsid w:val="00145DA2"/>
    <w:rsid w:val="00174079"/>
    <w:rsid w:val="002B04C7"/>
    <w:rsid w:val="002B29F1"/>
    <w:rsid w:val="002B4FB2"/>
    <w:rsid w:val="002D32DC"/>
    <w:rsid w:val="00357D50"/>
    <w:rsid w:val="003B0ABC"/>
    <w:rsid w:val="003D0101"/>
    <w:rsid w:val="003F46C6"/>
    <w:rsid w:val="00422415"/>
    <w:rsid w:val="004D28B2"/>
    <w:rsid w:val="004E4C9B"/>
    <w:rsid w:val="00501ABD"/>
    <w:rsid w:val="0055614C"/>
    <w:rsid w:val="0055681E"/>
    <w:rsid w:val="0057167A"/>
    <w:rsid w:val="00587D28"/>
    <w:rsid w:val="00594ACA"/>
    <w:rsid w:val="006535B7"/>
    <w:rsid w:val="006B7FF7"/>
    <w:rsid w:val="006F7393"/>
    <w:rsid w:val="007148FF"/>
    <w:rsid w:val="0074605D"/>
    <w:rsid w:val="00786A73"/>
    <w:rsid w:val="007C0579"/>
    <w:rsid w:val="00811AA3"/>
    <w:rsid w:val="00833A55"/>
    <w:rsid w:val="008967D2"/>
    <w:rsid w:val="008B08F8"/>
    <w:rsid w:val="00910F12"/>
    <w:rsid w:val="00930ECF"/>
    <w:rsid w:val="00946FE8"/>
    <w:rsid w:val="009755C6"/>
    <w:rsid w:val="00976B92"/>
    <w:rsid w:val="009838BC"/>
    <w:rsid w:val="00A70B46"/>
    <w:rsid w:val="00A866AC"/>
    <w:rsid w:val="00B20363"/>
    <w:rsid w:val="00B5051C"/>
    <w:rsid w:val="00B53F9E"/>
    <w:rsid w:val="00B81876"/>
    <w:rsid w:val="00BA7E62"/>
    <w:rsid w:val="00BD12B8"/>
    <w:rsid w:val="00CC37B4"/>
    <w:rsid w:val="00CC3F09"/>
    <w:rsid w:val="00D147CD"/>
    <w:rsid w:val="00D1666B"/>
    <w:rsid w:val="00D216CD"/>
    <w:rsid w:val="00D641D3"/>
    <w:rsid w:val="00D844AB"/>
    <w:rsid w:val="00D85A63"/>
    <w:rsid w:val="00E00835"/>
    <w:rsid w:val="00E6550F"/>
    <w:rsid w:val="00EC259A"/>
    <w:rsid w:val="00ED3FF9"/>
    <w:rsid w:val="00F7144F"/>
    <w:rsid w:val="00FD7E06"/>
    <w:rsid w:val="00FE0B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391A639-C4C6-4E3F-B08E-3CE441E8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1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rsid w:val="00FE0B1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0B16"/>
    <w:rPr>
      <w:rFonts w:ascii="Times New Roman" w:eastAsia="Times New Roman" w:hAnsi="Times New Roman" w:cs="Times New Roman"/>
      <w:sz w:val="20"/>
      <w:szCs w:val="20"/>
    </w:rPr>
  </w:style>
  <w:style w:type="character" w:styleId="FootnoteReference">
    <w:name w:val="footnote reference"/>
    <w:semiHidden/>
    <w:rsid w:val="00FE0B16"/>
    <w:rPr>
      <w:rFonts w:ascii="Times New Roman" w:hAnsi="Times New Roman"/>
      <w:dstrike w:val="0"/>
      <w:color w:val="auto"/>
      <w:sz w:val="22"/>
      <w:vertAlign w:val="superscript"/>
    </w:rPr>
  </w:style>
  <w:style w:type="paragraph" w:styleId="Header">
    <w:name w:val="header"/>
    <w:basedOn w:val="Normal"/>
    <w:link w:val="HeaderChar"/>
    <w:autoRedefine/>
    <w:rsid w:val="00FE0B16"/>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FE0B16"/>
    <w:rPr>
      <w:rFonts w:ascii="Arial" w:eastAsia="Times New Roman" w:hAnsi="Arial" w:cs="Arial"/>
      <w:b/>
      <w:snapToGrid w:val="0"/>
      <w:kern w:val="28"/>
      <w:sz w:val="96"/>
      <w:szCs w:val="96"/>
    </w:rPr>
  </w:style>
  <w:style w:type="paragraph" w:styleId="Footer">
    <w:name w:val="footer"/>
    <w:basedOn w:val="Normal"/>
    <w:link w:val="FooterChar"/>
    <w:uiPriority w:val="99"/>
    <w:rsid w:val="00FE0B16"/>
    <w:pPr>
      <w:tabs>
        <w:tab w:val="center" w:pos="4320"/>
        <w:tab w:val="right" w:pos="8640"/>
      </w:tabs>
    </w:pPr>
  </w:style>
  <w:style w:type="character" w:customStyle="1" w:styleId="FooterChar">
    <w:name w:val="Footer Char"/>
    <w:basedOn w:val="DefaultParagraphFont"/>
    <w:link w:val="Footer"/>
    <w:uiPriority w:val="99"/>
    <w:rsid w:val="00FE0B16"/>
    <w:rPr>
      <w:rFonts w:ascii="Times New Roman" w:eastAsia="Times New Roman" w:hAnsi="Times New Roman" w:cs="Times New Roman"/>
      <w:snapToGrid w:val="0"/>
      <w:kern w:val="28"/>
      <w:szCs w:val="20"/>
    </w:rPr>
  </w:style>
  <w:style w:type="character" w:styleId="Hyperlink">
    <w:name w:val="Hyperlink"/>
    <w:rsid w:val="00FE0B16"/>
    <w:rPr>
      <w:color w:val="0000FF"/>
      <w:u w:val="single"/>
    </w:rPr>
  </w:style>
  <w:style w:type="character" w:customStyle="1" w:styleId="UnresolvedMention">
    <w:name w:val="Unresolved Mention"/>
    <w:basedOn w:val="DefaultParagraphFont"/>
    <w:uiPriority w:val="99"/>
    <w:semiHidden/>
    <w:unhideWhenUsed/>
    <w:rsid w:val="00A70B46"/>
    <w:rPr>
      <w:color w:val="605E5C"/>
      <w:shd w:val="clear" w:color="auto" w:fill="E1DFDD"/>
    </w:rPr>
  </w:style>
  <w:style w:type="paragraph" w:styleId="BalloonText">
    <w:name w:val="Balloon Text"/>
    <w:basedOn w:val="Normal"/>
    <w:link w:val="BalloonTextChar"/>
    <w:uiPriority w:val="99"/>
    <w:semiHidden/>
    <w:unhideWhenUsed/>
    <w:rsid w:val="0065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B7"/>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Roberts@fcc.gov" TargetMode="External" /><Relationship Id="rId7" Type="http://schemas.openxmlformats.org/officeDocument/2006/relationships/hyperlink" Target="mailto:Benjamin.Arden@fcc.gov" TargetMode="External" /><Relationship Id="rId8" Type="http://schemas.openxmlformats.org/officeDocument/2006/relationships/hyperlink" Target="http://www.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