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3E97" w:rsidP="00963E97">
      <w:pPr>
        <w:jc w:val="center"/>
        <w:rPr>
          <w:b/>
          <w:szCs w:val="22"/>
        </w:rPr>
      </w:pPr>
      <w:bookmarkStart w:id="0" w:name="_GoBack"/>
      <w:bookmarkEnd w:id="0"/>
      <w:r>
        <w:rPr>
          <w:b/>
          <w:szCs w:val="22"/>
        </w:rPr>
        <w:t>Before the</w:t>
      </w:r>
    </w:p>
    <w:p w:rsidR="00963E97" w:rsidP="00963E97">
      <w:pPr>
        <w:jc w:val="center"/>
        <w:rPr>
          <w:b/>
          <w:szCs w:val="22"/>
        </w:rPr>
      </w:pPr>
      <w:r>
        <w:rPr>
          <w:b/>
          <w:szCs w:val="22"/>
        </w:rPr>
        <w:t>Federal Communications Commission</w:t>
      </w:r>
    </w:p>
    <w:p w:rsidR="00963E97" w:rsidP="00963E97">
      <w:pPr>
        <w:jc w:val="center"/>
        <w:rPr>
          <w:b/>
          <w:szCs w:val="22"/>
        </w:rPr>
      </w:pPr>
      <w:r>
        <w:rPr>
          <w:b/>
          <w:szCs w:val="22"/>
        </w:rPr>
        <w:t>Washington, D.C. 20554</w:t>
      </w:r>
    </w:p>
    <w:p w:rsidR="00963E97" w:rsidP="00963E97">
      <w:pPr>
        <w:rPr>
          <w:szCs w:val="22"/>
        </w:rPr>
      </w:pPr>
    </w:p>
    <w:tbl>
      <w:tblPr>
        <w:tblW w:w="9648" w:type="dxa"/>
        <w:tblLayout w:type="fixed"/>
        <w:tblLook w:val="0000"/>
      </w:tblPr>
      <w:tblGrid>
        <w:gridCol w:w="4698"/>
        <w:gridCol w:w="720"/>
        <w:gridCol w:w="4230"/>
      </w:tblGrid>
      <w:tr w:rsidTr="004648FD">
        <w:tblPrEx>
          <w:tblW w:w="9648" w:type="dxa"/>
          <w:tblLayout w:type="fixed"/>
          <w:tblLook w:val="0000"/>
        </w:tblPrEx>
        <w:tc>
          <w:tcPr>
            <w:tcW w:w="4698" w:type="dxa"/>
          </w:tcPr>
          <w:p w:rsidR="00963E97" w:rsidP="004648FD">
            <w:pPr>
              <w:ind w:right="-18"/>
              <w:rPr>
                <w:rFonts w:eastAsia="SimSun"/>
                <w:szCs w:val="22"/>
              </w:rPr>
            </w:pPr>
            <w:r>
              <w:rPr>
                <w:rFonts w:eastAsia="SimSun"/>
                <w:szCs w:val="22"/>
              </w:rPr>
              <w:t xml:space="preserve">In </w:t>
            </w:r>
            <w:r w:rsidR="005A72AC">
              <w:rPr>
                <w:rFonts w:eastAsia="SimSun"/>
                <w:szCs w:val="22"/>
              </w:rPr>
              <w:t>the Matter of</w:t>
            </w:r>
            <w:r>
              <w:rPr>
                <w:rFonts w:eastAsia="SimSun"/>
                <w:szCs w:val="22"/>
              </w:rPr>
              <w:t xml:space="preserve"> </w:t>
            </w:r>
          </w:p>
          <w:p w:rsidR="00963E97" w:rsidP="004648FD">
            <w:pPr>
              <w:ind w:right="-18"/>
              <w:rPr>
                <w:rFonts w:eastAsia="SimSun"/>
                <w:szCs w:val="22"/>
              </w:rPr>
            </w:pPr>
          </w:p>
          <w:p w:rsidR="00963E97" w:rsidP="004648FD">
            <w:pPr>
              <w:tabs>
                <w:tab w:val="left" w:pos="0"/>
              </w:tabs>
              <w:suppressAutoHyphens/>
              <w:ind w:left="5040" w:hanging="5040"/>
              <w:rPr>
                <w:rFonts w:eastAsia="SimSun"/>
                <w:szCs w:val="22"/>
              </w:rPr>
            </w:pPr>
            <w:r>
              <w:rPr>
                <w:rFonts w:eastAsia="SimSun"/>
                <w:szCs w:val="22"/>
              </w:rPr>
              <w:t>San Tan</w:t>
            </w:r>
            <w:r w:rsidR="004C7A62">
              <w:rPr>
                <w:rFonts w:eastAsia="SimSun"/>
                <w:szCs w:val="22"/>
              </w:rPr>
              <w:t xml:space="preserve"> Educational Media</w:t>
            </w:r>
          </w:p>
          <w:p w:rsidR="004C7A62" w:rsidP="004648FD">
            <w:pPr>
              <w:tabs>
                <w:tab w:val="left" w:pos="0"/>
              </w:tabs>
              <w:suppressAutoHyphens/>
              <w:ind w:left="5040" w:hanging="5040"/>
              <w:rPr>
                <w:rFonts w:eastAsia="SimSun"/>
                <w:szCs w:val="22"/>
              </w:rPr>
            </w:pPr>
          </w:p>
          <w:p w:rsidR="00963E97" w:rsidP="004648FD">
            <w:pPr>
              <w:ind w:right="-18"/>
              <w:rPr>
                <w:rFonts w:eastAsia="SimSun"/>
                <w:szCs w:val="22"/>
              </w:rPr>
            </w:pPr>
            <w:r>
              <w:rPr>
                <w:rFonts w:eastAsia="SimSun"/>
                <w:szCs w:val="22"/>
              </w:rPr>
              <w:t xml:space="preserve">For </w:t>
            </w:r>
            <w:r w:rsidR="004C7A62">
              <w:rPr>
                <w:rFonts w:eastAsia="SimSun"/>
                <w:szCs w:val="22"/>
              </w:rPr>
              <w:t xml:space="preserve">License, </w:t>
            </w:r>
            <w:r>
              <w:rPr>
                <w:rFonts w:eastAsia="SimSun"/>
                <w:szCs w:val="22"/>
              </w:rPr>
              <w:t>Modification of License</w:t>
            </w:r>
            <w:r w:rsidR="004C7A62">
              <w:rPr>
                <w:rFonts w:eastAsia="SimSun"/>
                <w:szCs w:val="22"/>
              </w:rPr>
              <w:t xml:space="preserve">, </w:t>
            </w:r>
            <w:r w:rsidRPr="004C7A62" w:rsidR="004C7A62">
              <w:rPr>
                <w:rFonts w:eastAsia="SimSun"/>
                <w:szCs w:val="22"/>
              </w:rPr>
              <w:t xml:space="preserve">Transfer of Control, </w:t>
            </w:r>
            <w:r w:rsidR="004C7A62">
              <w:rPr>
                <w:rFonts w:eastAsia="SimSun"/>
                <w:szCs w:val="22"/>
              </w:rPr>
              <w:t>and Special Temporary Authority</w:t>
            </w:r>
            <w:r>
              <w:rPr>
                <w:rFonts w:eastAsia="SimSun"/>
                <w:szCs w:val="22"/>
              </w:rPr>
              <w:t xml:space="preserve"> for</w:t>
            </w:r>
          </w:p>
          <w:p w:rsidR="0063304F" w:rsidP="004648FD">
            <w:pPr>
              <w:ind w:right="-18"/>
              <w:rPr>
                <w:rFonts w:eastAsia="SimSun"/>
                <w:szCs w:val="22"/>
              </w:rPr>
            </w:pPr>
          </w:p>
          <w:p w:rsidR="00963E97" w:rsidRPr="00830F30" w:rsidP="004648FD">
            <w:pPr>
              <w:ind w:right="-18"/>
              <w:rPr>
                <w:rFonts w:eastAsia="SimSun"/>
                <w:b/>
                <w:szCs w:val="22"/>
                <w:lang w:val="es-UY"/>
              </w:rPr>
            </w:pPr>
            <w:r w:rsidRPr="00830F30">
              <w:rPr>
                <w:rFonts w:eastAsia="SimSun"/>
                <w:szCs w:val="22"/>
                <w:lang w:val="es-UY"/>
              </w:rPr>
              <w:t>Station KFXY-LP</w:t>
            </w:r>
            <w:r w:rsidRPr="00830F30" w:rsidR="005A72AC">
              <w:rPr>
                <w:rFonts w:eastAsia="SimSun"/>
                <w:szCs w:val="22"/>
                <w:lang w:val="es-UY"/>
              </w:rPr>
              <w:t>,</w:t>
            </w:r>
            <w:r w:rsidRPr="00830F30">
              <w:rPr>
                <w:rFonts w:eastAsia="SimSun"/>
                <w:b/>
                <w:szCs w:val="22"/>
                <w:lang w:val="es-UY"/>
              </w:rPr>
              <w:t xml:space="preserve"> </w:t>
            </w:r>
            <w:r w:rsidRPr="00830F30">
              <w:rPr>
                <w:rFonts w:eastAsia="SimSun"/>
                <w:szCs w:val="22"/>
                <w:lang w:val="es-UY"/>
              </w:rPr>
              <w:t xml:space="preserve">Mesa, Arizona </w:t>
            </w:r>
          </w:p>
        </w:tc>
        <w:tc>
          <w:tcPr>
            <w:tcW w:w="720" w:type="dxa"/>
          </w:tcPr>
          <w:p w:rsidR="00963E97" w:rsidRPr="005A72AC" w:rsidP="004648FD">
            <w:pPr>
              <w:rPr>
                <w:rFonts w:eastAsia="SimSun"/>
                <w:b/>
                <w:szCs w:val="22"/>
              </w:rPr>
            </w:pPr>
            <w:r w:rsidRPr="005A72AC">
              <w:rPr>
                <w:rFonts w:eastAsia="SimSun"/>
                <w:b/>
                <w:szCs w:val="22"/>
              </w:rPr>
              <w:t>)</w:t>
            </w:r>
          </w:p>
          <w:p w:rsidR="00963E97" w:rsidRPr="005A72AC" w:rsidP="004648FD">
            <w:pPr>
              <w:rPr>
                <w:rFonts w:eastAsia="SimSun"/>
                <w:b/>
                <w:szCs w:val="22"/>
              </w:rPr>
            </w:pPr>
            <w:r w:rsidRPr="005A72AC">
              <w:rPr>
                <w:rFonts w:eastAsia="SimSun"/>
                <w:b/>
                <w:szCs w:val="22"/>
              </w:rPr>
              <w:t>)</w:t>
            </w:r>
          </w:p>
          <w:p w:rsidR="00963E97" w:rsidRPr="005A72AC" w:rsidP="004648FD">
            <w:pPr>
              <w:rPr>
                <w:rFonts w:eastAsia="SimSun"/>
                <w:b/>
                <w:szCs w:val="22"/>
              </w:rPr>
            </w:pPr>
            <w:r w:rsidRPr="005A72AC">
              <w:rPr>
                <w:rFonts w:eastAsia="SimSun"/>
                <w:b/>
                <w:szCs w:val="22"/>
              </w:rPr>
              <w:t>)</w:t>
            </w:r>
          </w:p>
          <w:p w:rsidR="00963E97" w:rsidRPr="005A72AC" w:rsidP="004648FD">
            <w:pPr>
              <w:rPr>
                <w:rFonts w:eastAsia="SimSun"/>
                <w:b/>
                <w:szCs w:val="22"/>
              </w:rPr>
            </w:pPr>
            <w:r w:rsidRPr="005A72AC">
              <w:rPr>
                <w:rFonts w:eastAsia="SimSun"/>
                <w:b/>
                <w:szCs w:val="22"/>
              </w:rPr>
              <w:t>)</w:t>
            </w:r>
          </w:p>
          <w:p w:rsidR="00963E97" w:rsidRPr="005A72AC" w:rsidP="004648FD">
            <w:pPr>
              <w:rPr>
                <w:rFonts w:eastAsia="SimSun"/>
                <w:b/>
                <w:szCs w:val="22"/>
              </w:rPr>
            </w:pPr>
            <w:r w:rsidRPr="005A72AC">
              <w:rPr>
                <w:rFonts w:eastAsia="SimSun"/>
                <w:b/>
                <w:szCs w:val="22"/>
              </w:rPr>
              <w:t>)</w:t>
            </w:r>
          </w:p>
          <w:p w:rsidR="00963E97" w:rsidRPr="005A72AC" w:rsidP="004648FD">
            <w:pPr>
              <w:rPr>
                <w:rFonts w:eastAsia="SimSun"/>
                <w:b/>
                <w:szCs w:val="22"/>
              </w:rPr>
            </w:pPr>
            <w:r w:rsidRPr="005A72AC">
              <w:rPr>
                <w:rFonts w:eastAsia="SimSun"/>
                <w:b/>
                <w:szCs w:val="22"/>
              </w:rPr>
              <w:t>)</w:t>
            </w:r>
          </w:p>
          <w:p w:rsidR="00963E97" w:rsidRPr="005A72AC" w:rsidP="004648FD">
            <w:pPr>
              <w:rPr>
                <w:rFonts w:eastAsia="SimSun"/>
                <w:b/>
                <w:szCs w:val="22"/>
              </w:rPr>
            </w:pPr>
            <w:r w:rsidRPr="005A72AC">
              <w:rPr>
                <w:rFonts w:eastAsia="SimSun"/>
                <w:b/>
                <w:szCs w:val="22"/>
              </w:rPr>
              <w:t>)</w:t>
            </w:r>
          </w:p>
          <w:p w:rsidR="00963E97" w:rsidRPr="005A72AC" w:rsidP="004648FD">
            <w:pPr>
              <w:rPr>
                <w:rFonts w:eastAsia="SimSun"/>
                <w:b/>
                <w:szCs w:val="22"/>
              </w:rPr>
            </w:pPr>
            <w:r w:rsidRPr="005A72AC">
              <w:rPr>
                <w:rFonts w:eastAsia="SimSun"/>
                <w:b/>
                <w:szCs w:val="22"/>
              </w:rPr>
              <w:t>)</w:t>
            </w:r>
          </w:p>
          <w:p w:rsidR="004C7A62" w:rsidRPr="005A72AC" w:rsidP="004C7A62">
            <w:pPr>
              <w:rPr>
                <w:rFonts w:eastAsia="SimSun"/>
                <w:b/>
                <w:szCs w:val="22"/>
              </w:rPr>
            </w:pPr>
            <w:r w:rsidRPr="005A72AC">
              <w:rPr>
                <w:rFonts w:eastAsia="SimSun"/>
                <w:b/>
                <w:szCs w:val="22"/>
              </w:rPr>
              <w:t>)</w:t>
            </w:r>
          </w:p>
          <w:p w:rsidR="004C7A62" w:rsidRPr="005A72AC" w:rsidP="004C7A62">
            <w:pPr>
              <w:rPr>
                <w:rFonts w:eastAsia="SimSun"/>
                <w:b/>
                <w:szCs w:val="22"/>
              </w:rPr>
            </w:pPr>
            <w:r w:rsidRPr="005A72AC">
              <w:rPr>
                <w:rFonts w:eastAsia="SimSun"/>
                <w:b/>
                <w:szCs w:val="22"/>
              </w:rPr>
              <w:t>)</w:t>
            </w:r>
          </w:p>
          <w:p w:rsidR="00791405" w:rsidRPr="005A72AC" w:rsidP="004C7A62">
            <w:pPr>
              <w:rPr>
                <w:rFonts w:eastAsia="SimSun"/>
                <w:b/>
                <w:szCs w:val="22"/>
              </w:rPr>
            </w:pPr>
            <w:r w:rsidRPr="005A72AC">
              <w:rPr>
                <w:rFonts w:eastAsia="SimSun"/>
                <w:b/>
                <w:szCs w:val="22"/>
              </w:rPr>
              <w:t>)</w:t>
            </w:r>
          </w:p>
          <w:p w:rsidR="005A72AC" w:rsidRPr="005A72AC" w:rsidP="004C7A62">
            <w:pPr>
              <w:rPr>
                <w:rFonts w:eastAsia="SimSun"/>
                <w:b/>
                <w:szCs w:val="22"/>
              </w:rPr>
            </w:pPr>
            <w:r w:rsidRPr="005A72AC">
              <w:rPr>
                <w:rFonts w:eastAsia="SimSun"/>
                <w:b/>
                <w:szCs w:val="22"/>
              </w:rPr>
              <w:t>)</w:t>
            </w:r>
          </w:p>
          <w:p w:rsidR="005A72AC" w:rsidP="004C7A62">
            <w:pPr>
              <w:rPr>
                <w:rFonts w:eastAsia="SimSun"/>
                <w:b/>
                <w:szCs w:val="22"/>
              </w:rPr>
            </w:pPr>
            <w:r w:rsidRPr="005A72AC">
              <w:rPr>
                <w:rFonts w:eastAsia="SimSun"/>
                <w:b/>
                <w:szCs w:val="22"/>
              </w:rPr>
              <w:t>)</w:t>
            </w:r>
          </w:p>
        </w:tc>
        <w:tc>
          <w:tcPr>
            <w:tcW w:w="4230" w:type="dxa"/>
          </w:tcPr>
          <w:p w:rsidR="00963E97" w:rsidRPr="00830F30" w:rsidP="004648FD">
            <w:pPr>
              <w:rPr>
                <w:rFonts w:eastAsia="SimSun"/>
                <w:szCs w:val="22"/>
                <w:lang w:val="es-UY"/>
              </w:rPr>
            </w:pPr>
          </w:p>
          <w:p w:rsidR="00963E97" w:rsidRPr="00830F30" w:rsidP="004648FD">
            <w:pPr>
              <w:rPr>
                <w:rFonts w:eastAsia="SimSun"/>
                <w:szCs w:val="22"/>
                <w:lang w:val="es-UY"/>
              </w:rPr>
            </w:pPr>
          </w:p>
          <w:p w:rsidR="005A72AC" w:rsidRPr="00830F30" w:rsidP="005A72AC">
            <w:pPr>
              <w:tabs>
                <w:tab w:val="center" w:pos="4680"/>
              </w:tabs>
              <w:suppressAutoHyphens/>
              <w:rPr>
                <w:spacing w:val="-2"/>
                <w:lang w:val="es-UY"/>
              </w:rPr>
            </w:pPr>
            <w:r w:rsidRPr="00830F30">
              <w:rPr>
                <w:spacing w:val="-2"/>
                <w:lang w:val="es-UY"/>
              </w:rPr>
              <w:t xml:space="preserve">File Nos.:  </w:t>
            </w:r>
            <w:r w:rsidRPr="00830F30">
              <w:rPr>
                <w:rFonts w:eastAsia="SimSun"/>
                <w:lang w:val="es-UY"/>
              </w:rPr>
              <w:t>BLL-20170710AAT</w:t>
            </w:r>
          </w:p>
          <w:p w:rsidR="005A72AC" w:rsidRPr="00830F30" w:rsidP="005A72AC">
            <w:pPr>
              <w:rPr>
                <w:rFonts w:eastAsia="SimSun"/>
                <w:szCs w:val="22"/>
                <w:lang w:val="es-UY"/>
              </w:rPr>
            </w:pPr>
            <w:r w:rsidRPr="00830F30">
              <w:rPr>
                <w:rFonts w:eastAsia="SimSun"/>
                <w:szCs w:val="22"/>
                <w:lang w:val="es-UY"/>
              </w:rPr>
              <w:t>BPL-20170911ADI</w:t>
            </w:r>
          </w:p>
          <w:p w:rsidR="005A72AC" w:rsidRPr="00830F30" w:rsidP="005A72AC">
            <w:pPr>
              <w:rPr>
                <w:rFonts w:eastAsia="SimSun"/>
                <w:szCs w:val="22"/>
                <w:lang w:val="es-UY"/>
              </w:rPr>
            </w:pPr>
            <w:r w:rsidRPr="00830F30">
              <w:rPr>
                <w:rFonts w:eastAsia="SimSun"/>
                <w:szCs w:val="22"/>
                <w:lang w:val="es-UY"/>
              </w:rPr>
              <w:t>BTCL-20171004AAB</w:t>
            </w:r>
          </w:p>
          <w:p w:rsidR="005A72AC" w:rsidRPr="00830F30" w:rsidP="005A72AC">
            <w:pPr>
              <w:rPr>
                <w:rFonts w:eastAsia="SimSun"/>
                <w:szCs w:val="22"/>
                <w:lang w:val="es-UY"/>
              </w:rPr>
            </w:pPr>
            <w:r w:rsidRPr="00830F30">
              <w:rPr>
                <w:rFonts w:eastAsia="SimSun"/>
                <w:szCs w:val="22"/>
                <w:lang w:val="es-UY"/>
              </w:rPr>
              <w:t>BPL-20180117ACV</w:t>
            </w:r>
          </w:p>
          <w:p w:rsidR="005A72AC" w:rsidRPr="00830F30" w:rsidP="005A72AC">
            <w:pPr>
              <w:tabs>
                <w:tab w:val="center" w:pos="4680"/>
              </w:tabs>
              <w:suppressAutoHyphens/>
              <w:rPr>
                <w:rFonts w:eastAsia="SimSun"/>
                <w:szCs w:val="22"/>
                <w:lang w:val="es-UY"/>
              </w:rPr>
            </w:pPr>
            <w:r w:rsidRPr="00830F30">
              <w:rPr>
                <w:rFonts w:eastAsia="SimSun"/>
                <w:szCs w:val="22"/>
                <w:lang w:val="es-UY"/>
              </w:rPr>
              <w:t>BLESTA-20180514ACA</w:t>
            </w:r>
          </w:p>
          <w:p w:rsidR="005A72AC" w:rsidRPr="00EF6025" w:rsidP="005A72AC">
            <w:pPr>
              <w:tabs>
                <w:tab w:val="center" w:pos="4680"/>
              </w:tabs>
              <w:suppressAutoHyphens/>
              <w:rPr>
                <w:spacing w:val="-2"/>
              </w:rPr>
            </w:pPr>
            <w:r w:rsidRPr="00EF6025">
              <w:rPr>
                <w:spacing w:val="-2"/>
              </w:rPr>
              <w:t>EB-IHD-</w:t>
            </w:r>
            <w:r w:rsidRPr="00D23483">
              <w:rPr>
                <w:spacing w:val="-2"/>
              </w:rPr>
              <w:t>17-00025521</w:t>
            </w:r>
          </w:p>
          <w:p w:rsidR="005A72AC" w:rsidP="005A72AC">
            <w:pPr>
              <w:tabs>
                <w:tab w:val="center" w:pos="4680"/>
              </w:tabs>
              <w:suppressAutoHyphens/>
              <w:rPr>
                <w:spacing w:val="-2"/>
              </w:rPr>
            </w:pPr>
          </w:p>
          <w:p w:rsidR="005A72AC" w:rsidP="005A72AC">
            <w:pPr>
              <w:tabs>
                <w:tab w:val="center" w:pos="4680"/>
              </w:tabs>
              <w:suppressAutoHyphens/>
              <w:rPr>
                <w:spacing w:val="-2"/>
              </w:rPr>
            </w:pPr>
            <w:r>
              <w:rPr>
                <w:spacing w:val="-2"/>
              </w:rPr>
              <w:t>Acct. No.:  2019</w:t>
            </w:r>
            <w:r w:rsidRPr="00934480">
              <w:rPr>
                <w:spacing w:val="-2"/>
              </w:rPr>
              <w:t>32080014</w:t>
            </w:r>
          </w:p>
          <w:p w:rsidR="005A72AC" w:rsidP="005A72AC">
            <w:pPr>
              <w:tabs>
                <w:tab w:val="center" w:pos="4680"/>
              </w:tabs>
              <w:suppressAutoHyphens/>
              <w:rPr>
                <w:spacing w:val="-2"/>
              </w:rPr>
            </w:pPr>
            <w:r>
              <w:rPr>
                <w:spacing w:val="-2"/>
              </w:rPr>
              <w:t>FRN:  0024208670</w:t>
            </w:r>
          </w:p>
          <w:p w:rsidR="005A72AC" w:rsidRPr="004C7A62" w:rsidP="005A72AC">
            <w:pPr>
              <w:rPr>
                <w:rFonts w:eastAsia="SimSun"/>
                <w:szCs w:val="22"/>
              </w:rPr>
            </w:pPr>
            <w:r>
              <w:rPr>
                <w:rFonts w:eastAsia="SimSun"/>
                <w:szCs w:val="22"/>
              </w:rPr>
              <w:t xml:space="preserve">Facility ID No. </w:t>
            </w:r>
            <w:r w:rsidRPr="004C7A62">
              <w:rPr>
                <w:rFonts w:eastAsia="SimSun"/>
                <w:szCs w:val="22"/>
              </w:rPr>
              <w:t>192016</w:t>
            </w:r>
          </w:p>
          <w:p w:rsidR="00EB4F4C" w:rsidP="004648FD">
            <w:pPr>
              <w:rPr>
                <w:rFonts w:eastAsia="SimSun"/>
                <w:szCs w:val="22"/>
              </w:rPr>
            </w:pPr>
          </w:p>
        </w:tc>
      </w:tr>
    </w:tbl>
    <w:p w:rsidR="00963E97" w:rsidP="00A2260A">
      <w:pPr>
        <w:jc w:val="center"/>
        <w:rPr>
          <w:rFonts w:eastAsia="SimSun"/>
          <w:szCs w:val="22"/>
        </w:rPr>
      </w:pPr>
    </w:p>
    <w:p w:rsidR="00963E97" w:rsidP="00963E97">
      <w:pPr>
        <w:jc w:val="center"/>
        <w:rPr>
          <w:rFonts w:eastAsia="SimSun"/>
          <w:b/>
          <w:spacing w:val="-2"/>
          <w:szCs w:val="22"/>
        </w:rPr>
      </w:pPr>
      <w:r>
        <w:rPr>
          <w:rFonts w:eastAsia="SimSun"/>
          <w:b/>
          <w:spacing w:val="-2"/>
          <w:szCs w:val="22"/>
        </w:rPr>
        <w:t xml:space="preserve">ORDER </w:t>
      </w:r>
    </w:p>
    <w:p w:rsidR="00963E97" w:rsidP="00A2260A">
      <w:pPr>
        <w:jc w:val="center"/>
        <w:rPr>
          <w:rFonts w:eastAsia="SimSun"/>
          <w:szCs w:val="22"/>
        </w:rPr>
      </w:pPr>
    </w:p>
    <w:p w:rsidR="00963E97" w:rsidRPr="000C0BDD" w:rsidP="00A07513">
      <w:pPr>
        <w:tabs>
          <w:tab w:val="right" w:pos="9360"/>
        </w:tabs>
        <w:rPr>
          <w:rFonts w:eastAsia="SimSun"/>
          <w:b/>
          <w:szCs w:val="22"/>
        </w:rPr>
      </w:pPr>
      <w:r w:rsidRPr="000C0BDD">
        <w:rPr>
          <w:rFonts w:eastAsia="SimSun"/>
          <w:b/>
          <w:szCs w:val="22"/>
        </w:rPr>
        <w:t>Adopted:</w:t>
      </w:r>
      <w:r w:rsidR="00056B93">
        <w:rPr>
          <w:rFonts w:eastAsia="SimSun"/>
          <w:b/>
          <w:szCs w:val="22"/>
        </w:rPr>
        <w:t xml:space="preserve"> </w:t>
      </w:r>
      <w:r w:rsidR="00CD61A2">
        <w:rPr>
          <w:rFonts w:eastAsia="SimSun"/>
          <w:b/>
          <w:szCs w:val="22"/>
        </w:rPr>
        <w:t xml:space="preserve">September </w:t>
      </w:r>
      <w:r w:rsidR="003A45A3">
        <w:rPr>
          <w:rFonts w:eastAsia="SimSun"/>
          <w:b/>
          <w:szCs w:val="22"/>
        </w:rPr>
        <w:t>4</w:t>
      </w:r>
      <w:r w:rsidR="00704964">
        <w:rPr>
          <w:rFonts w:eastAsia="SimSun"/>
          <w:b/>
          <w:szCs w:val="22"/>
        </w:rPr>
        <w:t>, 201</w:t>
      </w:r>
      <w:r w:rsidR="00DA21CD">
        <w:rPr>
          <w:rFonts w:eastAsia="SimSun"/>
          <w:b/>
          <w:szCs w:val="22"/>
        </w:rPr>
        <w:t>9</w:t>
      </w:r>
      <w:r w:rsidRPr="000C0BDD">
        <w:rPr>
          <w:rFonts w:eastAsia="SimSun"/>
          <w:b/>
          <w:szCs w:val="22"/>
        </w:rPr>
        <w:tab/>
        <w:t xml:space="preserve">Released: </w:t>
      </w:r>
      <w:r w:rsidR="00056B93">
        <w:rPr>
          <w:rFonts w:eastAsia="SimSun"/>
          <w:b/>
          <w:szCs w:val="22"/>
        </w:rPr>
        <w:t xml:space="preserve"> </w:t>
      </w:r>
      <w:r w:rsidR="00CD61A2">
        <w:rPr>
          <w:rFonts w:eastAsia="SimSun"/>
          <w:b/>
          <w:szCs w:val="22"/>
        </w:rPr>
        <w:t xml:space="preserve">September </w:t>
      </w:r>
      <w:r w:rsidR="008138C1">
        <w:rPr>
          <w:rFonts w:eastAsia="SimSun"/>
          <w:b/>
          <w:szCs w:val="22"/>
        </w:rPr>
        <w:t>5</w:t>
      </w:r>
      <w:r w:rsidR="00704964">
        <w:rPr>
          <w:rFonts w:eastAsia="SimSun"/>
          <w:b/>
          <w:szCs w:val="22"/>
        </w:rPr>
        <w:t>, 201</w:t>
      </w:r>
      <w:r w:rsidR="00DA21CD">
        <w:rPr>
          <w:rFonts w:eastAsia="SimSun"/>
          <w:b/>
          <w:szCs w:val="22"/>
        </w:rPr>
        <w:t>9</w:t>
      </w:r>
    </w:p>
    <w:p w:rsidR="00963E97" w:rsidRPr="000C0BDD" w:rsidP="00963E97">
      <w:pPr>
        <w:tabs>
          <w:tab w:val="left" w:pos="5760"/>
        </w:tabs>
        <w:rPr>
          <w:rFonts w:eastAsia="SimSun"/>
          <w:b/>
          <w:szCs w:val="22"/>
        </w:rPr>
      </w:pPr>
    </w:p>
    <w:p w:rsidR="00963E97" w:rsidRPr="000C0BDD" w:rsidP="00963E97">
      <w:pPr>
        <w:tabs>
          <w:tab w:val="left" w:pos="5760"/>
        </w:tabs>
        <w:rPr>
          <w:rFonts w:eastAsia="SimSun"/>
          <w:spacing w:val="-2"/>
          <w:szCs w:val="22"/>
        </w:rPr>
      </w:pPr>
      <w:r w:rsidRPr="000C0BDD">
        <w:rPr>
          <w:rFonts w:eastAsia="SimSun"/>
          <w:szCs w:val="22"/>
        </w:rPr>
        <w:t>By the Chief</w:t>
      </w:r>
      <w:r w:rsidR="00574EDE">
        <w:rPr>
          <w:rFonts w:eastAsia="SimSun"/>
          <w:szCs w:val="22"/>
        </w:rPr>
        <w:t>s</w:t>
      </w:r>
      <w:r w:rsidRPr="000C0BDD">
        <w:rPr>
          <w:rFonts w:eastAsia="SimSun"/>
          <w:szCs w:val="22"/>
        </w:rPr>
        <w:t>, Media Bureau</w:t>
      </w:r>
      <w:r w:rsidR="004C1BA8">
        <w:rPr>
          <w:rFonts w:eastAsia="SimSun"/>
          <w:szCs w:val="22"/>
        </w:rPr>
        <w:t xml:space="preserve"> and</w:t>
      </w:r>
      <w:r w:rsidR="00E00A4E">
        <w:rPr>
          <w:rFonts w:eastAsia="SimSun"/>
          <w:spacing w:val="-2"/>
          <w:szCs w:val="22"/>
        </w:rPr>
        <w:t xml:space="preserve"> </w:t>
      </w:r>
      <w:r w:rsidR="00574EDE">
        <w:rPr>
          <w:rFonts w:eastAsia="SimSun"/>
          <w:spacing w:val="-2"/>
          <w:szCs w:val="22"/>
        </w:rPr>
        <w:t>Enforcement Bureau</w:t>
      </w:r>
      <w:r w:rsidRPr="000C0BDD">
        <w:rPr>
          <w:rFonts w:eastAsia="SimSun"/>
          <w:spacing w:val="-2"/>
          <w:szCs w:val="22"/>
        </w:rPr>
        <w:t>:</w:t>
      </w:r>
    </w:p>
    <w:p w:rsidR="00963E97" w:rsidP="00963E97">
      <w:pPr>
        <w:rPr>
          <w:szCs w:val="22"/>
        </w:rPr>
      </w:pPr>
    </w:p>
    <w:p w:rsidR="00963E97" w:rsidRPr="000C0BDD" w:rsidP="00963E97">
      <w:pPr>
        <w:pStyle w:val="Heading1"/>
      </w:pPr>
      <w:r w:rsidRPr="000C0BDD">
        <w:t>INTRODUCTION</w:t>
      </w:r>
    </w:p>
    <w:p w:rsidR="002C481B" w:rsidRPr="002C481B" w:rsidP="005C64C4">
      <w:pPr>
        <w:pStyle w:val="ParaNum"/>
        <w:numPr>
          <w:ilvl w:val="0"/>
          <w:numId w:val="3"/>
        </w:numPr>
        <w:tabs>
          <w:tab w:val="clear" w:pos="900"/>
        </w:tabs>
        <w:ind w:left="0"/>
        <w:rPr>
          <w:color w:val="000000"/>
          <w:szCs w:val="22"/>
        </w:rPr>
      </w:pPr>
      <w:r w:rsidRPr="00D84548">
        <w:rPr>
          <w:szCs w:val="22"/>
        </w:rPr>
        <w:t xml:space="preserve">The </w:t>
      </w:r>
      <w:r>
        <w:rPr>
          <w:szCs w:val="22"/>
        </w:rPr>
        <w:t xml:space="preserve">Media Bureau (MB) and </w:t>
      </w:r>
      <w:r w:rsidR="0096390D">
        <w:rPr>
          <w:szCs w:val="22"/>
        </w:rPr>
        <w:t xml:space="preserve">the </w:t>
      </w:r>
      <w:r w:rsidRPr="00D84548">
        <w:rPr>
          <w:szCs w:val="22"/>
        </w:rPr>
        <w:t>Enforcement Bureau (</w:t>
      </w:r>
      <w:r>
        <w:rPr>
          <w:szCs w:val="22"/>
        </w:rPr>
        <w:t>EB</w:t>
      </w:r>
      <w:r w:rsidRPr="00D84548">
        <w:rPr>
          <w:szCs w:val="22"/>
        </w:rPr>
        <w:t xml:space="preserve">) of the Federal Communications Commission </w:t>
      </w:r>
      <w:r w:rsidR="00A40062">
        <w:rPr>
          <w:szCs w:val="22"/>
        </w:rPr>
        <w:t xml:space="preserve">(Commission) </w:t>
      </w:r>
      <w:r w:rsidRPr="00D84548">
        <w:rPr>
          <w:szCs w:val="22"/>
        </w:rPr>
        <w:t>h</w:t>
      </w:r>
      <w:r>
        <w:rPr>
          <w:szCs w:val="22"/>
        </w:rPr>
        <w:t>ave</w:t>
      </w:r>
      <w:r w:rsidRPr="00D84548">
        <w:rPr>
          <w:szCs w:val="22"/>
        </w:rPr>
        <w:t xml:space="preserve"> </w:t>
      </w:r>
      <w:r w:rsidRPr="00D84548">
        <w:rPr>
          <w:szCs w:val="22"/>
        </w:rPr>
        <w:t>entered into</w:t>
      </w:r>
      <w:r w:rsidRPr="00D84548">
        <w:rPr>
          <w:szCs w:val="22"/>
        </w:rPr>
        <w:t xml:space="preserve"> a Consent Decree to resolve </w:t>
      </w:r>
      <w:r w:rsidR="00A40062">
        <w:rPr>
          <w:szCs w:val="22"/>
        </w:rPr>
        <w:t>pending matters concerning</w:t>
      </w:r>
      <w:r>
        <w:rPr>
          <w:szCs w:val="22"/>
        </w:rPr>
        <w:t xml:space="preserve"> </w:t>
      </w:r>
      <w:r w:rsidR="00C454C5">
        <w:t>San Tan</w:t>
      </w:r>
      <w:r w:rsidRPr="00C2540D">
        <w:t xml:space="preserve"> Educational Media (</w:t>
      </w:r>
      <w:r w:rsidR="00C454C5">
        <w:t>S</w:t>
      </w:r>
      <w:r w:rsidR="00347F43">
        <w:t>an</w:t>
      </w:r>
      <w:r w:rsidR="00C454C5">
        <w:t xml:space="preserve"> T</w:t>
      </w:r>
      <w:r w:rsidR="00347F43">
        <w:t>an)</w:t>
      </w:r>
      <w:r w:rsidR="00A40062">
        <w:t xml:space="preserve">, </w:t>
      </w:r>
      <w:r w:rsidRPr="00F64D14" w:rsidR="00A40062">
        <w:rPr>
          <w:szCs w:val="22"/>
        </w:rPr>
        <w:t xml:space="preserve">licensee of </w:t>
      </w:r>
      <w:r w:rsidRPr="00DD587E" w:rsidR="00A40062">
        <w:rPr>
          <w:szCs w:val="22"/>
        </w:rPr>
        <w:t xml:space="preserve">low power FM (LPFM) Station </w:t>
      </w:r>
      <w:r w:rsidRPr="00F64D14" w:rsidR="00A40062">
        <w:rPr>
          <w:szCs w:val="22"/>
        </w:rPr>
        <w:t>KFXY-LP</w:t>
      </w:r>
      <w:r w:rsidR="00A40062">
        <w:rPr>
          <w:szCs w:val="22"/>
        </w:rPr>
        <w:t>,</w:t>
      </w:r>
      <w:r w:rsidRPr="00F64D14" w:rsidR="00A40062">
        <w:rPr>
          <w:b/>
          <w:szCs w:val="22"/>
        </w:rPr>
        <w:t xml:space="preserve"> </w:t>
      </w:r>
      <w:r w:rsidRPr="00F64D14" w:rsidR="00A40062">
        <w:rPr>
          <w:szCs w:val="22"/>
        </w:rPr>
        <w:t>Mesa, Arizona</w:t>
      </w:r>
      <w:r w:rsidR="00A40062">
        <w:rPr>
          <w:szCs w:val="22"/>
        </w:rPr>
        <w:t xml:space="preserve"> (Station).  Specifically, the Consent Decree </w:t>
      </w:r>
      <w:r w:rsidR="00BD6570">
        <w:rPr>
          <w:szCs w:val="22"/>
        </w:rPr>
        <w:t>resolves</w:t>
      </w:r>
      <w:r w:rsidR="00864747">
        <w:rPr>
          <w:szCs w:val="22"/>
        </w:rPr>
        <w:t>:</w:t>
      </w:r>
      <w:r w:rsidR="00BD6570">
        <w:rPr>
          <w:szCs w:val="22"/>
        </w:rPr>
        <w:t xml:space="preserve"> </w:t>
      </w:r>
      <w:r w:rsidR="00A40062">
        <w:rPr>
          <w:szCs w:val="22"/>
        </w:rPr>
        <w:t xml:space="preserve">(1) </w:t>
      </w:r>
      <w:r w:rsidR="00925303">
        <w:rPr>
          <w:szCs w:val="22"/>
        </w:rPr>
        <w:t>MB’s investigation into several San Tan applications and objections thereto, with MB’s procedural di</w:t>
      </w:r>
      <w:r w:rsidR="00ED6F32">
        <w:rPr>
          <w:szCs w:val="22"/>
        </w:rPr>
        <w:t>sposit</w:t>
      </w:r>
      <w:r w:rsidR="00925303">
        <w:rPr>
          <w:szCs w:val="22"/>
        </w:rPr>
        <w:t xml:space="preserve">ion of those matters </w:t>
      </w:r>
      <w:r w:rsidR="00ED6F32">
        <w:rPr>
          <w:szCs w:val="22"/>
        </w:rPr>
        <w:t xml:space="preserve">addressed </w:t>
      </w:r>
      <w:r w:rsidR="00925303">
        <w:rPr>
          <w:szCs w:val="22"/>
        </w:rPr>
        <w:t>in a separate MB letter decision</w:t>
      </w:r>
      <w:r w:rsidR="00904EBA">
        <w:rPr>
          <w:szCs w:val="22"/>
        </w:rPr>
        <w:t>,</w:t>
      </w:r>
      <w:r>
        <w:rPr>
          <w:szCs w:val="22"/>
          <w:vertAlign w:val="superscript"/>
        </w:rPr>
        <w:footnoteReference w:id="3"/>
      </w:r>
      <w:r w:rsidR="00A40062">
        <w:rPr>
          <w:szCs w:val="22"/>
        </w:rPr>
        <w:t xml:space="preserve"> and (2) EB’s</w:t>
      </w:r>
      <w:r w:rsidRPr="00F64D14" w:rsidR="00A40062">
        <w:rPr>
          <w:szCs w:val="22"/>
        </w:rPr>
        <w:t xml:space="preserve"> investigation into whether </w:t>
      </w:r>
      <w:r w:rsidR="00C454C5">
        <w:rPr>
          <w:szCs w:val="22"/>
        </w:rPr>
        <w:t>S</w:t>
      </w:r>
      <w:r w:rsidR="00347F43">
        <w:rPr>
          <w:szCs w:val="22"/>
        </w:rPr>
        <w:t>an</w:t>
      </w:r>
      <w:r w:rsidR="00C454C5">
        <w:rPr>
          <w:szCs w:val="22"/>
        </w:rPr>
        <w:t xml:space="preserve"> T</w:t>
      </w:r>
      <w:r w:rsidR="00347F43">
        <w:rPr>
          <w:szCs w:val="22"/>
        </w:rPr>
        <w:t>an</w:t>
      </w:r>
      <w:r w:rsidRPr="00F64D14" w:rsidR="00A40062">
        <w:rPr>
          <w:szCs w:val="22"/>
        </w:rPr>
        <w:t xml:space="preserve"> violated </w:t>
      </w:r>
      <w:r w:rsidR="00A40062">
        <w:t xml:space="preserve">the Commission’s underwriting laws by </w:t>
      </w:r>
      <w:r w:rsidRPr="00FC37D2" w:rsidR="00A40062">
        <w:t>broadcast</w:t>
      </w:r>
      <w:r w:rsidR="00A40062">
        <w:t>ing</w:t>
      </w:r>
      <w:r w:rsidRPr="00FC37D2" w:rsidR="00A40062">
        <w:t xml:space="preserve"> </w:t>
      </w:r>
      <w:r w:rsidR="00A40062">
        <w:t>announcements that promoted the products, services, or businesses of its financial contributors.</w:t>
      </w:r>
      <w:r w:rsidR="00A40062">
        <w:rPr>
          <w:szCs w:val="22"/>
        </w:rPr>
        <w:t xml:space="preserve">  </w:t>
      </w:r>
      <w:r w:rsidRPr="00D84548">
        <w:rPr>
          <w:szCs w:val="22"/>
        </w:rPr>
        <w:t xml:space="preserve">To settle </w:t>
      </w:r>
      <w:r w:rsidRPr="00D84548" w:rsidR="00925303">
        <w:rPr>
          <w:szCs w:val="22"/>
        </w:rPr>
        <w:t>th</w:t>
      </w:r>
      <w:r w:rsidR="00925303">
        <w:rPr>
          <w:szCs w:val="22"/>
        </w:rPr>
        <w:t>ese</w:t>
      </w:r>
      <w:r w:rsidRPr="00D84548" w:rsidR="00925303">
        <w:rPr>
          <w:szCs w:val="22"/>
        </w:rPr>
        <w:t xml:space="preserve"> </w:t>
      </w:r>
      <w:r w:rsidRPr="00D84548">
        <w:rPr>
          <w:szCs w:val="22"/>
        </w:rPr>
        <w:t>matter</w:t>
      </w:r>
      <w:r w:rsidR="00925303">
        <w:rPr>
          <w:szCs w:val="22"/>
        </w:rPr>
        <w:t>s</w:t>
      </w:r>
      <w:r w:rsidRPr="00D84548">
        <w:rPr>
          <w:szCs w:val="22"/>
        </w:rPr>
        <w:t xml:space="preserve">, </w:t>
      </w:r>
      <w:r w:rsidR="00C454C5">
        <w:rPr>
          <w:szCs w:val="22"/>
        </w:rPr>
        <w:t>S</w:t>
      </w:r>
      <w:r w:rsidR="00347F43">
        <w:rPr>
          <w:szCs w:val="22"/>
        </w:rPr>
        <w:t>an</w:t>
      </w:r>
      <w:r w:rsidR="00C454C5">
        <w:rPr>
          <w:szCs w:val="22"/>
        </w:rPr>
        <w:t xml:space="preserve"> T</w:t>
      </w:r>
      <w:r w:rsidR="00347F43">
        <w:rPr>
          <w:szCs w:val="22"/>
        </w:rPr>
        <w:t>an</w:t>
      </w:r>
      <w:r>
        <w:rPr>
          <w:szCs w:val="22"/>
        </w:rPr>
        <w:t xml:space="preserve"> </w:t>
      </w:r>
      <w:r w:rsidR="00A40062">
        <w:t>agrees to</w:t>
      </w:r>
      <w:r w:rsidRPr="00FC37D2" w:rsidR="00A40062">
        <w:t xml:space="preserve"> </w:t>
      </w:r>
      <w:r w:rsidR="00A40062">
        <w:t xml:space="preserve">implement a compliance plan and </w:t>
      </w:r>
      <w:r w:rsidRPr="007950FC" w:rsidR="00A40062">
        <w:t xml:space="preserve">pay a </w:t>
      </w:r>
      <w:r w:rsidR="00196F68">
        <w:rPr>
          <w:szCs w:val="22"/>
        </w:rPr>
        <w:t>$1,500 civil penalty.</w:t>
      </w:r>
    </w:p>
    <w:p w:rsidR="002C481B" w:rsidRPr="002C481B" w:rsidP="002C481B">
      <w:pPr>
        <w:pStyle w:val="Heading1"/>
      </w:pPr>
      <w:r w:rsidRPr="000C0BDD">
        <w:t>DISCUSSION</w:t>
      </w:r>
    </w:p>
    <w:p w:rsidR="002C481B" w:rsidRPr="002C481B" w:rsidP="00A07513">
      <w:pPr>
        <w:pStyle w:val="ParaNum"/>
        <w:widowControl/>
        <w:numPr>
          <w:ilvl w:val="0"/>
          <w:numId w:val="3"/>
        </w:numPr>
        <w:tabs>
          <w:tab w:val="clear" w:pos="900"/>
        </w:tabs>
        <w:ind w:left="0"/>
        <w:rPr>
          <w:color w:val="000000"/>
          <w:szCs w:val="22"/>
        </w:rPr>
      </w:pPr>
      <w:r w:rsidRPr="002C481B">
        <w:rPr>
          <w:b/>
          <w:color w:val="000000"/>
          <w:spacing w:val="-7"/>
          <w:szCs w:val="22"/>
        </w:rPr>
        <w:t xml:space="preserve">Licensing Matters.  </w:t>
      </w:r>
      <w:r w:rsidRPr="002C481B">
        <w:rPr>
          <w:color w:val="000000"/>
          <w:szCs w:val="22"/>
        </w:rPr>
        <w:t xml:space="preserve">San Tan has, in the Consent Decree, admitted to the following licensing-related violations of the Commission’s rules (Rules) and of the Communications Act of 1934, as amended (Act):  (a) violation of section 73.865(e) of the Rules by undergoing a </w:t>
      </w:r>
      <w:r w:rsidR="001C0BBC">
        <w:rPr>
          <w:color w:val="000000"/>
          <w:szCs w:val="22"/>
        </w:rPr>
        <w:t>sudden change of its entire governing board</w:t>
      </w:r>
      <w:r w:rsidRPr="002C481B">
        <w:rPr>
          <w:color w:val="000000"/>
          <w:szCs w:val="22"/>
        </w:rPr>
        <w:t xml:space="preserve"> without timely filing an application for Commission consent on </w:t>
      </w:r>
      <w:r w:rsidR="00830F30">
        <w:rPr>
          <w:color w:val="000000"/>
          <w:szCs w:val="22"/>
        </w:rPr>
        <w:t xml:space="preserve">FCC </w:t>
      </w:r>
      <w:r w:rsidRPr="002C481B">
        <w:rPr>
          <w:color w:val="000000"/>
          <w:szCs w:val="22"/>
        </w:rPr>
        <w:t>Form 316;</w:t>
      </w:r>
      <w:r w:rsidRPr="002C481B">
        <w:rPr>
          <w:color w:val="000000"/>
          <w:szCs w:val="22"/>
          <w:vertAlign w:val="superscript"/>
        </w:rPr>
        <w:t xml:space="preserve"> </w:t>
      </w:r>
      <w:r w:rsidRPr="002C481B">
        <w:rPr>
          <w:color w:val="000000"/>
          <w:szCs w:val="22"/>
        </w:rPr>
        <w:t xml:space="preserve">(b) violation of section 301 of the Act and section 73.1350 of the Rules by constructing a tower and antenna that were each of a lower height than authorized by the Commission and by operating those nonconforming facilities continuously for approximately four months without Commission consent; and (c) violation of section 1.17 of the Rules by falsely certifying to have constructed in accordance with its permit, under the signature of a person who was then no longer affiliated with San Tan, as a result of carelessness or negligence but without any intent to deceive.  MB addressed each of these matters in the </w:t>
      </w:r>
      <w:r w:rsidRPr="002C481B">
        <w:rPr>
          <w:color w:val="000000"/>
          <w:szCs w:val="22"/>
        </w:rPr>
        <w:t>separate MB Letter Order and concluded that none of the violations affects San Tan’s basic qualifications to be a Commission licensee.</w:t>
      </w:r>
      <w:r>
        <w:rPr>
          <w:vertAlign w:val="superscript"/>
        </w:rPr>
        <w:footnoteReference w:id="4"/>
      </w:r>
      <w:r w:rsidRPr="002C481B">
        <w:rPr>
          <w:color w:val="000000"/>
          <w:szCs w:val="22"/>
        </w:rPr>
        <w:t xml:space="preserve"> </w:t>
      </w:r>
    </w:p>
    <w:p w:rsidR="00DE6232" w:rsidP="005C64C4">
      <w:pPr>
        <w:pStyle w:val="ParaNum"/>
        <w:numPr>
          <w:ilvl w:val="0"/>
          <w:numId w:val="3"/>
        </w:numPr>
        <w:tabs>
          <w:tab w:val="clear" w:pos="900"/>
          <w:tab w:val="num" w:pos="1440"/>
          <w:tab w:val="num" w:pos="1620"/>
        </w:tabs>
        <w:ind w:left="0" w:firstLine="540"/>
        <w:rPr>
          <w:szCs w:val="22"/>
        </w:rPr>
      </w:pPr>
      <w:r w:rsidRPr="00DE6232">
        <w:rPr>
          <w:b/>
          <w:szCs w:val="22"/>
        </w:rPr>
        <w:t>Underwriting.</w:t>
      </w:r>
      <w:r w:rsidRPr="00DE6232">
        <w:rPr>
          <w:i/>
          <w:szCs w:val="22"/>
        </w:rPr>
        <w:t xml:space="preserve">  </w:t>
      </w:r>
      <w:r w:rsidR="007238E5">
        <w:t xml:space="preserve">LPFM radio broadcasters are licensed to provide noncommercial, locally oriented programming for their communities.  LPFM licensees </w:t>
      </w:r>
      <w:r w:rsidR="006F01C5">
        <w:t xml:space="preserve">benefit </w:t>
      </w:r>
      <w:r w:rsidR="007B7F01">
        <w:t xml:space="preserve">from </w:t>
      </w:r>
      <w:r w:rsidR="00B17575">
        <w:t xml:space="preserve">being exempt from </w:t>
      </w:r>
      <w:r w:rsidRPr="00246787" w:rsidR="006F01C5">
        <w:t xml:space="preserve">regulatory fees </w:t>
      </w:r>
      <w:r w:rsidR="006F01C5">
        <w:t xml:space="preserve">and </w:t>
      </w:r>
      <w:r w:rsidR="00E76515">
        <w:t xml:space="preserve">from having </w:t>
      </w:r>
      <w:r w:rsidR="006F01C5">
        <w:t xml:space="preserve">fewer requirements </w:t>
      </w:r>
      <w:r w:rsidRPr="00246787" w:rsidR="006F01C5">
        <w:t xml:space="preserve">than </w:t>
      </w:r>
      <w:r w:rsidR="006F01C5">
        <w:t xml:space="preserve">those imposed on </w:t>
      </w:r>
      <w:r w:rsidRPr="00246787" w:rsidR="006F01C5">
        <w:t xml:space="preserve">commercial </w:t>
      </w:r>
      <w:r w:rsidR="006F01C5">
        <w:t>entities, in recognition of their noncommercial and non-profit nature</w:t>
      </w:r>
      <w:r w:rsidRPr="00246787" w:rsidR="006F01C5">
        <w:t xml:space="preserve">.  </w:t>
      </w:r>
      <w:r w:rsidR="006F01C5">
        <w:t xml:space="preserve">That flexibility, however, is not unlimited, </w:t>
      </w:r>
      <w:r w:rsidR="006F0A92">
        <w:t xml:space="preserve">and </w:t>
      </w:r>
      <w:r w:rsidR="007238E5">
        <w:t>the Rules applicable to LPFM licensees specifically incorporate the same restrictions prohibiting the airing of commercial advertising applicable to noncommercial educational</w:t>
      </w:r>
      <w:r w:rsidR="000647EF">
        <w:t xml:space="preserve"> (NCE)</w:t>
      </w:r>
      <w:r w:rsidR="007238E5">
        <w:t xml:space="preserve"> FM broadcast licensees.</w:t>
      </w:r>
      <w:r>
        <w:rPr>
          <w:rStyle w:val="FootnoteReference"/>
        </w:rPr>
        <w:footnoteReference w:id="5"/>
      </w:r>
      <w:r w:rsidRPr="00246787" w:rsidR="006F01C5">
        <w:t xml:space="preserve">  These restrictions “</w:t>
      </w:r>
      <w:r w:rsidRPr="00DE6232" w:rsidR="006F01C5">
        <w:rPr>
          <w:bCs/>
        </w:rPr>
        <w:t>protect</w:t>
      </w:r>
      <w:r w:rsidRPr="00246787" w:rsidR="006F01C5">
        <w:t> the public</w:t>
      </w:r>
      <w:r w:rsidR="006F01C5">
        <w:t>’</w:t>
      </w:r>
      <w:r w:rsidRPr="00246787" w:rsidR="006F01C5">
        <w:t>s use and enjoyment of commercial-free broadcasts” and “provide a level playing field for the noncommercial broadcasters that obey the law and for the commercial broadcasters that are entitled to seek revenue from advertising.”</w:t>
      </w:r>
      <w:r>
        <w:rPr>
          <w:rStyle w:val="FootnoteReference"/>
        </w:rPr>
        <w:footnoteReference w:id="6"/>
      </w:r>
      <w:r w:rsidR="006F01C5">
        <w:t xml:space="preserve">  </w:t>
      </w:r>
      <w:r w:rsidR="00F752D5">
        <w:t>T</w:t>
      </w:r>
      <w:r w:rsidR="006F01C5">
        <w:t>h</w:t>
      </w:r>
      <w:r w:rsidRPr="00501230" w:rsidR="006F01C5">
        <w:t xml:space="preserve">e Commission acts when necessary to enforce the laws prohibiting </w:t>
      </w:r>
      <w:r w:rsidR="00F752D5">
        <w:t xml:space="preserve">LPFM </w:t>
      </w:r>
      <w:r w:rsidRPr="00501230" w:rsidR="006F01C5">
        <w:t xml:space="preserve">stations from airing announcements that promote for-profit advertisers.  </w:t>
      </w:r>
    </w:p>
    <w:p w:rsidR="00DE6232" w:rsidP="005C64C4">
      <w:pPr>
        <w:pStyle w:val="ParaNum"/>
        <w:numPr>
          <w:ilvl w:val="0"/>
          <w:numId w:val="3"/>
        </w:numPr>
        <w:tabs>
          <w:tab w:val="clear" w:pos="900"/>
          <w:tab w:val="num" w:pos="1440"/>
          <w:tab w:val="num" w:pos="1620"/>
        </w:tabs>
        <w:ind w:left="0" w:firstLine="540"/>
        <w:rPr>
          <w:szCs w:val="22"/>
        </w:rPr>
      </w:pPr>
      <w:r>
        <w:t>Although</w:t>
      </w:r>
      <w:r w:rsidRPr="00246787" w:rsidR="006F01C5">
        <w:t xml:space="preserve"> </w:t>
      </w:r>
      <w:r w:rsidR="006F01C5">
        <w:t>an</w:t>
      </w:r>
      <w:r>
        <w:t xml:space="preserve"> LPFM</w:t>
      </w:r>
      <w:r w:rsidR="006F01C5">
        <w:t xml:space="preserve"> licensee </w:t>
      </w:r>
      <w:r w:rsidRPr="00246787" w:rsidR="006F01C5">
        <w:t xml:space="preserve">may </w:t>
      </w:r>
      <w:r w:rsidRPr="009A2BE9" w:rsidR="006F01C5">
        <w:t xml:space="preserve">broadcast underwriting announcements identifying entities that donate </w:t>
      </w:r>
      <w:bookmarkStart w:id="1" w:name="co_tablefootnote_9_1"/>
      <w:bookmarkEnd w:id="1"/>
      <w:r w:rsidRPr="009A2BE9" w:rsidR="006F01C5">
        <w:t>to the station by name, such announcements may not promote an entity’s businesses, products, or services.</w:t>
      </w:r>
      <w:bookmarkStart w:id="2" w:name="co_tablefootnote_11_1"/>
      <w:bookmarkEnd w:id="2"/>
      <w:r>
        <w:rPr>
          <w:rStyle w:val="FootnoteReference"/>
        </w:rPr>
        <w:footnoteReference w:id="7"/>
      </w:r>
      <w:r w:rsidRPr="009A2BE9" w:rsidR="006F01C5">
        <w:t xml:space="preserve">  </w:t>
      </w:r>
      <w:r w:rsidRPr="00B45A72" w:rsidR="006F01C5">
        <w:t>In addition, such announcements may not contain comparative or qualitative descriptions; price information (sales or discounts); calls to action; inducements to buy, sell, rent, or lease; and excessively detailed “menu listings” of services offered by the entity.</w:t>
      </w:r>
      <w:r>
        <w:rPr>
          <w:rStyle w:val="FootnoteReference"/>
        </w:rPr>
        <w:footnoteReference w:id="8"/>
      </w:r>
      <w:r w:rsidRPr="00B45A72" w:rsidR="006F01C5">
        <w:t xml:space="preserve">  </w:t>
      </w:r>
      <w:r w:rsidR="00951FC6">
        <w:t>T</w:t>
      </w:r>
      <w:r w:rsidRPr="003E5021" w:rsidR="006F01C5">
        <w:t>he Commission has not adopted any quantitative guidelines on underwriting announcements</w:t>
      </w:r>
      <w:r w:rsidRPr="00B45A72" w:rsidR="006F01C5">
        <w:t xml:space="preserve">, </w:t>
      </w:r>
      <w:r w:rsidR="00951FC6">
        <w:t xml:space="preserve">but </w:t>
      </w:r>
      <w:r w:rsidR="006F01C5">
        <w:t>it has found</w:t>
      </w:r>
      <w:r w:rsidRPr="00B45A72" w:rsidR="006F01C5">
        <w:t xml:space="preserve"> that the longer the announcement, the more likely </w:t>
      </w:r>
      <w:r w:rsidR="006F01C5">
        <w:t xml:space="preserve">it is to contain </w:t>
      </w:r>
      <w:r w:rsidRPr="00B45A72" w:rsidR="006F01C5">
        <w:t xml:space="preserve">material </w:t>
      </w:r>
      <w:r w:rsidR="006F01C5">
        <w:t>that is inconsistent with their “</w:t>
      </w:r>
      <w:r w:rsidRPr="00B45A72" w:rsidR="006F01C5">
        <w:t>identification only</w:t>
      </w:r>
      <w:r w:rsidR="006F01C5">
        <w:t>”</w:t>
      </w:r>
      <w:r w:rsidRPr="00B45A72" w:rsidR="006F01C5">
        <w:t xml:space="preserve"> purpose.</w:t>
      </w:r>
      <w:r>
        <w:rPr>
          <w:rStyle w:val="FootnoteReference"/>
        </w:rPr>
        <w:footnoteReference w:id="9"/>
      </w:r>
      <w:r w:rsidRPr="00B45A72" w:rsidR="006F01C5">
        <w:t xml:space="preserve">  </w:t>
      </w:r>
      <w:r w:rsidRPr="00DE6232" w:rsidR="006F01C5">
        <w:rPr>
          <w:szCs w:val="22"/>
        </w:rPr>
        <w:t>At the same time, however, the Commission has acknowledged that it is at times difficult to distinguish between language that promotes versus that which merely identifies the underwriter.</w:t>
      </w:r>
      <w:r>
        <w:rPr>
          <w:rStyle w:val="FootnoteReference"/>
          <w:szCs w:val="22"/>
        </w:rPr>
        <w:footnoteReference w:id="10"/>
      </w:r>
      <w:r w:rsidRPr="00DE6232" w:rsidR="006F01C5">
        <w:rPr>
          <w:szCs w:val="22"/>
        </w:rPr>
        <w:t xml:space="preserve">  Consequently, the Commission expects that licensees exercise reasonable “good faith” judgment in this area and affords some latitude to the judgments of licensees who do so.</w:t>
      </w:r>
      <w:r>
        <w:rPr>
          <w:rStyle w:val="FootnoteReference"/>
          <w:szCs w:val="22"/>
        </w:rPr>
        <w:footnoteReference w:id="11"/>
      </w:r>
    </w:p>
    <w:p w:rsidR="002C481B" w:rsidRPr="00DE6232" w:rsidP="005C64C4">
      <w:pPr>
        <w:pStyle w:val="ParaNum"/>
        <w:numPr>
          <w:ilvl w:val="0"/>
          <w:numId w:val="3"/>
        </w:numPr>
        <w:tabs>
          <w:tab w:val="clear" w:pos="900"/>
          <w:tab w:val="num" w:pos="1440"/>
          <w:tab w:val="num" w:pos="1620"/>
        </w:tabs>
        <w:ind w:left="0" w:firstLine="540"/>
        <w:rPr>
          <w:szCs w:val="22"/>
        </w:rPr>
      </w:pPr>
      <w:r w:rsidRPr="00DE6232">
        <w:rPr>
          <w:szCs w:val="22"/>
        </w:rPr>
        <w:t xml:space="preserve">In this case, EB investigated a complaint alleging that </w:t>
      </w:r>
      <w:r w:rsidRPr="00DE6232" w:rsidR="00F629ED">
        <w:rPr>
          <w:szCs w:val="22"/>
        </w:rPr>
        <w:t xml:space="preserve">the </w:t>
      </w:r>
      <w:r w:rsidRPr="00DE6232">
        <w:rPr>
          <w:szCs w:val="22"/>
        </w:rPr>
        <w:t xml:space="preserve">Station broadcast announcements that violated the underwriting </w:t>
      </w:r>
      <w:r w:rsidR="00F752D5">
        <w:rPr>
          <w:szCs w:val="22"/>
        </w:rPr>
        <w:t>laws</w:t>
      </w:r>
      <w:r w:rsidRPr="00DE6232">
        <w:rPr>
          <w:szCs w:val="22"/>
        </w:rPr>
        <w:t xml:space="preserve">.  </w:t>
      </w:r>
      <w:r w:rsidRPr="001C3527" w:rsidR="001C3527">
        <w:rPr>
          <w:szCs w:val="22"/>
        </w:rPr>
        <w:t xml:space="preserve">San Tan </w:t>
      </w:r>
      <w:r w:rsidRPr="00DE6232">
        <w:rPr>
          <w:szCs w:val="22"/>
        </w:rPr>
        <w:t>admits that these broadcasts violated the Commission’s underwriting laws and will pay a civil penalty.</w:t>
      </w:r>
      <w:r w:rsidR="00D96F9D">
        <w:rPr>
          <w:szCs w:val="22"/>
        </w:rPr>
        <w:t xml:space="preserve">  </w:t>
      </w:r>
      <w:r w:rsidRPr="001C3527" w:rsidR="001C3527">
        <w:rPr>
          <w:szCs w:val="22"/>
        </w:rPr>
        <w:t>San Tan</w:t>
      </w:r>
      <w:r w:rsidRPr="00DE6232" w:rsidR="00F629ED">
        <w:rPr>
          <w:szCs w:val="22"/>
        </w:rPr>
        <w:t xml:space="preserve"> </w:t>
      </w:r>
      <w:r w:rsidR="00E87311">
        <w:rPr>
          <w:szCs w:val="22"/>
        </w:rPr>
        <w:t xml:space="preserve">also </w:t>
      </w:r>
      <w:r w:rsidRPr="00DE6232">
        <w:rPr>
          <w:szCs w:val="22"/>
        </w:rPr>
        <w:t xml:space="preserve">will implement a </w:t>
      </w:r>
      <w:r w:rsidRPr="00DE6232" w:rsidR="00F629ED">
        <w:rPr>
          <w:szCs w:val="22"/>
        </w:rPr>
        <w:t>five</w:t>
      </w:r>
      <w:r w:rsidRPr="00DE6232">
        <w:rPr>
          <w:szCs w:val="22"/>
        </w:rPr>
        <w:t xml:space="preserve">-year compliance plan to avoid future violations of the Commission’s underwriting laws.  </w:t>
      </w:r>
    </w:p>
    <w:p w:rsidR="00DE6232" w:rsidRPr="009B6C3F" w:rsidP="00A07513">
      <w:pPr>
        <w:pStyle w:val="ParaNum"/>
        <w:widowControl/>
        <w:numPr>
          <w:ilvl w:val="0"/>
          <w:numId w:val="3"/>
        </w:numPr>
        <w:tabs>
          <w:tab w:val="clear" w:pos="900"/>
          <w:tab w:val="num" w:pos="1440"/>
          <w:tab w:val="num" w:pos="1620"/>
        </w:tabs>
        <w:ind w:left="0" w:firstLine="547"/>
        <w:rPr>
          <w:szCs w:val="22"/>
        </w:rPr>
      </w:pPr>
      <w:r w:rsidRPr="00DE6232">
        <w:rPr>
          <w:b/>
          <w:szCs w:val="22"/>
        </w:rPr>
        <w:t>Consent Decree.</w:t>
      </w:r>
      <w:r w:rsidRPr="00DE6232" w:rsidR="004B73DF">
        <w:rPr>
          <w:b/>
          <w:szCs w:val="22"/>
        </w:rPr>
        <w:t xml:space="preserve">  </w:t>
      </w:r>
      <w:r w:rsidRPr="00DE6232">
        <w:rPr>
          <w:color w:val="000000"/>
          <w:szCs w:val="22"/>
        </w:rPr>
        <w:t xml:space="preserve">As part of this Order we are adopting a Consent Decree between MB, EB, and </w:t>
      </w:r>
      <w:r w:rsidRPr="001C3527" w:rsidR="001C3527">
        <w:rPr>
          <w:color w:val="000000"/>
          <w:szCs w:val="22"/>
        </w:rPr>
        <w:t>San Tan</w:t>
      </w:r>
      <w:r w:rsidRPr="00DE6232">
        <w:rPr>
          <w:color w:val="000000"/>
          <w:szCs w:val="22"/>
        </w:rPr>
        <w:t xml:space="preserve">.  The Consent Decree resolves issues related to </w:t>
      </w:r>
      <w:r w:rsidRPr="001C3527" w:rsidR="001C3527">
        <w:rPr>
          <w:color w:val="000000"/>
          <w:szCs w:val="22"/>
        </w:rPr>
        <w:t>San Tan</w:t>
      </w:r>
      <w:r w:rsidRPr="00DE6232">
        <w:rPr>
          <w:color w:val="000000"/>
          <w:szCs w:val="22"/>
        </w:rPr>
        <w:t xml:space="preserve">’s violation of the law and rules governing underwriting announcements, construction and operation </w:t>
      </w:r>
      <w:r w:rsidRPr="00DE6232" w:rsidR="0041111B">
        <w:rPr>
          <w:color w:val="000000"/>
          <w:szCs w:val="22"/>
        </w:rPr>
        <w:t xml:space="preserve">at variance from its authorization, </w:t>
      </w:r>
      <w:r w:rsidRPr="00DE6232">
        <w:rPr>
          <w:color w:val="000000"/>
          <w:szCs w:val="22"/>
        </w:rPr>
        <w:t xml:space="preserve">false certification </w:t>
      </w:r>
      <w:r w:rsidRPr="00DE6232" w:rsidR="0041111B">
        <w:rPr>
          <w:color w:val="000000"/>
          <w:szCs w:val="22"/>
        </w:rPr>
        <w:t xml:space="preserve">of construction </w:t>
      </w:r>
      <w:r w:rsidRPr="00DE6232">
        <w:rPr>
          <w:color w:val="000000"/>
          <w:szCs w:val="22"/>
        </w:rPr>
        <w:t xml:space="preserve">as authorized, and failure to </w:t>
      </w:r>
      <w:r w:rsidRPr="00DE6232" w:rsidR="000647EF">
        <w:rPr>
          <w:color w:val="000000"/>
          <w:szCs w:val="22"/>
        </w:rPr>
        <w:t xml:space="preserve">timely </w:t>
      </w:r>
      <w:r w:rsidRPr="00DE6232">
        <w:rPr>
          <w:color w:val="000000"/>
          <w:szCs w:val="22"/>
        </w:rPr>
        <w:t>file a</w:t>
      </w:r>
      <w:r w:rsidR="00951FC6">
        <w:rPr>
          <w:color w:val="000000"/>
          <w:szCs w:val="22"/>
        </w:rPr>
        <w:t>n</w:t>
      </w:r>
      <w:r w:rsidRPr="00DE6232">
        <w:rPr>
          <w:color w:val="000000"/>
          <w:szCs w:val="22"/>
        </w:rPr>
        <w:t xml:space="preserve"> </w:t>
      </w:r>
      <w:r w:rsidR="000647EF">
        <w:rPr>
          <w:color w:val="000000"/>
          <w:szCs w:val="22"/>
        </w:rPr>
        <w:t xml:space="preserve">FCC </w:t>
      </w:r>
      <w:r w:rsidRPr="00DE6232" w:rsidR="0041111B">
        <w:rPr>
          <w:color w:val="000000"/>
          <w:szCs w:val="22"/>
        </w:rPr>
        <w:t>F</w:t>
      </w:r>
      <w:r w:rsidRPr="00DE6232">
        <w:rPr>
          <w:color w:val="000000"/>
          <w:szCs w:val="22"/>
        </w:rPr>
        <w:t xml:space="preserve">orm </w:t>
      </w:r>
      <w:r w:rsidRPr="00DE6232" w:rsidR="0041111B">
        <w:rPr>
          <w:color w:val="000000"/>
          <w:szCs w:val="22"/>
        </w:rPr>
        <w:t xml:space="preserve">316 </w:t>
      </w:r>
      <w:r w:rsidRPr="00DE6232">
        <w:rPr>
          <w:color w:val="000000"/>
          <w:szCs w:val="22"/>
        </w:rPr>
        <w:t xml:space="preserve">for Commission consent to a transfer of control.  The Consent Decree stipulates that </w:t>
      </w:r>
      <w:r w:rsidRPr="00363CDB" w:rsidR="00363CDB">
        <w:rPr>
          <w:color w:val="000000"/>
          <w:szCs w:val="22"/>
        </w:rPr>
        <w:t xml:space="preserve">San Tan </w:t>
      </w:r>
      <w:r w:rsidRPr="00DE6232" w:rsidR="004B73DF">
        <w:rPr>
          <w:color w:val="000000"/>
          <w:szCs w:val="22"/>
        </w:rPr>
        <w:t xml:space="preserve">violated </w:t>
      </w:r>
      <w:r w:rsidRPr="00DE6232" w:rsidR="00AA3CB5">
        <w:rPr>
          <w:color w:val="000000"/>
          <w:szCs w:val="22"/>
        </w:rPr>
        <w:t>s</w:t>
      </w:r>
      <w:r w:rsidRPr="00DE6232" w:rsidR="004B73DF">
        <w:rPr>
          <w:color w:val="000000"/>
          <w:szCs w:val="22"/>
        </w:rPr>
        <w:t>ection</w:t>
      </w:r>
      <w:r w:rsidR="004C0B92">
        <w:rPr>
          <w:color w:val="000000"/>
          <w:szCs w:val="22"/>
        </w:rPr>
        <w:t>s</w:t>
      </w:r>
      <w:r w:rsidRPr="00DE6232" w:rsidR="004B73DF">
        <w:rPr>
          <w:color w:val="000000"/>
          <w:szCs w:val="22"/>
        </w:rPr>
        <w:t xml:space="preserve"> 301 </w:t>
      </w:r>
      <w:r w:rsidR="004C0B92">
        <w:rPr>
          <w:color w:val="000000"/>
          <w:szCs w:val="22"/>
        </w:rPr>
        <w:t xml:space="preserve">and 399B </w:t>
      </w:r>
      <w:r w:rsidRPr="00DE6232" w:rsidR="004B73DF">
        <w:rPr>
          <w:color w:val="000000"/>
          <w:szCs w:val="22"/>
        </w:rPr>
        <w:t xml:space="preserve">of the Act and </w:t>
      </w:r>
      <w:r w:rsidRPr="00DE6232" w:rsidR="00AA3CB5">
        <w:rPr>
          <w:color w:val="000000"/>
          <w:szCs w:val="22"/>
        </w:rPr>
        <w:t>s</w:t>
      </w:r>
      <w:r w:rsidRPr="00DE6232" w:rsidR="004B73DF">
        <w:rPr>
          <w:color w:val="000000"/>
          <w:szCs w:val="22"/>
        </w:rPr>
        <w:t xml:space="preserve">ections 1.117, </w:t>
      </w:r>
      <w:r w:rsidR="005515D0">
        <w:rPr>
          <w:color w:val="000000"/>
          <w:szCs w:val="22"/>
        </w:rPr>
        <w:t xml:space="preserve">73.801, </w:t>
      </w:r>
      <w:r w:rsidRPr="00DE6232" w:rsidR="00555D65">
        <w:rPr>
          <w:color w:val="000000"/>
          <w:szCs w:val="22"/>
        </w:rPr>
        <w:t xml:space="preserve">73.503(d), </w:t>
      </w:r>
      <w:r w:rsidRPr="00DE6232" w:rsidR="004B73DF">
        <w:rPr>
          <w:color w:val="000000"/>
          <w:szCs w:val="22"/>
        </w:rPr>
        <w:t xml:space="preserve">73.865(e), </w:t>
      </w:r>
      <w:r w:rsidRPr="00DE6232" w:rsidR="00555D65">
        <w:rPr>
          <w:color w:val="000000"/>
          <w:szCs w:val="22"/>
        </w:rPr>
        <w:t xml:space="preserve">and </w:t>
      </w:r>
      <w:r w:rsidRPr="00DE6232" w:rsidR="004B73DF">
        <w:rPr>
          <w:color w:val="000000"/>
          <w:szCs w:val="22"/>
        </w:rPr>
        <w:t>73.1350</w:t>
      </w:r>
      <w:r w:rsidRPr="00DE6232" w:rsidR="00555D65">
        <w:rPr>
          <w:color w:val="000000"/>
          <w:szCs w:val="22"/>
        </w:rPr>
        <w:t xml:space="preserve"> </w:t>
      </w:r>
      <w:r w:rsidRPr="00DE6232" w:rsidR="004B73DF">
        <w:rPr>
          <w:color w:val="000000"/>
          <w:szCs w:val="22"/>
        </w:rPr>
        <w:t xml:space="preserve">of the Rules.  </w:t>
      </w:r>
      <w:r w:rsidRPr="007F6A02" w:rsidR="00994E19">
        <w:t xml:space="preserve">San Tan </w:t>
      </w:r>
      <w:r w:rsidRPr="00D521E9" w:rsidR="00994E19">
        <w:t>submitted</w:t>
      </w:r>
      <w:r w:rsidRPr="007F6A02" w:rsidR="00994E19">
        <w:t xml:space="preserve"> financial </w:t>
      </w:r>
      <w:r w:rsidRPr="00D521E9" w:rsidR="00994E19">
        <w:t xml:space="preserve">documentation to </w:t>
      </w:r>
      <w:r w:rsidR="00994E19">
        <w:t>MB and EB</w:t>
      </w:r>
      <w:r w:rsidRPr="00D521E9" w:rsidR="00994E19">
        <w:t>, including profit/loss statements for 2016-2018, to support a reduction</w:t>
      </w:r>
      <w:r w:rsidRPr="007F6A02" w:rsidR="00994E19">
        <w:t xml:space="preserve"> of the </w:t>
      </w:r>
      <w:r w:rsidR="00994E19">
        <w:t>Consent Decree’s</w:t>
      </w:r>
      <w:r w:rsidRPr="007F6A02" w:rsidR="00994E19">
        <w:t xml:space="preserve"> civil penalty </w:t>
      </w:r>
      <w:r w:rsidRPr="00D521E9" w:rsidR="00994E19">
        <w:t xml:space="preserve">based upon </w:t>
      </w:r>
      <w:r w:rsidR="00994E19">
        <w:t>San Tan’s</w:t>
      </w:r>
      <w:r w:rsidRPr="00D521E9" w:rsidR="00994E19">
        <w:t xml:space="preserve"> inability to pay.</w:t>
      </w:r>
      <w:r w:rsidR="00FE091D">
        <w:t xml:space="preserve"> </w:t>
      </w:r>
      <w:r w:rsidR="00FE091D">
        <w:rPr>
          <w:rStyle w:val="CommentReference"/>
        </w:rPr>
        <w:t xml:space="preserve"> </w:t>
      </w:r>
      <w:r w:rsidRPr="00E05C2F" w:rsidR="00D96F9D">
        <w:t>The</w:t>
      </w:r>
      <w:r w:rsidRPr="007F6A02" w:rsidR="00D96F9D">
        <w:t xml:space="preserve"> $1,500</w:t>
      </w:r>
      <w:r w:rsidRPr="00E05C2F" w:rsidR="00D96F9D">
        <w:t xml:space="preserve"> civil penalty </w:t>
      </w:r>
      <w:r w:rsidRPr="00D521E9" w:rsidR="00ED17DE">
        <w:rPr>
          <w:szCs w:val="22"/>
        </w:rPr>
        <w:t>set forth in th</w:t>
      </w:r>
      <w:r w:rsidR="00ED17DE">
        <w:rPr>
          <w:szCs w:val="22"/>
        </w:rPr>
        <w:t>e</w:t>
      </w:r>
      <w:r w:rsidRPr="00D521E9" w:rsidR="00ED17DE">
        <w:rPr>
          <w:szCs w:val="22"/>
        </w:rPr>
        <w:t xml:space="preserve"> Consent Decree reflects consideration of </w:t>
      </w:r>
      <w:r w:rsidR="00ED17DE">
        <w:rPr>
          <w:szCs w:val="22"/>
        </w:rPr>
        <w:t xml:space="preserve">San Tan’s </w:t>
      </w:r>
      <w:r w:rsidRPr="00D521E9" w:rsidR="00ED17DE">
        <w:rPr>
          <w:szCs w:val="22"/>
        </w:rPr>
        <w:t>documented inability to pay.</w:t>
      </w:r>
      <w:r w:rsidRPr="007F6A02" w:rsidR="00ED17DE">
        <w:t xml:space="preserve">  </w:t>
      </w:r>
      <w:r w:rsidR="00107420">
        <w:rPr>
          <w:color w:val="000000"/>
          <w:szCs w:val="22"/>
        </w:rPr>
        <w:t xml:space="preserve">In addition to paying the </w:t>
      </w:r>
      <w:r w:rsidRPr="00DE6232" w:rsidR="004B73DF">
        <w:rPr>
          <w:color w:val="000000"/>
          <w:szCs w:val="22"/>
        </w:rPr>
        <w:t>civil penalty</w:t>
      </w:r>
      <w:r w:rsidR="00107420">
        <w:rPr>
          <w:color w:val="000000"/>
          <w:szCs w:val="22"/>
        </w:rPr>
        <w:t>, San Tan</w:t>
      </w:r>
      <w:r w:rsidRPr="00DE6232" w:rsidR="004B73DF">
        <w:rPr>
          <w:color w:val="000000"/>
          <w:szCs w:val="22"/>
        </w:rPr>
        <w:t xml:space="preserve"> will implement a compliance plan to avoid future violations.  </w:t>
      </w:r>
    </w:p>
    <w:p w:rsidR="00DE6232" w:rsidP="005C64C4">
      <w:pPr>
        <w:pStyle w:val="ParaNum"/>
        <w:numPr>
          <w:ilvl w:val="0"/>
          <w:numId w:val="3"/>
        </w:numPr>
        <w:tabs>
          <w:tab w:val="clear" w:pos="900"/>
          <w:tab w:val="num" w:pos="1440"/>
          <w:tab w:val="num" w:pos="1620"/>
        </w:tabs>
        <w:ind w:left="0" w:firstLine="540"/>
        <w:rPr>
          <w:szCs w:val="22"/>
        </w:rPr>
      </w:pPr>
      <w:r w:rsidRPr="00DE6232">
        <w:rPr>
          <w:color w:val="000000"/>
          <w:szCs w:val="22"/>
        </w:rPr>
        <w:t xml:space="preserve">We conclude that nothing in the record before us creates a substantial or material question of fact whether </w:t>
      </w:r>
      <w:r w:rsidRPr="00363CDB" w:rsidR="00363CDB">
        <w:rPr>
          <w:color w:val="000000"/>
          <w:szCs w:val="22"/>
        </w:rPr>
        <w:t xml:space="preserve">San Tan </w:t>
      </w:r>
      <w:r w:rsidRPr="00DE6232">
        <w:rPr>
          <w:color w:val="000000"/>
          <w:szCs w:val="22"/>
        </w:rPr>
        <w:t xml:space="preserve">possesses the basic qualifications to be a Commission licensee. </w:t>
      </w:r>
      <w:r w:rsidRPr="00DE6232" w:rsidR="0023315F">
        <w:rPr>
          <w:color w:val="000000"/>
          <w:szCs w:val="22"/>
        </w:rPr>
        <w:t xml:space="preserve"> </w:t>
      </w:r>
      <w:r w:rsidRPr="00DE6232">
        <w:rPr>
          <w:color w:val="000000"/>
          <w:szCs w:val="22"/>
        </w:rPr>
        <w:t>After reviewing the terms of the Consent Decree</w:t>
      </w:r>
      <w:r w:rsidRPr="00DE6232" w:rsidR="0056605A">
        <w:rPr>
          <w:color w:val="000000"/>
          <w:szCs w:val="22"/>
        </w:rPr>
        <w:t xml:space="preserve"> and evaluating the facts before us</w:t>
      </w:r>
      <w:r w:rsidRPr="00DE6232">
        <w:rPr>
          <w:color w:val="000000"/>
          <w:szCs w:val="22"/>
        </w:rPr>
        <w:t>, we find that the public interest would be served by</w:t>
      </w:r>
      <w:r w:rsidRPr="00DE6232" w:rsidR="0005436A">
        <w:rPr>
          <w:color w:val="000000"/>
          <w:szCs w:val="22"/>
        </w:rPr>
        <w:t xml:space="preserve"> adopting the Consent Decree</w:t>
      </w:r>
      <w:r w:rsidRPr="00DE6232">
        <w:rPr>
          <w:color w:val="000000"/>
          <w:szCs w:val="22"/>
        </w:rPr>
        <w:t xml:space="preserve"> and terminating</w:t>
      </w:r>
      <w:r w:rsidR="00DD037B">
        <w:rPr>
          <w:color w:val="000000"/>
          <w:szCs w:val="22"/>
        </w:rPr>
        <w:t xml:space="preserve"> </w:t>
      </w:r>
      <w:r w:rsidRPr="00DE6232" w:rsidR="00803B7D">
        <w:rPr>
          <w:color w:val="000000"/>
          <w:szCs w:val="22"/>
        </w:rPr>
        <w:t>MB</w:t>
      </w:r>
      <w:r w:rsidR="00063063">
        <w:rPr>
          <w:color w:val="000000"/>
          <w:szCs w:val="22"/>
        </w:rPr>
        <w:t>’s</w:t>
      </w:r>
      <w:r w:rsidR="00A631EC">
        <w:rPr>
          <w:color w:val="000000"/>
          <w:szCs w:val="22"/>
        </w:rPr>
        <w:t xml:space="preserve"> and EB</w:t>
      </w:r>
      <w:r w:rsidR="00727BA2">
        <w:rPr>
          <w:color w:val="000000"/>
          <w:szCs w:val="22"/>
        </w:rPr>
        <w:t>’s</w:t>
      </w:r>
      <w:r w:rsidR="00A631EC">
        <w:rPr>
          <w:color w:val="000000"/>
          <w:szCs w:val="22"/>
        </w:rPr>
        <w:t xml:space="preserve"> </w:t>
      </w:r>
      <w:r w:rsidR="00063063">
        <w:rPr>
          <w:color w:val="000000"/>
          <w:szCs w:val="22"/>
        </w:rPr>
        <w:t xml:space="preserve">referenced </w:t>
      </w:r>
      <w:r w:rsidR="00A631EC">
        <w:rPr>
          <w:color w:val="000000"/>
          <w:szCs w:val="22"/>
        </w:rPr>
        <w:t>investigations.</w:t>
      </w:r>
      <w:r w:rsidRPr="00DE6232" w:rsidR="00280C2B">
        <w:rPr>
          <w:color w:val="000000"/>
          <w:szCs w:val="22"/>
        </w:rPr>
        <w:t xml:space="preserve"> </w:t>
      </w:r>
    </w:p>
    <w:p w:rsidR="00D50C49" w:rsidRPr="00DE6232" w:rsidP="005C64C4">
      <w:pPr>
        <w:pStyle w:val="ParaNum"/>
        <w:numPr>
          <w:ilvl w:val="0"/>
          <w:numId w:val="3"/>
        </w:numPr>
        <w:tabs>
          <w:tab w:val="clear" w:pos="900"/>
          <w:tab w:val="num" w:pos="1440"/>
          <w:tab w:val="num" w:pos="1620"/>
        </w:tabs>
        <w:ind w:left="0" w:firstLine="540"/>
        <w:rPr>
          <w:szCs w:val="22"/>
        </w:rPr>
      </w:pPr>
      <w:r w:rsidRPr="00DE6232">
        <w:rPr>
          <w:szCs w:val="22"/>
        </w:rPr>
        <w:t xml:space="preserve">In the absence of material new evidence relating to this matter, we do not set for hearing the question of </w:t>
      </w:r>
      <w:r w:rsidR="00C454C5">
        <w:rPr>
          <w:szCs w:val="22"/>
        </w:rPr>
        <w:t>S</w:t>
      </w:r>
      <w:r w:rsidR="00A03BD3">
        <w:rPr>
          <w:szCs w:val="22"/>
        </w:rPr>
        <w:t>an Tan</w:t>
      </w:r>
      <w:r w:rsidRPr="00DE6232">
        <w:rPr>
          <w:szCs w:val="22"/>
        </w:rPr>
        <w:t>’s basic qualifications to hold or obtain any Commission license or authorization.</w:t>
      </w:r>
      <w:r>
        <w:rPr>
          <w:rStyle w:val="FootnoteReference"/>
          <w:szCs w:val="22"/>
        </w:rPr>
        <w:footnoteReference w:id="12"/>
      </w:r>
    </w:p>
    <w:p w:rsidR="00803B7D" w:rsidP="00803B7D">
      <w:pPr>
        <w:pStyle w:val="Heading1"/>
      </w:pPr>
      <w:r>
        <w:t>ConCLUSION/ACTIONS</w:t>
      </w:r>
    </w:p>
    <w:p w:rsidR="00DE6232" w:rsidRPr="00B26160" w:rsidP="005C64C4">
      <w:pPr>
        <w:pStyle w:val="ParaNum"/>
        <w:numPr>
          <w:ilvl w:val="0"/>
          <w:numId w:val="3"/>
        </w:numPr>
        <w:tabs>
          <w:tab w:val="clear" w:pos="900"/>
          <w:tab w:val="num" w:pos="1440"/>
        </w:tabs>
        <w:ind w:left="0" w:firstLine="540"/>
      </w:pPr>
      <w:r w:rsidRPr="009B6C3F">
        <w:rPr>
          <w:color w:val="000000"/>
          <w:szCs w:val="22"/>
        </w:rPr>
        <w:t>Accordingly,</w:t>
      </w:r>
      <w:r>
        <w:rPr>
          <w:b/>
          <w:color w:val="000000"/>
          <w:szCs w:val="22"/>
        </w:rPr>
        <w:t xml:space="preserve"> </w:t>
      </w:r>
      <w:r w:rsidRPr="00EE20A4">
        <w:rPr>
          <w:b/>
          <w:color w:val="000000"/>
          <w:szCs w:val="22"/>
        </w:rPr>
        <w:t>IT IS ORDERED</w:t>
      </w:r>
      <w:r w:rsidRPr="00EE20A4">
        <w:rPr>
          <w:color w:val="000000"/>
          <w:szCs w:val="22"/>
        </w:rPr>
        <w:t xml:space="preserve"> that, pursuant to section 4(i) of the Act</w:t>
      </w:r>
      <w:r>
        <w:rPr>
          <w:color w:val="000000"/>
          <w:szCs w:val="22"/>
          <w:vertAlign w:val="superscript"/>
        </w:rPr>
        <w:footnoteReference w:id="13"/>
      </w:r>
      <w:r w:rsidRPr="00EE20A4">
        <w:rPr>
          <w:color w:val="000000"/>
          <w:szCs w:val="22"/>
        </w:rPr>
        <w:t xml:space="preserve"> and the authority delegated by sections 0.61, 0.111, 0.283, and 0.311 of the Rules,</w:t>
      </w:r>
      <w:r>
        <w:rPr>
          <w:color w:val="000000"/>
          <w:szCs w:val="22"/>
          <w:vertAlign w:val="superscript"/>
        </w:rPr>
        <w:footnoteReference w:id="14"/>
      </w:r>
      <w:r w:rsidRPr="00EE20A4">
        <w:rPr>
          <w:color w:val="000000"/>
          <w:szCs w:val="22"/>
        </w:rPr>
        <w:t xml:space="preserve"> the attached Consent Decree </w:t>
      </w:r>
      <w:r w:rsidRPr="00EE20A4">
        <w:rPr>
          <w:b/>
          <w:color w:val="000000"/>
          <w:szCs w:val="22"/>
        </w:rPr>
        <w:t xml:space="preserve">IS </w:t>
      </w:r>
      <w:r w:rsidRPr="00EE20A4">
        <w:rPr>
          <w:b/>
          <w:color w:val="000000"/>
          <w:szCs w:val="22"/>
        </w:rPr>
        <w:t>ADOPTED</w:t>
      </w:r>
      <w:r w:rsidRPr="00EE20A4">
        <w:rPr>
          <w:b/>
          <w:color w:val="000000"/>
          <w:szCs w:val="22"/>
        </w:rPr>
        <w:t xml:space="preserve"> </w:t>
      </w:r>
      <w:r w:rsidRPr="00EE20A4">
        <w:rPr>
          <w:color w:val="000000"/>
          <w:szCs w:val="22"/>
        </w:rPr>
        <w:t>and its terms incorporated by reference.</w:t>
      </w:r>
    </w:p>
    <w:p w:rsidR="00DE6232" w:rsidP="005C64C4">
      <w:pPr>
        <w:pStyle w:val="ParaNum"/>
        <w:numPr>
          <w:ilvl w:val="0"/>
          <w:numId w:val="3"/>
        </w:numPr>
        <w:tabs>
          <w:tab w:val="clear" w:pos="900"/>
          <w:tab w:val="num" w:pos="1440"/>
        </w:tabs>
        <w:ind w:left="0" w:firstLine="540"/>
      </w:pPr>
      <w:bookmarkStart w:id="3" w:name="co_tablefootnote_48_1"/>
      <w:bookmarkStart w:id="4" w:name="co_tablefootnote_49_1"/>
      <w:bookmarkEnd w:id="3"/>
      <w:bookmarkEnd w:id="4"/>
      <w:r w:rsidRPr="009B6C3F">
        <w:rPr>
          <w:b/>
          <w:color w:val="000000"/>
          <w:szCs w:val="22"/>
        </w:rPr>
        <w:t xml:space="preserve">IT IS FURTHER ORDERED </w:t>
      </w:r>
      <w:r w:rsidRPr="006D0C35">
        <w:rPr>
          <w:color w:val="000000"/>
          <w:szCs w:val="22"/>
        </w:rPr>
        <w:t>that the</w:t>
      </w:r>
      <w:r w:rsidRPr="006D0C35" w:rsidR="005401F9">
        <w:rPr>
          <w:color w:val="000000"/>
          <w:szCs w:val="22"/>
        </w:rPr>
        <w:t xml:space="preserve"> above-captioned</w:t>
      </w:r>
      <w:r w:rsidRPr="006D0C35">
        <w:rPr>
          <w:color w:val="000000"/>
          <w:szCs w:val="22"/>
        </w:rPr>
        <w:t xml:space="preserve"> </w:t>
      </w:r>
      <w:r w:rsidRPr="006D0C35" w:rsidR="005401F9">
        <w:rPr>
          <w:color w:val="000000"/>
          <w:szCs w:val="22"/>
        </w:rPr>
        <w:t>matter</w:t>
      </w:r>
      <w:r w:rsidRPr="006D0C35">
        <w:rPr>
          <w:color w:val="000000"/>
          <w:szCs w:val="22"/>
        </w:rPr>
        <w:t xml:space="preserve"> b</w:t>
      </w:r>
      <w:r w:rsidRPr="006D0C35" w:rsidR="005401F9">
        <w:rPr>
          <w:color w:val="000000"/>
          <w:szCs w:val="22"/>
        </w:rPr>
        <w:t>efore</w:t>
      </w:r>
      <w:r w:rsidRPr="006D0C35">
        <w:rPr>
          <w:color w:val="000000"/>
          <w:szCs w:val="22"/>
        </w:rPr>
        <w:t xml:space="preserve"> the </w:t>
      </w:r>
      <w:r w:rsidR="00E119D7">
        <w:rPr>
          <w:color w:val="000000"/>
          <w:szCs w:val="22"/>
        </w:rPr>
        <w:t xml:space="preserve">Enforcement Bureau </w:t>
      </w:r>
      <w:r w:rsidR="00063063">
        <w:rPr>
          <w:b/>
          <w:color w:val="000000"/>
          <w:szCs w:val="22"/>
        </w:rPr>
        <w:t>IS</w:t>
      </w:r>
      <w:r w:rsidRPr="009B6C3F">
        <w:rPr>
          <w:b/>
          <w:color w:val="000000"/>
          <w:szCs w:val="22"/>
        </w:rPr>
        <w:t xml:space="preserve"> TERMINATED</w:t>
      </w:r>
      <w:r w:rsidRPr="006D0C35">
        <w:rPr>
          <w:color w:val="000000"/>
          <w:szCs w:val="22"/>
        </w:rPr>
        <w:t>.</w:t>
      </w:r>
    </w:p>
    <w:p w:rsidR="00DE6232" w:rsidRPr="00B26160" w:rsidP="005C64C4">
      <w:pPr>
        <w:pStyle w:val="ParaNum"/>
        <w:numPr>
          <w:ilvl w:val="0"/>
          <w:numId w:val="3"/>
        </w:numPr>
        <w:tabs>
          <w:tab w:val="clear" w:pos="900"/>
          <w:tab w:val="num" w:pos="1440"/>
        </w:tabs>
        <w:ind w:left="0" w:firstLine="540"/>
      </w:pPr>
      <w:r w:rsidRPr="00DE6232">
        <w:rPr>
          <w:b/>
        </w:rPr>
        <w:t xml:space="preserve">IT IS FURTHER ORDERED </w:t>
      </w:r>
      <w:r w:rsidRPr="00D84548">
        <w:t>that any third-party complaints and allegations against</w:t>
      </w:r>
      <w:r>
        <w:t xml:space="preserve"> </w:t>
      </w:r>
      <w:r w:rsidRPr="00620615" w:rsidR="00620615">
        <w:t xml:space="preserve">San Tan </w:t>
      </w:r>
      <w:r w:rsidRPr="00D84548">
        <w:t>and/or its station</w:t>
      </w:r>
      <w:r w:rsidR="00E57674">
        <w:t>(</w:t>
      </w:r>
      <w:r w:rsidRPr="00D84548">
        <w:t>s</w:t>
      </w:r>
      <w:r w:rsidR="00E57674">
        <w:t>)</w:t>
      </w:r>
      <w:r w:rsidRPr="00D84548">
        <w:t xml:space="preserve"> related to the above-captioned investigation that are pending before </w:t>
      </w:r>
      <w:r w:rsidR="004E6D82">
        <w:t>the Enforcement Bureau</w:t>
      </w:r>
      <w:r w:rsidRPr="00D84548">
        <w:t xml:space="preserve"> as of the date of this Consent Decree </w:t>
      </w:r>
      <w:r w:rsidRPr="00DE6232">
        <w:rPr>
          <w:b/>
        </w:rPr>
        <w:t>ARE DISMISSED</w:t>
      </w:r>
      <w:r>
        <w:t>.</w:t>
      </w:r>
    </w:p>
    <w:p w:rsidR="00DE6232" w:rsidP="005C64C4">
      <w:pPr>
        <w:pStyle w:val="ParaNum"/>
        <w:numPr>
          <w:ilvl w:val="0"/>
          <w:numId w:val="3"/>
        </w:numPr>
        <w:tabs>
          <w:tab w:val="clear" w:pos="900"/>
          <w:tab w:val="num" w:pos="1440"/>
        </w:tabs>
        <w:ind w:left="0" w:firstLine="540"/>
        <w:rPr>
          <w:szCs w:val="22"/>
        </w:rPr>
      </w:pPr>
      <w:r w:rsidRPr="009B6C3F">
        <w:rPr>
          <w:b/>
          <w:color w:val="000000"/>
          <w:szCs w:val="22"/>
        </w:rPr>
        <w:t>IT IS FURTHER ORDERED</w:t>
      </w:r>
      <w:r w:rsidRPr="00DE6232">
        <w:rPr>
          <w:color w:val="000000"/>
          <w:szCs w:val="22"/>
        </w:rPr>
        <w:t xml:space="preserve"> that </w:t>
      </w:r>
      <w:r w:rsidRPr="00DE6232" w:rsidR="007C15FA">
        <w:rPr>
          <w:color w:val="000000"/>
          <w:szCs w:val="22"/>
        </w:rPr>
        <w:t xml:space="preserve">a </w:t>
      </w:r>
      <w:r w:rsidRPr="00DE6232">
        <w:rPr>
          <w:color w:val="000000"/>
          <w:szCs w:val="22"/>
        </w:rPr>
        <w:t>cop</w:t>
      </w:r>
      <w:r w:rsidRPr="00DE6232" w:rsidR="007C15FA">
        <w:rPr>
          <w:color w:val="000000"/>
          <w:szCs w:val="22"/>
        </w:rPr>
        <w:t>y</w:t>
      </w:r>
      <w:r w:rsidRPr="00DE6232">
        <w:rPr>
          <w:color w:val="000000"/>
          <w:szCs w:val="22"/>
        </w:rPr>
        <w:t xml:space="preserve"> of this</w:t>
      </w:r>
      <w:r w:rsidRPr="00DE6232" w:rsidR="00B26160">
        <w:rPr>
          <w:color w:val="000000"/>
          <w:szCs w:val="22"/>
        </w:rPr>
        <w:t xml:space="preserve"> Order</w:t>
      </w:r>
      <w:r w:rsidRPr="00DE6232" w:rsidR="00495143">
        <w:rPr>
          <w:color w:val="000000"/>
          <w:szCs w:val="22"/>
        </w:rPr>
        <w:t xml:space="preserve"> and Consent Decree</w:t>
      </w:r>
      <w:r w:rsidRPr="00DE6232">
        <w:rPr>
          <w:color w:val="000000"/>
          <w:szCs w:val="22"/>
        </w:rPr>
        <w:t xml:space="preserve"> shall be sent by </w:t>
      </w:r>
      <w:r w:rsidRPr="00DE6232" w:rsidR="00495143">
        <w:rPr>
          <w:color w:val="000000"/>
          <w:szCs w:val="22"/>
        </w:rPr>
        <w:t>f</w:t>
      </w:r>
      <w:r w:rsidRPr="00DE6232">
        <w:rPr>
          <w:color w:val="000000"/>
          <w:szCs w:val="22"/>
        </w:rPr>
        <w:t xml:space="preserve">irst </w:t>
      </w:r>
      <w:r w:rsidRPr="00DE6232" w:rsidR="00495143">
        <w:rPr>
          <w:color w:val="000000"/>
          <w:szCs w:val="22"/>
        </w:rPr>
        <w:t>c</w:t>
      </w:r>
      <w:r w:rsidRPr="00DE6232">
        <w:rPr>
          <w:color w:val="000000"/>
          <w:szCs w:val="22"/>
        </w:rPr>
        <w:t xml:space="preserve">lass </w:t>
      </w:r>
      <w:r w:rsidRPr="00DE6232" w:rsidR="00495143">
        <w:rPr>
          <w:color w:val="000000"/>
          <w:szCs w:val="22"/>
        </w:rPr>
        <w:t xml:space="preserve">mail </w:t>
      </w:r>
      <w:r w:rsidRPr="00DE6232">
        <w:rPr>
          <w:color w:val="000000"/>
          <w:szCs w:val="22"/>
        </w:rPr>
        <w:t xml:space="preserve">and </w:t>
      </w:r>
      <w:r w:rsidRPr="00DE6232" w:rsidR="00495143">
        <w:rPr>
          <w:color w:val="000000"/>
          <w:szCs w:val="22"/>
        </w:rPr>
        <w:t>c</w:t>
      </w:r>
      <w:r w:rsidRPr="00DE6232">
        <w:rPr>
          <w:color w:val="000000"/>
          <w:szCs w:val="22"/>
        </w:rPr>
        <w:t xml:space="preserve">ertified </w:t>
      </w:r>
      <w:r w:rsidRPr="00DE6232" w:rsidR="00495143">
        <w:rPr>
          <w:color w:val="000000"/>
          <w:szCs w:val="22"/>
        </w:rPr>
        <w:t>m</w:t>
      </w:r>
      <w:r w:rsidRPr="00DE6232">
        <w:rPr>
          <w:color w:val="000000"/>
          <w:szCs w:val="22"/>
        </w:rPr>
        <w:t xml:space="preserve">ail, </w:t>
      </w:r>
      <w:r w:rsidRPr="00DE6232" w:rsidR="00495143">
        <w:rPr>
          <w:color w:val="000000"/>
          <w:szCs w:val="22"/>
        </w:rPr>
        <w:t>r</w:t>
      </w:r>
      <w:r w:rsidRPr="00DE6232">
        <w:rPr>
          <w:color w:val="000000"/>
          <w:szCs w:val="22"/>
        </w:rPr>
        <w:t xml:space="preserve">eturn </w:t>
      </w:r>
      <w:r w:rsidRPr="00DE6232" w:rsidR="00495143">
        <w:rPr>
          <w:color w:val="000000"/>
          <w:szCs w:val="22"/>
        </w:rPr>
        <w:t>r</w:t>
      </w:r>
      <w:r w:rsidRPr="00DE6232">
        <w:rPr>
          <w:color w:val="000000"/>
          <w:szCs w:val="22"/>
        </w:rPr>
        <w:t xml:space="preserve">eceipt </w:t>
      </w:r>
      <w:r w:rsidRPr="00DE6232" w:rsidR="00495143">
        <w:rPr>
          <w:color w:val="000000"/>
          <w:szCs w:val="22"/>
        </w:rPr>
        <w:t>r</w:t>
      </w:r>
      <w:r w:rsidRPr="00DE6232">
        <w:rPr>
          <w:color w:val="000000"/>
          <w:szCs w:val="22"/>
        </w:rPr>
        <w:t xml:space="preserve">equested, </w:t>
      </w:r>
      <w:r w:rsidRPr="00DE6232" w:rsidR="00DC4F36">
        <w:rPr>
          <w:szCs w:val="22"/>
        </w:rPr>
        <w:t xml:space="preserve">to Ryan Greig, President, </w:t>
      </w:r>
      <w:r w:rsidR="00C454C5">
        <w:rPr>
          <w:szCs w:val="22"/>
        </w:rPr>
        <w:t>San Tan</w:t>
      </w:r>
      <w:r w:rsidRPr="00DE6232" w:rsidR="00DC4F36">
        <w:rPr>
          <w:szCs w:val="22"/>
        </w:rPr>
        <w:t xml:space="preserve"> Educational Media, 550 W. Baseline Rd., </w:t>
      </w:r>
      <w:r w:rsidRPr="00DE6232" w:rsidR="0086466D">
        <w:rPr>
          <w:szCs w:val="22"/>
        </w:rPr>
        <w:t xml:space="preserve">Suite 102-116, </w:t>
      </w:r>
      <w:r w:rsidRPr="00DE6232" w:rsidR="00DC4F36">
        <w:rPr>
          <w:szCs w:val="22"/>
        </w:rPr>
        <w:t>Mesa, A</w:t>
      </w:r>
      <w:r w:rsidR="00B80F74">
        <w:rPr>
          <w:szCs w:val="22"/>
        </w:rPr>
        <w:t>Z</w:t>
      </w:r>
      <w:r w:rsidRPr="00DE6232" w:rsidR="00DC4F36">
        <w:rPr>
          <w:szCs w:val="22"/>
        </w:rPr>
        <w:t xml:space="preserve"> 85210</w:t>
      </w:r>
      <w:r w:rsidRPr="00DE6232">
        <w:rPr>
          <w:color w:val="000000"/>
          <w:szCs w:val="22"/>
        </w:rPr>
        <w:t>.</w:t>
      </w:r>
      <w:r w:rsidRPr="00DE6232" w:rsidR="00D86554">
        <w:rPr>
          <w:szCs w:val="22"/>
        </w:rPr>
        <w:t xml:space="preserve"> </w:t>
      </w:r>
    </w:p>
    <w:p w:rsidR="00A9262E" w:rsidRPr="00DE6232" w:rsidP="00A07513">
      <w:pPr>
        <w:pStyle w:val="ParaNum"/>
        <w:keepNext/>
        <w:widowControl/>
        <w:numPr>
          <w:ilvl w:val="0"/>
          <w:numId w:val="3"/>
        </w:numPr>
        <w:tabs>
          <w:tab w:val="clear" w:pos="900"/>
          <w:tab w:val="num" w:pos="1440"/>
        </w:tabs>
        <w:ind w:left="0" w:firstLine="540"/>
        <w:rPr>
          <w:szCs w:val="22"/>
        </w:rPr>
      </w:pPr>
      <w:r w:rsidRPr="009B6C3F">
        <w:rPr>
          <w:b/>
          <w:szCs w:val="22"/>
        </w:rPr>
        <w:t>IT IS FURTHER ORDERED</w:t>
      </w:r>
      <w:r w:rsidRPr="00DE6232">
        <w:rPr>
          <w:szCs w:val="22"/>
        </w:rPr>
        <w:t xml:space="preserve"> that a copy of this </w:t>
      </w:r>
      <w:r w:rsidRPr="00DE6232" w:rsidR="00D86554">
        <w:rPr>
          <w:szCs w:val="22"/>
        </w:rPr>
        <w:t>Order</w:t>
      </w:r>
      <w:r w:rsidRPr="00DE6232" w:rsidR="00495143">
        <w:rPr>
          <w:szCs w:val="22"/>
        </w:rPr>
        <w:t xml:space="preserve"> and Consent Decree</w:t>
      </w:r>
      <w:r w:rsidRPr="00DE6232" w:rsidR="00D86554">
        <w:rPr>
          <w:szCs w:val="22"/>
        </w:rPr>
        <w:t xml:space="preserve"> </w:t>
      </w:r>
      <w:r w:rsidRPr="00DE6232">
        <w:rPr>
          <w:szCs w:val="22"/>
        </w:rPr>
        <w:t xml:space="preserve">shall be sent by </w:t>
      </w:r>
      <w:r w:rsidRPr="00DE6232" w:rsidR="002A1BD2">
        <w:rPr>
          <w:szCs w:val="22"/>
        </w:rPr>
        <w:t>f</w:t>
      </w:r>
      <w:r w:rsidRPr="00DE6232">
        <w:rPr>
          <w:szCs w:val="22"/>
        </w:rPr>
        <w:t xml:space="preserve">irst </w:t>
      </w:r>
      <w:r w:rsidRPr="00DE6232" w:rsidR="00973892">
        <w:rPr>
          <w:szCs w:val="22"/>
        </w:rPr>
        <w:t>c</w:t>
      </w:r>
      <w:r w:rsidRPr="00DE6232">
        <w:rPr>
          <w:szCs w:val="22"/>
        </w:rPr>
        <w:t>lass</w:t>
      </w:r>
      <w:r w:rsidRPr="00DE6232" w:rsidR="00CC1091">
        <w:rPr>
          <w:szCs w:val="22"/>
        </w:rPr>
        <w:t xml:space="preserve"> mail </w:t>
      </w:r>
      <w:r w:rsidRPr="00DE6232">
        <w:rPr>
          <w:szCs w:val="22"/>
        </w:rPr>
        <w:t xml:space="preserve">to </w:t>
      </w:r>
      <w:r w:rsidRPr="00DE6232" w:rsidR="00975D4C">
        <w:rPr>
          <w:szCs w:val="22"/>
        </w:rPr>
        <w:t>John S. Neely, Esq., Counsel to 1TV.com, Inc., Miller &amp; Neely, P.C., 3750 University Blvd. W., Suite 203, Kensington, M</w:t>
      </w:r>
      <w:r w:rsidRPr="00DE6232" w:rsidR="00390364">
        <w:rPr>
          <w:szCs w:val="22"/>
        </w:rPr>
        <w:t>aryland</w:t>
      </w:r>
      <w:r w:rsidRPr="00DE6232" w:rsidR="00975D4C">
        <w:rPr>
          <w:szCs w:val="22"/>
        </w:rPr>
        <w:t xml:space="preserve"> 20895 and to Len Novin, 1318 N. 104</w:t>
      </w:r>
      <w:r w:rsidRPr="00DE6232" w:rsidR="00975D4C">
        <w:rPr>
          <w:szCs w:val="22"/>
          <w:vertAlign w:val="superscript"/>
        </w:rPr>
        <w:t>th</w:t>
      </w:r>
      <w:r w:rsidRPr="00DE6232" w:rsidR="00975D4C">
        <w:rPr>
          <w:szCs w:val="22"/>
        </w:rPr>
        <w:t xml:space="preserve"> St., Mesa, </w:t>
      </w:r>
      <w:r w:rsidRPr="00DE6232" w:rsidR="00FC0542">
        <w:rPr>
          <w:szCs w:val="22"/>
        </w:rPr>
        <w:t>A</w:t>
      </w:r>
      <w:r w:rsidR="00FC0542">
        <w:rPr>
          <w:szCs w:val="22"/>
        </w:rPr>
        <w:t>Z</w:t>
      </w:r>
      <w:r w:rsidRPr="00DE6232" w:rsidR="00FC0542">
        <w:rPr>
          <w:szCs w:val="22"/>
        </w:rPr>
        <w:t xml:space="preserve"> </w:t>
      </w:r>
      <w:r w:rsidRPr="00DE6232" w:rsidR="00975D4C">
        <w:rPr>
          <w:szCs w:val="22"/>
        </w:rPr>
        <w:t>85207.</w:t>
      </w:r>
    </w:p>
    <w:p w:rsidR="00A07513" w:rsidP="00A07513">
      <w:pPr>
        <w:pStyle w:val="ParaNum"/>
        <w:keepNext/>
        <w:widowControl/>
        <w:numPr>
          <w:ilvl w:val="0"/>
          <w:numId w:val="0"/>
        </w:numPr>
        <w:spacing w:after="0"/>
        <w:rPr>
          <w:szCs w:val="22"/>
        </w:rPr>
      </w:pPr>
    </w:p>
    <w:p w:rsidR="00963E97" w:rsidRPr="000C0BDD" w:rsidP="00A07513">
      <w:pPr>
        <w:pStyle w:val="ParaNum"/>
        <w:keepNext/>
        <w:widowControl/>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Pr="000C0BDD" w:rsidR="00AE4F5E">
        <w:rPr>
          <w:szCs w:val="22"/>
        </w:rPr>
        <w:t>FEDERAL COMMUNICATIONS COMMISSION</w:t>
      </w:r>
    </w:p>
    <w:p w:rsidR="00963E97" w:rsidP="00A07513">
      <w:pPr>
        <w:keepNext/>
        <w:widowControl/>
        <w:tabs>
          <w:tab w:val="left" w:pos="0"/>
        </w:tabs>
        <w:rPr>
          <w:szCs w:val="22"/>
        </w:rPr>
      </w:pPr>
    </w:p>
    <w:p w:rsidR="007A6D93" w:rsidRPr="000C0BDD" w:rsidP="00A07513">
      <w:pPr>
        <w:keepNext/>
        <w:widowControl/>
        <w:tabs>
          <w:tab w:val="left" w:pos="0"/>
        </w:tabs>
        <w:rPr>
          <w:szCs w:val="22"/>
        </w:rPr>
      </w:pPr>
    </w:p>
    <w:p w:rsidR="00963E97" w:rsidRPr="000C0BDD" w:rsidP="00A07513">
      <w:pPr>
        <w:keepNext/>
        <w:widowControl/>
        <w:tabs>
          <w:tab w:val="left" w:pos="0"/>
        </w:tabs>
        <w:rPr>
          <w:szCs w:val="22"/>
        </w:rPr>
      </w:pPr>
    </w:p>
    <w:p w:rsidR="007A6D93" w:rsidP="00A07513">
      <w:pPr>
        <w:keepNext/>
        <w:widowControl/>
        <w:rPr>
          <w:szCs w:val="22"/>
        </w:rPr>
      </w:pPr>
    </w:p>
    <w:p w:rsidR="00A07513" w:rsidP="00A07513">
      <w:pPr>
        <w:keepNext/>
        <w:widowControl/>
        <w:rPr>
          <w:szCs w:val="22"/>
        </w:rPr>
      </w:pPr>
      <w:r>
        <w:rPr>
          <w:szCs w:val="22"/>
        </w:rPr>
        <w:tab/>
      </w:r>
      <w:r>
        <w:rPr>
          <w:szCs w:val="22"/>
        </w:rPr>
        <w:tab/>
      </w:r>
      <w:r>
        <w:rPr>
          <w:szCs w:val="22"/>
        </w:rPr>
        <w:tab/>
      </w:r>
      <w:r>
        <w:rPr>
          <w:szCs w:val="22"/>
        </w:rPr>
        <w:tab/>
      </w:r>
      <w:r>
        <w:rPr>
          <w:szCs w:val="22"/>
        </w:rPr>
        <w:tab/>
      </w:r>
      <w:r>
        <w:rPr>
          <w:szCs w:val="22"/>
        </w:rPr>
        <w:tab/>
      </w:r>
      <w:r w:rsidR="005E63DF">
        <w:rPr>
          <w:szCs w:val="22"/>
        </w:rPr>
        <w:t>Michelle Carey</w:t>
      </w:r>
    </w:p>
    <w:p w:rsidR="00A07513" w:rsidP="00A07513">
      <w:pPr>
        <w:keepNext/>
        <w:widowControl/>
        <w:rPr>
          <w:szCs w:val="22"/>
        </w:rPr>
      </w:pPr>
      <w:r>
        <w:rPr>
          <w:szCs w:val="22"/>
        </w:rPr>
        <w:tab/>
      </w:r>
      <w:r>
        <w:rPr>
          <w:szCs w:val="22"/>
        </w:rPr>
        <w:tab/>
      </w:r>
      <w:r>
        <w:rPr>
          <w:szCs w:val="22"/>
        </w:rPr>
        <w:tab/>
      </w:r>
      <w:r>
        <w:rPr>
          <w:szCs w:val="22"/>
        </w:rPr>
        <w:tab/>
      </w:r>
      <w:r>
        <w:rPr>
          <w:szCs w:val="22"/>
        </w:rPr>
        <w:tab/>
      </w:r>
      <w:r>
        <w:rPr>
          <w:szCs w:val="22"/>
        </w:rPr>
        <w:tab/>
      </w:r>
      <w:r w:rsidRPr="000C0BDD">
        <w:rPr>
          <w:szCs w:val="22"/>
        </w:rPr>
        <w:t>Chief</w:t>
      </w:r>
    </w:p>
    <w:p w:rsidR="00A07513" w:rsidP="00A07513">
      <w:pPr>
        <w:keepNext/>
        <w:widowControl/>
        <w:rPr>
          <w:szCs w:val="22"/>
        </w:rPr>
      </w:pPr>
      <w:r>
        <w:rPr>
          <w:szCs w:val="22"/>
        </w:rPr>
        <w:tab/>
      </w:r>
      <w:r>
        <w:rPr>
          <w:szCs w:val="22"/>
        </w:rPr>
        <w:tab/>
      </w:r>
      <w:r>
        <w:rPr>
          <w:szCs w:val="22"/>
        </w:rPr>
        <w:tab/>
      </w:r>
      <w:r>
        <w:rPr>
          <w:szCs w:val="22"/>
        </w:rPr>
        <w:tab/>
      </w:r>
      <w:r>
        <w:rPr>
          <w:szCs w:val="22"/>
        </w:rPr>
        <w:tab/>
      </w:r>
      <w:r>
        <w:rPr>
          <w:szCs w:val="22"/>
        </w:rPr>
        <w:tab/>
        <w:t>Media</w:t>
      </w:r>
      <w:r w:rsidRPr="000C0BDD">
        <w:rPr>
          <w:szCs w:val="22"/>
        </w:rPr>
        <w:t xml:space="preserve"> Bureau</w:t>
      </w:r>
    </w:p>
    <w:p w:rsidR="00A07513" w:rsidP="00A07513">
      <w:pPr>
        <w:keepNext/>
        <w:widowControl/>
        <w:rPr>
          <w:szCs w:val="22"/>
        </w:rPr>
      </w:pPr>
    </w:p>
    <w:p w:rsidR="00A07513" w:rsidP="00A07513">
      <w:pPr>
        <w:keepNext/>
        <w:widowControl/>
        <w:rPr>
          <w:szCs w:val="22"/>
        </w:rPr>
      </w:pPr>
    </w:p>
    <w:p w:rsidR="00A07513" w:rsidP="00A07513">
      <w:pPr>
        <w:keepNext/>
        <w:widowControl/>
        <w:rPr>
          <w:szCs w:val="22"/>
        </w:rPr>
      </w:pPr>
    </w:p>
    <w:p w:rsidR="00A07513" w:rsidP="00A07513">
      <w:pPr>
        <w:keepNext/>
        <w:widowControl/>
        <w:rPr>
          <w:szCs w:val="22"/>
        </w:rPr>
      </w:pPr>
    </w:p>
    <w:p w:rsidR="00A60DA9" w:rsidRPr="00A60DA9" w:rsidP="00A07513">
      <w:pPr>
        <w:keepNext/>
        <w:widowControl/>
        <w:rPr>
          <w:szCs w:val="22"/>
        </w:rPr>
      </w:pPr>
      <w:r>
        <w:rPr>
          <w:szCs w:val="22"/>
        </w:rPr>
        <w:tab/>
      </w:r>
      <w:r>
        <w:rPr>
          <w:szCs w:val="22"/>
        </w:rPr>
        <w:tab/>
      </w:r>
      <w:r>
        <w:rPr>
          <w:szCs w:val="22"/>
        </w:rPr>
        <w:tab/>
      </w:r>
      <w:r>
        <w:rPr>
          <w:szCs w:val="22"/>
        </w:rPr>
        <w:tab/>
      </w:r>
      <w:r w:rsidR="00A07513">
        <w:rPr>
          <w:szCs w:val="22"/>
        </w:rPr>
        <w:tab/>
      </w:r>
      <w:r w:rsidR="00A07513">
        <w:rPr>
          <w:szCs w:val="22"/>
        </w:rPr>
        <w:tab/>
      </w:r>
      <w:r w:rsidRPr="00A60DA9">
        <w:rPr>
          <w:szCs w:val="22"/>
        </w:rPr>
        <w:t>Rosemary C. Harold</w:t>
      </w:r>
    </w:p>
    <w:p w:rsidR="00963E97" w:rsidRPr="000C0BDD" w:rsidP="00A07513">
      <w:pPr>
        <w:keepNext/>
        <w:widowControl/>
        <w:rPr>
          <w:szCs w:val="22"/>
        </w:rPr>
      </w:pPr>
      <w:r>
        <w:rPr>
          <w:szCs w:val="22"/>
        </w:rPr>
        <w:tab/>
      </w:r>
      <w:r>
        <w:rPr>
          <w:szCs w:val="22"/>
        </w:rPr>
        <w:tab/>
      </w:r>
      <w:r w:rsidR="00A60DA9">
        <w:rPr>
          <w:szCs w:val="22"/>
        </w:rPr>
        <w:tab/>
      </w:r>
      <w:r w:rsidR="00A60DA9">
        <w:rPr>
          <w:szCs w:val="22"/>
        </w:rPr>
        <w:tab/>
      </w:r>
      <w:r w:rsidR="00A07513">
        <w:rPr>
          <w:szCs w:val="22"/>
        </w:rPr>
        <w:tab/>
      </w:r>
      <w:r w:rsidR="00A07513">
        <w:rPr>
          <w:szCs w:val="22"/>
        </w:rPr>
        <w:tab/>
      </w:r>
      <w:r w:rsidRPr="00A60DA9" w:rsidR="00A60DA9">
        <w:rPr>
          <w:szCs w:val="22"/>
        </w:rPr>
        <w:t>Chief</w:t>
      </w:r>
    </w:p>
    <w:p w:rsidR="00963E97" w:rsidP="00A07513">
      <w:pPr>
        <w:rPr>
          <w:szCs w:val="22"/>
        </w:rPr>
      </w:pPr>
      <w:r>
        <w:rPr>
          <w:szCs w:val="22"/>
        </w:rPr>
        <w:tab/>
      </w:r>
      <w:r>
        <w:rPr>
          <w:szCs w:val="22"/>
        </w:rPr>
        <w:tab/>
      </w:r>
      <w:r w:rsidR="00A60DA9">
        <w:rPr>
          <w:szCs w:val="22"/>
        </w:rPr>
        <w:tab/>
      </w:r>
      <w:r w:rsidR="00A60DA9">
        <w:rPr>
          <w:szCs w:val="22"/>
        </w:rPr>
        <w:tab/>
      </w:r>
      <w:r w:rsidR="00A07513">
        <w:rPr>
          <w:szCs w:val="22"/>
        </w:rPr>
        <w:tab/>
      </w:r>
      <w:r w:rsidR="00A07513">
        <w:rPr>
          <w:szCs w:val="22"/>
        </w:rPr>
        <w:tab/>
      </w:r>
      <w:r w:rsidRPr="00A60DA9" w:rsidR="00A60DA9">
        <w:rPr>
          <w:szCs w:val="22"/>
        </w:rPr>
        <w:t>Enforcement Bureau</w:t>
      </w:r>
    </w:p>
    <w:p w:rsidR="00A07513">
      <w:pPr>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A07513" w:rsidP="00A27941">
      <w:pPr>
        <w:jc w:val="center"/>
        <w:rPr>
          <w:b/>
          <w:szCs w:val="22"/>
        </w:rPr>
        <w:sectPr w:rsidSect="00A07513">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5C64C4" w:rsidRPr="0058223B" w:rsidP="00A27941">
      <w:pPr>
        <w:jc w:val="center"/>
        <w:rPr>
          <w:b/>
          <w:szCs w:val="22"/>
        </w:rPr>
      </w:pPr>
      <w:r w:rsidRPr="0058223B">
        <w:rPr>
          <w:b/>
          <w:szCs w:val="22"/>
        </w:rPr>
        <w:t>Before the</w:t>
      </w:r>
    </w:p>
    <w:p w:rsidR="005C64C4" w:rsidRPr="0058223B" w:rsidP="00A27941">
      <w:pPr>
        <w:pStyle w:val="StyleBoldCentered"/>
        <w:rPr>
          <w:rFonts w:ascii="Times New Roman" w:hAnsi="Times New Roman"/>
        </w:rPr>
      </w:pPr>
      <w:r w:rsidRPr="0058223B">
        <w:rPr>
          <w:rFonts w:ascii="Times New Roman" w:hAnsi="Times New Roman"/>
        </w:rPr>
        <w:t>F</w:t>
      </w:r>
      <w:r w:rsidRPr="0058223B">
        <w:rPr>
          <w:rFonts w:ascii="Times New Roman" w:hAnsi="Times New Roman"/>
          <w:caps w:val="0"/>
        </w:rPr>
        <w:t>ederal Communications Commission</w:t>
      </w:r>
    </w:p>
    <w:p w:rsidR="005C64C4" w:rsidRPr="0058223B" w:rsidP="00A27941">
      <w:pPr>
        <w:pStyle w:val="StyleBoldCentered"/>
        <w:rPr>
          <w:rFonts w:ascii="Times New Roman" w:hAnsi="Times New Roman"/>
        </w:rPr>
      </w:pPr>
      <w:r w:rsidRPr="0058223B">
        <w:rPr>
          <w:rFonts w:ascii="Times New Roman" w:hAnsi="Times New Roman"/>
          <w:caps w:val="0"/>
        </w:rPr>
        <w:t>Washington, D.C. 20554</w:t>
      </w:r>
    </w:p>
    <w:p w:rsidR="005C64C4" w:rsidRPr="0058223B" w:rsidP="00A27941">
      <w:pPr>
        <w:rPr>
          <w:szCs w:val="22"/>
        </w:rPr>
      </w:pPr>
    </w:p>
    <w:tbl>
      <w:tblPr>
        <w:tblW w:w="0" w:type="auto"/>
        <w:tblLayout w:type="fixed"/>
        <w:tblLook w:val="0000"/>
      </w:tblPr>
      <w:tblGrid>
        <w:gridCol w:w="4698"/>
        <w:gridCol w:w="630"/>
        <w:gridCol w:w="4248"/>
      </w:tblGrid>
      <w:tr w:rsidTr="00B47F8C">
        <w:tblPrEx>
          <w:tblW w:w="0" w:type="auto"/>
          <w:tblLayout w:type="fixed"/>
          <w:tblLook w:val="0000"/>
        </w:tblPrEx>
        <w:tc>
          <w:tcPr>
            <w:tcW w:w="4698" w:type="dxa"/>
          </w:tcPr>
          <w:p w:rsidR="005C64C4" w:rsidP="00B47F8C">
            <w:pPr>
              <w:tabs>
                <w:tab w:val="center" w:pos="4680"/>
              </w:tabs>
              <w:suppressAutoHyphens/>
              <w:rPr>
                <w:spacing w:val="-2"/>
              </w:rPr>
            </w:pPr>
            <w:r>
              <w:rPr>
                <w:spacing w:val="-2"/>
              </w:rPr>
              <w:t>In the Matter of</w:t>
            </w:r>
          </w:p>
          <w:p w:rsidR="005C64C4" w:rsidP="00B47F8C">
            <w:pPr>
              <w:tabs>
                <w:tab w:val="center" w:pos="4680"/>
              </w:tabs>
              <w:suppressAutoHyphens/>
              <w:rPr>
                <w:spacing w:val="-2"/>
              </w:rPr>
            </w:pPr>
          </w:p>
          <w:p w:rsidR="005C64C4" w:rsidP="00EF6025">
            <w:pPr>
              <w:tabs>
                <w:tab w:val="left" w:pos="0"/>
              </w:tabs>
              <w:suppressAutoHyphens/>
              <w:ind w:left="5040" w:hanging="5040"/>
              <w:rPr>
                <w:rFonts w:eastAsia="SimSun"/>
                <w:szCs w:val="22"/>
              </w:rPr>
            </w:pPr>
            <w:r>
              <w:rPr>
                <w:rFonts w:eastAsia="SimSun"/>
                <w:szCs w:val="22"/>
              </w:rPr>
              <w:t>San Tan Educational Media</w:t>
            </w:r>
          </w:p>
          <w:p w:rsidR="005C64C4" w:rsidP="00B47F8C">
            <w:pPr>
              <w:tabs>
                <w:tab w:val="center" w:pos="4680"/>
              </w:tabs>
              <w:suppressAutoHyphens/>
              <w:rPr>
                <w:spacing w:val="-2"/>
              </w:rPr>
            </w:pPr>
          </w:p>
          <w:p w:rsidR="005C64C4" w:rsidP="00EF6025">
            <w:pPr>
              <w:ind w:right="-18"/>
              <w:rPr>
                <w:rFonts w:eastAsia="SimSun"/>
                <w:szCs w:val="22"/>
              </w:rPr>
            </w:pPr>
            <w:r>
              <w:rPr>
                <w:rFonts w:eastAsia="SimSun"/>
                <w:szCs w:val="22"/>
              </w:rPr>
              <w:t xml:space="preserve">For License, Modification of License, </w:t>
            </w:r>
            <w:r w:rsidRPr="004C7A62">
              <w:rPr>
                <w:rFonts w:eastAsia="SimSun"/>
                <w:szCs w:val="22"/>
              </w:rPr>
              <w:t xml:space="preserve">Transfer of Control, </w:t>
            </w:r>
            <w:r>
              <w:rPr>
                <w:rFonts w:eastAsia="SimSun"/>
                <w:szCs w:val="22"/>
              </w:rPr>
              <w:t>and Special Temporary Authority for</w:t>
            </w:r>
          </w:p>
          <w:p w:rsidR="005C64C4" w:rsidP="00EF6025">
            <w:pPr>
              <w:ind w:right="-18"/>
              <w:rPr>
                <w:rFonts w:eastAsia="SimSun"/>
                <w:szCs w:val="22"/>
              </w:rPr>
            </w:pPr>
          </w:p>
          <w:p w:rsidR="005C64C4" w:rsidRPr="00C24772" w:rsidP="00EF6025">
            <w:pPr>
              <w:tabs>
                <w:tab w:val="center" w:pos="4680"/>
              </w:tabs>
              <w:suppressAutoHyphens/>
              <w:rPr>
                <w:spacing w:val="-2"/>
                <w:lang w:val="es-UY"/>
              </w:rPr>
            </w:pPr>
            <w:r w:rsidRPr="00C24772">
              <w:rPr>
                <w:rFonts w:eastAsia="SimSun"/>
                <w:szCs w:val="22"/>
                <w:lang w:val="es-UY"/>
              </w:rPr>
              <w:t>Station KFXY-LP,</w:t>
            </w:r>
            <w:r w:rsidRPr="00C24772">
              <w:rPr>
                <w:rFonts w:eastAsia="SimSun"/>
                <w:b/>
                <w:szCs w:val="22"/>
                <w:lang w:val="es-UY"/>
              </w:rPr>
              <w:t xml:space="preserve"> </w:t>
            </w:r>
            <w:r w:rsidRPr="00C24772">
              <w:rPr>
                <w:rFonts w:eastAsia="SimSun"/>
                <w:szCs w:val="22"/>
                <w:lang w:val="es-UY"/>
              </w:rPr>
              <w:t>Mesa, Arizona</w:t>
            </w:r>
          </w:p>
        </w:tc>
        <w:tc>
          <w:tcPr>
            <w:tcW w:w="630" w:type="dxa"/>
          </w:tcPr>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P="00B47F8C">
            <w:pPr>
              <w:tabs>
                <w:tab w:val="center" w:pos="4680"/>
              </w:tabs>
              <w:suppressAutoHyphens/>
              <w:rPr>
                <w:b/>
                <w:spacing w:val="-2"/>
              </w:rPr>
            </w:pPr>
            <w:r>
              <w:rPr>
                <w:b/>
                <w:spacing w:val="-2"/>
              </w:rPr>
              <w:t>)</w:t>
            </w:r>
          </w:p>
          <w:p w:rsidR="005C64C4" w:rsidRPr="00EF6025" w:rsidP="00B74D19">
            <w:pPr>
              <w:tabs>
                <w:tab w:val="center" w:pos="4680"/>
              </w:tabs>
              <w:suppressAutoHyphens/>
              <w:rPr>
                <w:b/>
                <w:spacing w:val="-2"/>
              </w:rPr>
            </w:pPr>
            <w:r>
              <w:rPr>
                <w:b/>
                <w:spacing w:val="-2"/>
              </w:rPr>
              <w:t>)</w:t>
            </w:r>
          </w:p>
        </w:tc>
        <w:tc>
          <w:tcPr>
            <w:tcW w:w="4248" w:type="dxa"/>
          </w:tcPr>
          <w:p w:rsidR="005C64C4" w:rsidRPr="00C24772" w:rsidP="00B47F8C">
            <w:pPr>
              <w:tabs>
                <w:tab w:val="center" w:pos="4680"/>
              </w:tabs>
              <w:suppressAutoHyphens/>
              <w:rPr>
                <w:spacing w:val="-2"/>
                <w:lang w:val="es-UY"/>
              </w:rPr>
            </w:pPr>
          </w:p>
          <w:p w:rsidR="005C64C4" w:rsidRPr="00C24772" w:rsidP="00B47F8C">
            <w:pPr>
              <w:pStyle w:val="TOAHeading"/>
              <w:tabs>
                <w:tab w:val="center" w:pos="4680"/>
                <w:tab w:val="clear" w:pos="9360"/>
              </w:tabs>
              <w:rPr>
                <w:spacing w:val="-2"/>
                <w:lang w:val="es-UY"/>
              </w:rPr>
            </w:pPr>
          </w:p>
          <w:p w:rsidR="005C64C4" w:rsidRPr="00C24772" w:rsidP="00EF6025">
            <w:pPr>
              <w:tabs>
                <w:tab w:val="center" w:pos="4680"/>
              </w:tabs>
              <w:suppressAutoHyphens/>
              <w:rPr>
                <w:spacing w:val="-2"/>
                <w:lang w:val="es-UY"/>
              </w:rPr>
            </w:pPr>
            <w:r w:rsidRPr="00C24772">
              <w:rPr>
                <w:spacing w:val="-2"/>
                <w:lang w:val="es-UY"/>
              </w:rPr>
              <w:t xml:space="preserve">File Nos.:  </w:t>
            </w:r>
            <w:r w:rsidRPr="00C24772">
              <w:rPr>
                <w:rFonts w:eastAsia="SimSun"/>
                <w:lang w:val="es-UY"/>
              </w:rPr>
              <w:t>BLL-20170710AAT</w:t>
            </w:r>
          </w:p>
          <w:p w:rsidR="005C64C4" w:rsidRPr="00C24772" w:rsidP="00EF6025">
            <w:pPr>
              <w:rPr>
                <w:rFonts w:eastAsia="SimSun"/>
                <w:szCs w:val="22"/>
                <w:lang w:val="es-UY"/>
              </w:rPr>
            </w:pPr>
            <w:r w:rsidRPr="00C24772">
              <w:rPr>
                <w:rFonts w:eastAsia="SimSun"/>
                <w:szCs w:val="22"/>
                <w:lang w:val="es-UY"/>
              </w:rPr>
              <w:t>BPL-20170911ADI</w:t>
            </w:r>
          </w:p>
          <w:p w:rsidR="005C64C4" w:rsidRPr="00C24772" w:rsidP="00EF6025">
            <w:pPr>
              <w:rPr>
                <w:rFonts w:eastAsia="SimSun"/>
                <w:szCs w:val="22"/>
                <w:lang w:val="es-UY"/>
              </w:rPr>
            </w:pPr>
            <w:r w:rsidRPr="00C24772">
              <w:rPr>
                <w:rFonts w:eastAsia="SimSun"/>
                <w:szCs w:val="22"/>
                <w:lang w:val="es-UY"/>
              </w:rPr>
              <w:t>BTCL-20171004AAB</w:t>
            </w:r>
          </w:p>
          <w:p w:rsidR="005C64C4" w:rsidRPr="00C24772" w:rsidP="00EF6025">
            <w:pPr>
              <w:rPr>
                <w:rFonts w:eastAsia="SimSun"/>
                <w:szCs w:val="22"/>
                <w:lang w:val="es-UY"/>
              </w:rPr>
            </w:pPr>
            <w:r w:rsidRPr="00C24772">
              <w:rPr>
                <w:rFonts w:eastAsia="SimSun"/>
                <w:szCs w:val="22"/>
                <w:lang w:val="es-UY"/>
              </w:rPr>
              <w:t>BPL-20180117ACV</w:t>
            </w:r>
          </w:p>
          <w:p w:rsidR="005C64C4" w:rsidRPr="00C24772" w:rsidP="00EF6025">
            <w:pPr>
              <w:tabs>
                <w:tab w:val="center" w:pos="4680"/>
              </w:tabs>
              <w:suppressAutoHyphens/>
              <w:rPr>
                <w:rFonts w:eastAsia="SimSun"/>
                <w:szCs w:val="22"/>
                <w:lang w:val="es-UY"/>
              </w:rPr>
            </w:pPr>
            <w:r w:rsidRPr="00C24772">
              <w:rPr>
                <w:rFonts w:eastAsia="SimSun"/>
                <w:szCs w:val="22"/>
                <w:lang w:val="es-UY"/>
              </w:rPr>
              <w:t>BLESTA-20180514ACA</w:t>
            </w:r>
          </w:p>
          <w:p w:rsidR="005C64C4" w:rsidRPr="00EF6025" w:rsidP="00EF6025">
            <w:pPr>
              <w:tabs>
                <w:tab w:val="center" w:pos="4680"/>
              </w:tabs>
              <w:suppressAutoHyphens/>
              <w:rPr>
                <w:spacing w:val="-2"/>
              </w:rPr>
            </w:pPr>
            <w:r w:rsidRPr="00EF6025">
              <w:rPr>
                <w:spacing w:val="-2"/>
              </w:rPr>
              <w:t>EB-IHD-</w:t>
            </w:r>
            <w:r w:rsidRPr="00D23483">
              <w:rPr>
                <w:spacing w:val="-2"/>
              </w:rPr>
              <w:t>17-00025521</w:t>
            </w:r>
          </w:p>
          <w:p w:rsidR="005C64C4" w:rsidP="00EF6025">
            <w:pPr>
              <w:tabs>
                <w:tab w:val="center" w:pos="4680"/>
              </w:tabs>
              <w:suppressAutoHyphens/>
              <w:rPr>
                <w:spacing w:val="-2"/>
              </w:rPr>
            </w:pPr>
          </w:p>
          <w:p w:rsidR="005C64C4" w:rsidP="00B47F8C">
            <w:pPr>
              <w:tabs>
                <w:tab w:val="center" w:pos="4680"/>
              </w:tabs>
              <w:suppressAutoHyphens/>
              <w:rPr>
                <w:spacing w:val="-2"/>
              </w:rPr>
            </w:pPr>
            <w:r>
              <w:rPr>
                <w:spacing w:val="-2"/>
              </w:rPr>
              <w:t>Acct. No.:  2019</w:t>
            </w:r>
            <w:r w:rsidRPr="00934480">
              <w:rPr>
                <w:spacing w:val="-2"/>
              </w:rPr>
              <w:t>32080014</w:t>
            </w:r>
          </w:p>
          <w:p w:rsidR="005C64C4" w:rsidP="00B47F8C">
            <w:pPr>
              <w:tabs>
                <w:tab w:val="center" w:pos="4680"/>
              </w:tabs>
              <w:suppressAutoHyphens/>
              <w:rPr>
                <w:spacing w:val="-2"/>
              </w:rPr>
            </w:pPr>
            <w:r>
              <w:rPr>
                <w:spacing w:val="-2"/>
              </w:rPr>
              <w:t>FRN:  0024208670</w:t>
            </w:r>
          </w:p>
          <w:p w:rsidR="005C64C4" w:rsidRPr="004C7A62" w:rsidP="00EF6025">
            <w:pPr>
              <w:rPr>
                <w:rFonts w:eastAsia="SimSun"/>
                <w:szCs w:val="22"/>
              </w:rPr>
            </w:pPr>
            <w:r>
              <w:rPr>
                <w:rFonts w:eastAsia="SimSun"/>
                <w:szCs w:val="22"/>
              </w:rPr>
              <w:t xml:space="preserve">Facility ID No. </w:t>
            </w:r>
            <w:r w:rsidRPr="004C7A62">
              <w:rPr>
                <w:rFonts w:eastAsia="SimSun"/>
                <w:szCs w:val="22"/>
              </w:rPr>
              <w:t>192016</w:t>
            </w:r>
          </w:p>
          <w:p w:rsidR="005C64C4" w:rsidP="00B47F8C">
            <w:pPr>
              <w:tabs>
                <w:tab w:val="center" w:pos="4680"/>
              </w:tabs>
              <w:suppressAutoHyphens/>
              <w:rPr>
                <w:spacing w:val="-2"/>
              </w:rPr>
            </w:pPr>
          </w:p>
        </w:tc>
      </w:tr>
    </w:tbl>
    <w:p w:rsidR="005C64C4" w:rsidP="00A27941">
      <w:pPr>
        <w:pStyle w:val="StyleBoldCentered"/>
        <w:rPr>
          <w:rFonts w:ascii="Times New Roman" w:hAnsi="Times New Roman"/>
        </w:rPr>
      </w:pPr>
    </w:p>
    <w:p w:rsidR="005C64C4" w:rsidRPr="0058223B" w:rsidP="00A27941">
      <w:pPr>
        <w:pStyle w:val="StyleBoldCentered"/>
        <w:rPr>
          <w:rFonts w:ascii="Times New Roman" w:hAnsi="Times New Roman"/>
        </w:rPr>
      </w:pPr>
      <w:r w:rsidRPr="0058223B">
        <w:rPr>
          <w:rFonts w:ascii="Times New Roman" w:hAnsi="Times New Roman"/>
        </w:rPr>
        <w:t>consent decree</w:t>
      </w:r>
    </w:p>
    <w:p w:rsidR="005C64C4" w:rsidRPr="0058223B" w:rsidP="00A07513">
      <w:pPr>
        <w:spacing w:after="120"/>
      </w:pPr>
    </w:p>
    <w:p w:rsidR="005C64C4" w:rsidRPr="00A07513" w:rsidP="00A07513">
      <w:pPr>
        <w:pStyle w:val="ParaNum"/>
        <w:numPr>
          <w:ilvl w:val="0"/>
          <w:numId w:val="4"/>
        </w:numPr>
        <w:tabs>
          <w:tab w:val="clear" w:pos="1080"/>
          <w:tab w:val="num" w:pos="1440"/>
        </w:tabs>
        <w:rPr>
          <w:szCs w:val="22"/>
        </w:rPr>
      </w:pPr>
      <w:r w:rsidRPr="00A07513">
        <w:rPr>
          <w:szCs w:val="22"/>
        </w:rPr>
        <w:t>The Media Bureau (MB) and Enforcement Bureau (EB) (collectively, Bureaus) of the Federal Communications Commission (FCC or Commission) and San Tan Educational Media (STEM), licensee of low power FM (LPFM) Station KFXY-LP,</w:t>
      </w:r>
      <w:r w:rsidRPr="00A07513">
        <w:rPr>
          <w:b/>
          <w:szCs w:val="22"/>
        </w:rPr>
        <w:t xml:space="preserve"> </w:t>
      </w:r>
      <w:r w:rsidRPr="00A07513">
        <w:rPr>
          <w:szCs w:val="22"/>
        </w:rPr>
        <w:t xml:space="preserve">Mesa, Arizona (Station), by their authorized representatives, </w:t>
      </w:r>
      <w:bookmarkStart w:id="5" w:name="_Hlk504747058"/>
      <w:r w:rsidRPr="00A07513">
        <w:rPr>
          <w:szCs w:val="22"/>
        </w:rPr>
        <w:t xml:space="preserve">hereby </w:t>
      </w:r>
      <w:r w:rsidRPr="00A07513">
        <w:rPr>
          <w:szCs w:val="22"/>
        </w:rPr>
        <w:t>enter into</w:t>
      </w:r>
      <w:r w:rsidRPr="00A07513">
        <w:rPr>
          <w:szCs w:val="22"/>
        </w:rPr>
        <w:t xml:space="preserve"> this Consent Decree.  The purpose of the Consent Decree is to:  (1) resolve STEM’s petition for reconsideration (Petition) of an MB Decision which cancelled the Station’s license and dismissed several applications and objections thereto;</w:t>
      </w:r>
      <w:r>
        <w:rPr>
          <w:szCs w:val="22"/>
          <w:vertAlign w:val="superscript"/>
        </w:rPr>
        <w:footnoteReference w:id="15"/>
      </w:r>
      <w:r w:rsidRPr="00A07513">
        <w:rPr>
          <w:szCs w:val="22"/>
        </w:rPr>
        <w:t xml:space="preserve"> and (2) to terminate EB’s investigation into whether STEM violated section 399B of the Communications Act of 1934, as amended (Act), and sections 73.801 and 73.503(d) of the Commission’s rules (Rules)</w:t>
      </w:r>
      <w:bookmarkEnd w:id="5"/>
      <w:r w:rsidRPr="00A07513">
        <w:rPr>
          <w:szCs w:val="22"/>
        </w:rPr>
        <w:t xml:space="preserve"> with regard to the Station.</w:t>
      </w:r>
      <w:r>
        <w:rPr>
          <w:rStyle w:val="FootnoteReference"/>
          <w:szCs w:val="22"/>
        </w:rPr>
        <w:footnoteReference w:id="16"/>
      </w:r>
      <w:r w:rsidRPr="00A07513">
        <w:rPr>
          <w:szCs w:val="22"/>
        </w:rPr>
        <w:t xml:space="preserve">  To resolve this matter STEM agrees to implement a compliance plan and pay a $1,500 civil penalty.</w:t>
      </w:r>
    </w:p>
    <w:p w:rsidR="005C64C4" w:rsidRPr="00DD1D8E" w:rsidP="00A07513">
      <w:pPr>
        <w:pStyle w:val="Heading1"/>
        <w:numPr>
          <w:ilvl w:val="0"/>
          <w:numId w:val="17"/>
        </w:numPr>
      </w:pPr>
      <w:r w:rsidRPr="00DD1D8E">
        <w:t>Definitions</w:t>
      </w:r>
    </w:p>
    <w:p w:rsidR="005C64C4" w:rsidRPr="0058223B" w:rsidP="005C64C4">
      <w:pPr>
        <w:pStyle w:val="ParaNum"/>
        <w:rPr>
          <w:szCs w:val="22"/>
        </w:rPr>
      </w:pPr>
      <w:r w:rsidRPr="0058223B">
        <w:rPr>
          <w:szCs w:val="22"/>
        </w:rPr>
        <w:t>For the purposes of this Consent Decree, the following definitions shall apply:</w:t>
      </w:r>
    </w:p>
    <w:p w:rsidR="005C64C4" w:rsidRPr="0058223B" w:rsidP="005C64C4">
      <w:pPr>
        <w:numPr>
          <w:ilvl w:val="0"/>
          <w:numId w:val="6"/>
        </w:numPr>
        <w:tabs>
          <w:tab w:val="clear" w:pos="3960"/>
        </w:tabs>
        <w:spacing w:after="120"/>
        <w:ind w:left="1890"/>
        <w:rPr>
          <w:szCs w:val="22"/>
        </w:rPr>
      </w:pPr>
      <w:r w:rsidRPr="0058223B">
        <w:rPr>
          <w:szCs w:val="22"/>
        </w:rPr>
        <w:t>“Act” means the Communications Act of 1934, as amended</w:t>
      </w:r>
      <w:r>
        <w:rPr>
          <w:szCs w:val="22"/>
        </w:rPr>
        <w:t>.</w:t>
      </w:r>
      <w:r>
        <w:rPr>
          <w:rStyle w:val="FootnoteReference"/>
          <w:szCs w:val="22"/>
        </w:rPr>
        <w:footnoteReference w:id="17"/>
      </w:r>
    </w:p>
    <w:p w:rsidR="005C64C4" w:rsidP="005C64C4">
      <w:pPr>
        <w:numPr>
          <w:ilvl w:val="0"/>
          <w:numId w:val="6"/>
        </w:numPr>
        <w:tabs>
          <w:tab w:val="clear" w:pos="3960"/>
        </w:tabs>
        <w:spacing w:after="120"/>
        <w:ind w:left="1890"/>
        <w:rPr>
          <w:szCs w:val="22"/>
        </w:rPr>
      </w:pPr>
      <w:r w:rsidRPr="0058223B">
        <w:rPr>
          <w:szCs w:val="22"/>
        </w:rPr>
        <w:t>“Adopting Order” means an order of the Bureau</w:t>
      </w:r>
      <w:r>
        <w:rPr>
          <w:szCs w:val="22"/>
        </w:rPr>
        <w:t>s</w:t>
      </w:r>
      <w:r w:rsidRPr="0058223B">
        <w:rPr>
          <w:szCs w:val="22"/>
        </w:rPr>
        <w:t xml:space="preserve"> adopting the terms of this Consent Decree without change, addition, deletion, or modification.</w:t>
      </w:r>
    </w:p>
    <w:p w:rsidR="005C64C4" w:rsidP="005C64C4">
      <w:pPr>
        <w:numPr>
          <w:ilvl w:val="0"/>
          <w:numId w:val="6"/>
        </w:numPr>
        <w:tabs>
          <w:tab w:val="clear" w:pos="3960"/>
        </w:tabs>
        <w:spacing w:after="120"/>
        <w:ind w:left="1890"/>
        <w:rPr>
          <w:szCs w:val="22"/>
        </w:rPr>
      </w:pPr>
      <w:r w:rsidRPr="0058223B">
        <w:rPr>
          <w:szCs w:val="22"/>
        </w:rPr>
        <w:t>“Bureau</w:t>
      </w:r>
      <w:r>
        <w:rPr>
          <w:szCs w:val="22"/>
        </w:rPr>
        <w:t>s</w:t>
      </w:r>
      <w:r w:rsidRPr="0058223B">
        <w:rPr>
          <w:szCs w:val="22"/>
        </w:rPr>
        <w:t>” means</w:t>
      </w:r>
      <w:r>
        <w:rPr>
          <w:szCs w:val="22"/>
        </w:rPr>
        <w:t>, collectively,</w:t>
      </w:r>
      <w:r w:rsidRPr="0058223B">
        <w:rPr>
          <w:szCs w:val="22"/>
        </w:rPr>
        <w:t xml:space="preserve"> the </w:t>
      </w:r>
      <w:r>
        <w:rPr>
          <w:szCs w:val="22"/>
        </w:rPr>
        <w:t xml:space="preserve">Media Bureau and </w:t>
      </w:r>
      <w:r w:rsidRPr="0058223B">
        <w:rPr>
          <w:szCs w:val="22"/>
        </w:rPr>
        <w:t>Enforcement Bureau of the FCC.</w:t>
      </w:r>
    </w:p>
    <w:p w:rsidR="005C64C4" w:rsidRPr="0058223B" w:rsidP="005C64C4">
      <w:pPr>
        <w:numPr>
          <w:ilvl w:val="0"/>
          <w:numId w:val="6"/>
        </w:numPr>
        <w:tabs>
          <w:tab w:val="clear" w:pos="3960"/>
        </w:tabs>
        <w:spacing w:after="120"/>
        <w:ind w:left="1890"/>
        <w:rPr>
          <w:szCs w:val="22"/>
        </w:rPr>
      </w:pPr>
      <w:r w:rsidRPr="0058223B">
        <w:rPr>
          <w:szCs w:val="22"/>
        </w:rPr>
        <w:t>“Commission” and “FCC” mean the Federal Communications Commission and a</w:t>
      </w:r>
      <w:r>
        <w:rPr>
          <w:szCs w:val="22"/>
        </w:rPr>
        <w:t xml:space="preserve">ny or </w:t>
      </w:r>
      <w:r>
        <w:rPr>
          <w:szCs w:val="22"/>
        </w:rPr>
        <w:t>al</w:t>
      </w:r>
      <w:r w:rsidRPr="0058223B">
        <w:rPr>
          <w:szCs w:val="22"/>
        </w:rPr>
        <w:t>l</w:t>
      </w:r>
      <w:r>
        <w:rPr>
          <w:szCs w:val="22"/>
        </w:rPr>
        <w:t xml:space="preserve"> </w:t>
      </w:r>
      <w:r w:rsidRPr="0058223B">
        <w:rPr>
          <w:szCs w:val="22"/>
        </w:rPr>
        <w:t>of</w:t>
      </w:r>
      <w:r w:rsidRPr="0058223B">
        <w:rPr>
          <w:szCs w:val="22"/>
        </w:rPr>
        <w:t xml:space="preserve"> its bureaus and offices.</w:t>
      </w:r>
    </w:p>
    <w:p w:rsidR="005C64C4" w:rsidRPr="0058223B" w:rsidP="005C64C4">
      <w:pPr>
        <w:numPr>
          <w:ilvl w:val="0"/>
          <w:numId w:val="6"/>
        </w:numPr>
        <w:tabs>
          <w:tab w:val="clear" w:pos="3960"/>
        </w:tabs>
        <w:spacing w:after="120"/>
        <w:ind w:left="1890"/>
        <w:rPr>
          <w:szCs w:val="22"/>
        </w:rPr>
      </w:pPr>
      <w:r w:rsidRPr="0058223B">
        <w:rPr>
          <w:szCs w:val="22"/>
        </w:rPr>
        <w:t xml:space="preserve">“Communications Laws” means collectively, the Act, the Rules, and the published and promulgated orders and decisions of the Commission to which each Commission licensee, including </w:t>
      </w:r>
      <w:r>
        <w:rPr>
          <w:szCs w:val="22"/>
        </w:rPr>
        <w:t>STEM</w:t>
      </w:r>
      <w:r w:rsidRPr="0058223B">
        <w:rPr>
          <w:szCs w:val="22"/>
        </w:rPr>
        <w:t>, is subject by virtue of its being a Commission licensee, including but not limited to</w:t>
      </w:r>
      <w:r>
        <w:rPr>
          <w:szCs w:val="22"/>
        </w:rPr>
        <w:t xml:space="preserve"> the Underwriting Laws.</w:t>
      </w:r>
    </w:p>
    <w:p w:rsidR="005C64C4" w:rsidRPr="00B2001B" w:rsidP="005C64C4">
      <w:pPr>
        <w:numPr>
          <w:ilvl w:val="0"/>
          <w:numId w:val="6"/>
        </w:numPr>
        <w:tabs>
          <w:tab w:val="clear" w:pos="3960"/>
        </w:tabs>
        <w:spacing w:after="120"/>
        <w:ind w:left="1890"/>
        <w:rPr>
          <w:szCs w:val="22"/>
        </w:rPr>
      </w:pPr>
      <w:r w:rsidRPr="0058223B">
        <w:rPr>
          <w:szCs w:val="22"/>
        </w:rPr>
        <w:t>“Complaint” means</w:t>
      </w:r>
      <w:r>
        <w:rPr>
          <w:szCs w:val="22"/>
        </w:rPr>
        <w:t xml:space="preserve"> </w:t>
      </w:r>
      <w:r w:rsidRPr="0058223B">
        <w:rPr>
          <w:szCs w:val="22"/>
        </w:rPr>
        <w:t xml:space="preserve">the third-party </w:t>
      </w:r>
      <w:r>
        <w:rPr>
          <w:szCs w:val="22"/>
        </w:rPr>
        <w:t>submission</w:t>
      </w:r>
      <w:r w:rsidRPr="0058223B">
        <w:rPr>
          <w:szCs w:val="22"/>
        </w:rPr>
        <w:t xml:space="preserve"> received by, or in the possession of, </w:t>
      </w:r>
      <w:r>
        <w:rPr>
          <w:szCs w:val="22"/>
        </w:rPr>
        <w:t>EB</w:t>
      </w:r>
      <w:r w:rsidRPr="0058223B">
        <w:rPr>
          <w:szCs w:val="22"/>
        </w:rPr>
        <w:t xml:space="preserve"> and alleging violation</w:t>
      </w:r>
      <w:r>
        <w:rPr>
          <w:szCs w:val="22"/>
        </w:rPr>
        <w:t>s</w:t>
      </w:r>
      <w:r w:rsidRPr="0058223B">
        <w:rPr>
          <w:szCs w:val="22"/>
        </w:rPr>
        <w:t xml:space="preserve"> of </w:t>
      </w:r>
      <w:r>
        <w:rPr>
          <w:szCs w:val="22"/>
        </w:rPr>
        <w:t>the Underwriting</w:t>
      </w:r>
      <w:r w:rsidRPr="0058223B">
        <w:rPr>
          <w:szCs w:val="22"/>
        </w:rPr>
        <w:t xml:space="preserve"> Laws, as described in this Consent Decree at </w:t>
      </w:r>
      <w:r w:rsidRPr="00B2001B">
        <w:rPr>
          <w:szCs w:val="22"/>
        </w:rPr>
        <w:t xml:space="preserve">Paragraph </w:t>
      </w:r>
      <w:r w:rsidRPr="00B2025B">
        <w:rPr>
          <w:szCs w:val="22"/>
        </w:rPr>
        <w:t>6</w:t>
      </w:r>
      <w:r w:rsidRPr="00B2001B">
        <w:rPr>
          <w:szCs w:val="22"/>
        </w:rPr>
        <w:t>.</w:t>
      </w:r>
    </w:p>
    <w:p w:rsidR="005C64C4" w:rsidRPr="00B2001B" w:rsidP="005C64C4">
      <w:pPr>
        <w:numPr>
          <w:ilvl w:val="0"/>
          <w:numId w:val="6"/>
        </w:numPr>
        <w:tabs>
          <w:tab w:val="clear" w:pos="3960"/>
        </w:tabs>
        <w:spacing w:after="120"/>
        <w:ind w:left="1890"/>
        <w:rPr>
          <w:szCs w:val="22"/>
        </w:rPr>
      </w:pPr>
      <w:r w:rsidRPr="00B2001B">
        <w:rPr>
          <w:szCs w:val="22"/>
        </w:rPr>
        <w:t>“Compliance Manual” means the part of the Underwriting</w:t>
      </w:r>
      <w:r w:rsidRPr="00A27941">
        <w:rPr>
          <w:szCs w:val="22"/>
        </w:rPr>
        <w:t xml:space="preserve"> Compliance Plan that </w:t>
      </w:r>
      <w:r w:rsidRPr="00A27941">
        <w:rPr>
          <w:color w:val="000000"/>
          <w:szCs w:val="22"/>
        </w:rPr>
        <w:t xml:space="preserve">explains the Underwriting Laws and sets forth the Operating Procedures that Covered Employees shall follow to help ensure </w:t>
      </w:r>
      <w:r>
        <w:rPr>
          <w:szCs w:val="22"/>
        </w:rPr>
        <w:t>STEM</w:t>
      </w:r>
      <w:r w:rsidRPr="00A27941">
        <w:rPr>
          <w:szCs w:val="22"/>
        </w:rPr>
        <w:t xml:space="preserve">’s compliance with the Communications Laws, including the Underwriting Laws, pursuant to </w:t>
      </w:r>
      <w:r w:rsidRPr="00B2001B">
        <w:rPr>
          <w:szCs w:val="22"/>
        </w:rPr>
        <w:t xml:space="preserve">Paragraph </w:t>
      </w:r>
      <w:r w:rsidRPr="00B2025B">
        <w:rPr>
          <w:szCs w:val="22"/>
        </w:rPr>
        <w:t>16(d).</w:t>
      </w:r>
      <w:r w:rsidRPr="00B2001B">
        <w:rPr>
          <w:szCs w:val="22"/>
        </w:rPr>
        <w:t xml:space="preserve">  </w:t>
      </w:r>
    </w:p>
    <w:p w:rsidR="005C64C4" w:rsidRPr="00A27941" w:rsidP="005C64C4">
      <w:pPr>
        <w:numPr>
          <w:ilvl w:val="0"/>
          <w:numId w:val="6"/>
        </w:numPr>
        <w:tabs>
          <w:tab w:val="clear" w:pos="3960"/>
        </w:tabs>
        <w:spacing w:after="120"/>
        <w:ind w:left="1890"/>
        <w:rPr>
          <w:szCs w:val="22"/>
        </w:rPr>
      </w:pPr>
      <w:r>
        <w:rPr>
          <w:szCs w:val="22"/>
        </w:rPr>
        <w:t xml:space="preserve">“Compliance Officer” means </w:t>
      </w:r>
      <w:r w:rsidRPr="00EB6A7F">
        <w:rPr>
          <w:szCs w:val="22"/>
        </w:rPr>
        <w:t>an</w:t>
      </w:r>
      <w:r>
        <w:rPr>
          <w:szCs w:val="22"/>
        </w:rPr>
        <w:t xml:space="preserve"> independent</w:t>
      </w:r>
      <w:r w:rsidRPr="00EB6A7F">
        <w:rPr>
          <w:szCs w:val="22"/>
        </w:rPr>
        <w:t xml:space="preserve"> FCC regulatory counsel </w:t>
      </w:r>
      <w:r>
        <w:rPr>
          <w:szCs w:val="22"/>
        </w:rPr>
        <w:t xml:space="preserve">or other third party </w:t>
      </w:r>
      <w:r w:rsidRPr="00EB6A7F">
        <w:rPr>
          <w:szCs w:val="22"/>
        </w:rPr>
        <w:t xml:space="preserve">with the requisite corporate and organizational authority to serve </w:t>
      </w:r>
      <w:r>
        <w:rPr>
          <w:szCs w:val="22"/>
        </w:rPr>
        <w:t xml:space="preserve">in this capacity pursuant to Paragraph </w:t>
      </w:r>
      <w:r w:rsidRPr="00503553">
        <w:rPr>
          <w:szCs w:val="22"/>
        </w:rPr>
        <w:t>14</w:t>
      </w:r>
      <w:r>
        <w:rPr>
          <w:szCs w:val="22"/>
        </w:rPr>
        <w:t xml:space="preserve">, and if the latter, in consultation with and assisted </w:t>
      </w:r>
      <w:r w:rsidRPr="00EB6A7F">
        <w:rPr>
          <w:szCs w:val="22"/>
        </w:rPr>
        <w:t xml:space="preserve">by outside regulatory </w:t>
      </w:r>
      <w:r w:rsidRPr="00A27941">
        <w:rPr>
          <w:szCs w:val="22"/>
        </w:rPr>
        <w:t>counsel.</w:t>
      </w:r>
    </w:p>
    <w:p w:rsidR="005C64C4" w:rsidRPr="00B2001B" w:rsidP="005C64C4">
      <w:pPr>
        <w:numPr>
          <w:ilvl w:val="0"/>
          <w:numId w:val="6"/>
        </w:numPr>
        <w:tabs>
          <w:tab w:val="clear" w:pos="3960"/>
        </w:tabs>
        <w:spacing w:after="120"/>
        <w:ind w:left="1890"/>
        <w:rPr>
          <w:szCs w:val="22"/>
        </w:rPr>
      </w:pPr>
      <w:r w:rsidRPr="00A27941">
        <w:rPr>
          <w:szCs w:val="22"/>
        </w:rPr>
        <w:t>“Compliance Reports” mean</w:t>
      </w:r>
      <w:r>
        <w:rPr>
          <w:szCs w:val="22"/>
        </w:rPr>
        <w:t>s</w:t>
      </w:r>
      <w:r w:rsidRPr="00A27941">
        <w:rPr>
          <w:szCs w:val="22"/>
        </w:rPr>
        <w:t xml:space="preserve"> the reports that </w:t>
      </w:r>
      <w:r>
        <w:rPr>
          <w:szCs w:val="22"/>
        </w:rPr>
        <w:t>STEM</w:t>
      </w:r>
      <w:r w:rsidRPr="00A27941">
        <w:rPr>
          <w:szCs w:val="22"/>
        </w:rPr>
        <w:t xml:space="preserve"> shall </w:t>
      </w:r>
      <w:r>
        <w:rPr>
          <w:szCs w:val="22"/>
        </w:rPr>
        <w:t xml:space="preserve">be required to </w:t>
      </w:r>
      <w:r w:rsidRPr="00A27941">
        <w:rPr>
          <w:szCs w:val="22"/>
        </w:rPr>
        <w:t xml:space="preserve">file pursuant to </w:t>
      </w:r>
      <w:r w:rsidRPr="00B2001B">
        <w:rPr>
          <w:szCs w:val="22"/>
        </w:rPr>
        <w:t xml:space="preserve">Paragraph </w:t>
      </w:r>
      <w:r w:rsidRPr="00503553">
        <w:rPr>
          <w:szCs w:val="22"/>
        </w:rPr>
        <w:t>18</w:t>
      </w:r>
      <w:r w:rsidRPr="00B2001B">
        <w:rPr>
          <w:szCs w:val="22"/>
        </w:rPr>
        <w:t>.</w:t>
      </w:r>
    </w:p>
    <w:p w:rsidR="005C64C4" w:rsidP="005C64C4">
      <w:pPr>
        <w:numPr>
          <w:ilvl w:val="0"/>
          <w:numId w:val="6"/>
        </w:numPr>
        <w:tabs>
          <w:tab w:val="clear" w:pos="3960"/>
        </w:tabs>
        <w:spacing w:after="120"/>
        <w:ind w:left="1890"/>
        <w:rPr>
          <w:szCs w:val="22"/>
        </w:rPr>
      </w:pPr>
      <w:r>
        <w:rPr>
          <w:szCs w:val="22"/>
        </w:rPr>
        <w:t>“Covered Employee” means all STEM employees and agents, including, but not limited to volunteers and members of STEM’s governing board who perform, or supervise, oversee, or manage the performance of duties related to STEM’s responsibilities under the Communications Laws, including the Underwriting Laws</w:t>
      </w:r>
      <w:r w:rsidRPr="005021B3">
        <w:rPr>
          <w:szCs w:val="22"/>
        </w:rPr>
        <w:t>.</w:t>
      </w:r>
    </w:p>
    <w:p w:rsidR="005C64C4" w:rsidRPr="00E52D8C" w:rsidP="005C64C4">
      <w:pPr>
        <w:numPr>
          <w:ilvl w:val="0"/>
          <w:numId w:val="6"/>
        </w:numPr>
        <w:tabs>
          <w:tab w:val="clear" w:pos="3960"/>
        </w:tabs>
        <w:spacing w:after="120"/>
        <w:ind w:left="1890"/>
        <w:rPr>
          <w:szCs w:val="22"/>
        </w:rPr>
      </w:pPr>
      <w:r>
        <w:rPr>
          <w:szCs w:val="22"/>
        </w:rPr>
        <w:t xml:space="preserve">“Decision” means </w:t>
      </w:r>
      <w:r w:rsidRPr="000A475F">
        <w:rPr>
          <w:i/>
          <w:szCs w:val="22"/>
        </w:rPr>
        <w:t>KFXY-LP, Mesa, AZ, Petition for Reconsideration, Informal Objections</w:t>
      </w:r>
      <w:r w:rsidRPr="000A475F">
        <w:rPr>
          <w:szCs w:val="22"/>
        </w:rPr>
        <w:t xml:space="preserve">, Letter Order (MB-AD June 25, 2018) </w:t>
      </w:r>
      <w:r w:rsidRPr="008327F2">
        <w:rPr>
          <w:szCs w:val="22"/>
        </w:rPr>
        <w:t xml:space="preserve">from Albert Shuldiner, </w:t>
      </w:r>
      <w:r>
        <w:rPr>
          <w:szCs w:val="22"/>
        </w:rPr>
        <w:t xml:space="preserve">Chief, Audio Division, </w:t>
      </w:r>
      <w:r w:rsidRPr="008327F2">
        <w:rPr>
          <w:szCs w:val="22"/>
        </w:rPr>
        <w:t xml:space="preserve">Media Bureau, FCC </w:t>
      </w:r>
      <w:r w:rsidRPr="00E4529C">
        <w:rPr>
          <w:szCs w:val="22"/>
        </w:rPr>
        <w:t>to Ryan Greig</w:t>
      </w:r>
      <w:r>
        <w:rPr>
          <w:szCs w:val="22"/>
        </w:rPr>
        <w:t>, President, STEM, John S. Neely, Esq., Miller and Neely, P. C., counsel to 1TV.com, Inc., and Len Novin, which acted upon the STEM Applications.</w:t>
      </w:r>
    </w:p>
    <w:p w:rsidR="005C64C4" w:rsidP="005C64C4">
      <w:pPr>
        <w:numPr>
          <w:ilvl w:val="0"/>
          <w:numId w:val="6"/>
        </w:numPr>
        <w:tabs>
          <w:tab w:val="clear" w:pos="3960"/>
        </w:tabs>
        <w:spacing w:after="120"/>
        <w:ind w:left="1890"/>
        <w:rPr>
          <w:szCs w:val="22"/>
        </w:rPr>
      </w:pPr>
      <w:r>
        <w:rPr>
          <w:szCs w:val="22"/>
        </w:rPr>
        <w:t>“EB” means the Enforcement Bureau of the Federal Communications Commission.</w:t>
      </w:r>
    </w:p>
    <w:p w:rsidR="005C64C4" w:rsidRPr="0058223B" w:rsidP="005C64C4">
      <w:pPr>
        <w:numPr>
          <w:ilvl w:val="0"/>
          <w:numId w:val="6"/>
        </w:numPr>
        <w:tabs>
          <w:tab w:val="clear" w:pos="3960"/>
        </w:tabs>
        <w:spacing w:after="120"/>
        <w:ind w:left="1890"/>
        <w:rPr>
          <w:szCs w:val="22"/>
        </w:rPr>
      </w:pPr>
      <w:r w:rsidRPr="00186C72">
        <w:rPr>
          <w:szCs w:val="22"/>
        </w:rPr>
        <w:t>“Effective Date” means the date by which the Bureau</w:t>
      </w:r>
      <w:r>
        <w:rPr>
          <w:szCs w:val="22"/>
        </w:rPr>
        <w:t>s</w:t>
      </w:r>
      <w:r w:rsidRPr="00186C72">
        <w:rPr>
          <w:szCs w:val="22"/>
        </w:rPr>
        <w:t xml:space="preserve"> and</w:t>
      </w:r>
      <w:r>
        <w:rPr>
          <w:szCs w:val="22"/>
        </w:rPr>
        <w:t xml:space="preserve"> STEM</w:t>
      </w:r>
      <w:r w:rsidRPr="00186C72">
        <w:rPr>
          <w:szCs w:val="22"/>
        </w:rPr>
        <w:t xml:space="preserve"> have </w:t>
      </w:r>
      <w:r>
        <w:rPr>
          <w:szCs w:val="22"/>
        </w:rPr>
        <w:t xml:space="preserve">all </w:t>
      </w:r>
      <w:r w:rsidRPr="00186C72">
        <w:rPr>
          <w:szCs w:val="22"/>
        </w:rPr>
        <w:t>signed the Consent Decree.</w:t>
      </w:r>
    </w:p>
    <w:p w:rsidR="005C64C4" w:rsidP="005C64C4">
      <w:pPr>
        <w:numPr>
          <w:ilvl w:val="0"/>
          <w:numId w:val="6"/>
        </w:numPr>
        <w:tabs>
          <w:tab w:val="clear" w:pos="3960"/>
        </w:tabs>
        <w:spacing w:after="120"/>
        <w:ind w:left="1890"/>
        <w:rPr>
          <w:szCs w:val="22"/>
        </w:rPr>
      </w:pPr>
      <w:r w:rsidRPr="0058223B">
        <w:rPr>
          <w:szCs w:val="22"/>
        </w:rPr>
        <w:t xml:space="preserve">“Investigation” means the investigation commenced by </w:t>
      </w:r>
      <w:r>
        <w:rPr>
          <w:szCs w:val="22"/>
        </w:rPr>
        <w:t>EB in EB-IHD-</w:t>
      </w:r>
      <w:r w:rsidRPr="005F3793">
        <w:rPr>
          <w:szCs w:val="22"/>
        </w:rPr>
        <w:t>17-00025521</w:t>
      </w:r>
      <w:r>
        <w:rPr>
          <w:szCs w:val="22"/>
        </w:rPr>
        <w:t>, regarding whether STEM</w:t>
      </w:r>
      <w:r w:rsidRPr="0058223B">
        <w:rPr>
          <w:szCs w:val="22"/>
        </w:rPr>
        <w:t xml:space="preserve"> violated the </w:t>
      </w:r>
      <w:r>
        <w:rPr>
          <w:szCs w:val="22"/>
        </w:rPr>
        <w:t>Underwriting</w:t>
      </w:r>
      <w:r w:rsidRPr="0058223B">
        <w:rPr>
          <w:szCs w:val="22"/>
        </w:rPr>
        <w:t xml:space="preserve"> Laws</w:t>
      </w:r>
      <w:r>
        <w:rPr>
          <w:szCs w:val="22"/>
        </w:rPr>
        <w:t>.</w:t>
      </w:r>
    </w:p>
    <w:p w:rsidR="005C64C4" w:rsidRPr="00C36285" w:rsidP="005C64C4">
      <w:pPr>
        <w:numPr>
          <w:ilvl w:val="0"/>
          <w:numId w:val="6"/>
        </w:numPr>
        <w:tabs>
          <w:tab w:val="clear" w:pos="3960"/>
        </w:tabs>
        <w:spacing w:after="120"/>
        <w:ind w:left="1890"/>
        <w:rPr>
          <w:szCs w:val="22"/>
        </w:rPr>
      </w:pPr>
      <w:r>
        <w:rPr>
          <w:szCs w:val="22"/>
        </w:rPr>
        <w:t xml:space="preserve">“Licensing Compliance Plan” means the compliance obligations, program, and procedures described in this Consent Decree at </w:t>
      </w:r>
      <w:r w:rsidRPr="00B2001B">
        <w:rPr>
          <w:szCs w:val="22"/>
        </w:rPr>
        <w:t xml:space="preserve">Paragraph </w:t>
      </w:r>
      <w:r w:rsidRPr="0083370E">
        <w:rPr>
          <w:szCs w:val="22"/>
        </w:rPr>
        <w:t>15</w:t>
      </w:r>
      <w:r w:rsidRPr="00B2001B">
        <w:rPr>
          <w:szCs w:val="22"/>
        </w:rPr>
        <w:t xml:space="preserve">. </w:t>
      </w:r>
    </w:p>
    <w:p w:rsidR="005C64C4" w:rsidP="005C64C4">
      <w:pPr>
        <w:numPr>
          <w:ilvl w:val="0"/>
          <w:numId w:val="6"/>
        </w:numPr>
        <w:tabs>
          <w:tab w:val="clear" w:pos="3960"/>
        </w:tabs>
        <w:spacing w:after="120"/>
        <w:ind w:left="1890"/>
        <w:rPr>
          <w:szCs w:val="22"/>
        </w:rPr>
      </w:pPr>
      <w:r>
        <w:rPr>
          <w:szCs w:val="22"/>
        </w:rPr>
        <w:t xml:space="preserve">“Licensing Matters” means, individually or collectively, matters pertaining to </w:t>
      </w:r>
      <w:r w:rsidRPr="003C3228">
        <w:rPr>
          <w:szCs w:val="22"/>
        </w:rPr>
        <w:t>STEM</w:t>
      </w:r>
      <w:r>
        <w:rPr>
          <w:szCs w:val="22"/>
        </w:rPr>
        <w:t xml:space="preserve">’s requests to MB for a permit, license, transfer of control, or special temporary authority, whether in the STEM Applications or in future applications by STEM.  </w:t>
      </w:r>
    </w:p>
    <w:p w:rsidR="005C64C4" w:rsidP="005C64C4">
      <w:pPr>
        <w:numPr>
          <w:ilvl w:val="0"/>
          <w:numId w:val="6"/>
        </w:numPr>
        <w:tabs>
          <w:tab w:val="clear" w:pos="3960"/>
        </w:tabs>
        <w:spacing w:after="120"/>
        <w:ind w:left="1890"/>
        <w:rPr>
          <w:szCs w:val="22"/>
        </w:rPr>
      </w:pPr>
      <w:r>
        <w:rPr>
          <w:szCs w:val="22"/>
        </w:rPr>
        <w:t>“MB” means the Media Bureau of the Federal Communications Commission.</w:t>
      </w:r>
    </w:p>
    <w:p w:rsidR="005C64C4" w:rsidRPr="00E52D8C" w:rsidP="005C64C4">
      <w:pPr>
        <w:numPr>
          <w:ilvl w:val="0"/>
          <w:numId w:val="6"/>
        </w:numPr>
        <w:tabs>
          <w:tab w:val="clear" w:pos="3960"/>
        </w:tabs>
        <w:spacing w:after="120"/>
        <w:ind w:left="1890"/>
        <w:rPr>
          <w:szCs w:val="22"/>
        </w:rPr>
      </w:pPr>
      <w:r>
        <w:rPr>
          <w:szCs w:val="22"/>
        </w:rPr>
        <w:t xml:space="preserve">“Objections” means, </w:t>
      </w:r>
      <w:r w:rsidRPr="00C47F0C">
        <w:rPr>
          <w:szCs w:val="22"/>
        </w:rPr>
        <w:t xml:space="preserve">individually or collectively, submissions </w:t>
      </w:r>
      <w:r>
        <w:rPr>
          <w:szCs w:val="22"/>
        </w:rPr>
        <w:t xml:space="preserve">MB </w:t>
      </w:r>
      <w:r w:rsidRPr="00C47F0C">
        <w:rPr>
          <w:szCs w:val="22"/>
        </w:rPr>
        <w:t xml:space="preserve">received </w:t>
      </w:r>
      <w:r>
        <w:rPr>
          <w:szCs w:val="22"/>
        </w:rPr>
        <w:t xml:space="preserve">from Objectors </w:t>
      </w:r>
      <w:r w:rsidRPr="00E54A5A">
        <w:rPr>
          <w:szCs w:val="22"/>
        </w:rPr>
        <w:t>alleging violation of the</w:t>
      </w:r>
      <w:r>
        <w:rPr>
          <w:szCs w:val="22"/>
        </w:rPr>
        <w:t xml:space="preserve"> Communications Laws with respect to the Licensing Matters.</w:t>
      </w:r>
    </w:p>
    <w:p w:rsidR="005C64C4" w:rsidP="005C64C4">
      <w:pPr>
        <w:numPr>
          <w:ilvl w:val="0"/>
          <w:numId w:val="6"/>
        </w:numPr>
        <w:tabs>
          <w:tab w:val="clear" w:pos="3960"/>
        </w:tabs>
        <w:spacing w:after="120"/>
        <w:ind w:left="1890"/>
        <w:rPr>
          <w:szCs w:val="22"/>
        </w:rPr>
      </w:pPr>
      <w:r>
        <w:rPr>
          <w:szCs w:val="22"/>
        </w:rPr>
        <w:t xml:space="preserve">“Objectors” means, </w:t>
      </w:r>
      <w:r w:rsidRPr="007E028A">
        <w:rPr>
          <w:szCs w:val="22"/>
        </w:rPr>
        <w:t>individually or collectively</w:t>
      </w:r>
      <w:r>
        <w:rPr>
          <w:szCs w:val="22"/>
        </w:rPr>
        <w:t xml:space="preserve">, </w:t>
      </w:r>
      <w:r w:rsidRPr="007E028A">
        <w:rPr>
          <w:szCs w:val="22"/>
        </w:rPr>
        <w:t xml:space="preserve">1TV.com, Inc. </w:t>
      </w:r>
      <w:r>
        <w:rPr>
          <w:szCs w:val="22"/>
        </w:rPr>
        <w:t>(</w:t>
      </w:r>
      <w:r w:rsidRPr="00372DB9">
        <w:rPr>
          <w:szCs w:val="22"/>
        </w:rPr>
        <w:t>licensee of KBSZ(AM), Apache Junction, Arizona</w:t>
      </w:r>
      <w:r>
        <w:rPr>
          <w:szCs w:val="22"/>
        </w:rPr>
        <w:t>) and</w:t>
      </w:r>
      <w:r w:rsidRPr="00372DB9">
        <w:rPr>
          <w:szCs w:val="22"/>
        </w:rPr>
        <w:t xml:space="preserve"> Len Novin</w:t>
      </w:r>
      <w:r>
        <w:rPr>
          <w:szCs w:val="22"/>
        </w:rPr>
        <w:t xml:space="preserve"> (</w:t>
      </w:r>
      <w:r w:rsidRPr="00372DB9">
        <w:rPr>
          <w:szCs w:val="22"/>
        </w:rPr>
        <w:t>own</w:t>
      </w:r>
      <w:r>
        <w:rPr>
          <w:szCs w:val="22"/>
        </w:rPr>
        <w:t>er of</w:t>
      </w:r>
      <w:r w:rsidRPr="00372DB9">
        <w:rPr>
          <w:szCs w:val="22"/>
        </w:rPr>
        <w:t xml:space="preserve"> the Station’s last authorized transmitter site</w:t>
      </w:r>
      <w:r>
        <w:rPr>
          <w:szCs w:val="22"/>
        </w:rPr>
        <w:t>).</w:t>
      </w:r>
    </w:p>
    <w:p w:rsidR="005C64C4" w:rsidRPr="00E52D8C" w:rsidP="005C64C4">
      <w:pPr>
        <w:numPr>
          <w:ilvl w:val="0"/>
          <w:numId w:val="6"/>
        </w:numPr>
        <w:tabs>
          <w:tab w:val="clear" w:pos="3960"/>
        </w:tabs>
        <w:spacing w:after="120"/>
        <w:ind w:left="1890"/>
        <w:rPr>
          <w:szCs w:val="22"/>
        </w:rPr>
      </w:pPr>
      <w:r w:rsidRPr="0058223B">
        <w:rPr>
          <w:szCs w:val="22"/>
        </w:rPr>
        <w:t xml:space="preserve">“Operating Procedures” means the standard, internal operating procedures and compliance policies established by </w:t>
      </w:r>
      <w:r>
        <w:rPr>
          <w:szCs w:val="22"/>
        </w:rPr>
        <w:t>STEM</w:t>
      </w:r>
      <w:r w:rsidRPr="0058223B">
        <w:rPr>
          <w:szCs w:val="22"/>
        </w:rPr>
        <w:t xml:space="preserve"> to implement the </w:t>
      </w:r>
      <w:r>
        <w:rPr>
          <w:szCs w:val="22"/>
        </w:rPr>
        <w:t xml:space="preserve">Underwriting </w:t>
      </w:r>
      <w:r w:rsidRPr="0058223B">
        <w:rPr>
          <w:szCs w:val="22"/>
        </w:rPr>
        <w:t>Compliance Plan.</w:t>
      </w:r>
    </w:p>
    <w:p w:rsidR="005C64C4" w:rsidP="005C64C4">
      <w:pPr>
        <w:numPr>
          <w:ilvl w:val="0"/>
          <w:numId w:val="6"/>
        </w:numPr>
        <w:tabs>
          <w:tab w:val="clear" w:pos="3960"/>
        </w:tabs>
        <w:spacing w:after="120"/>
        <w:ind w:left="1890"/>
        <w:rPr>
          <w:szCs w:val="22"/>
        </w:rPr>
      </w:pPr>
      <w:r w:rsidRPr="0058223B">
        <w:rPr>
          <w:szCs w:val="22"/>
        </w:rPr>
        <w:t xml:space="preserve">“Parties” means </w:t>
      </w:r>
      <w:r>
        <w:rPr>
          <w:szCs w:val="22"/>
        </w:rPr>
        <w:t>STEM</w:t>
      </w:r>
      <w:r w:rsidRPr="0058223B">
        <w:rPr>
          <w:szCs w:val="22"/>
        </w:rPr>
        <w:t xml:space="preserve"> and the Bureau</w:t>
      </w:r>
      <w:r>
        <w:rPr>
          <w:szCs w:val="22"/>
        </w:rPr>
        <w:t>s</w:t>
      </w:r>
      <w:r w:rsidRPr="0058223B">
        <w:rPr>
          <w:szCs w:val="22"/>
        </w:rPr>
        <w:t>, each of which is a “Party.”</w:t>
      </w:r>
    </w:p>
    <w:p w:rsidR="005C64C4" w:rsidRPr="0058223B" w:rsidP="005C64C4">
      <w:pPr>
        <w:numPr>
          <w:ilvl w:val="0"/>
          <w:numId w:val="6"/>
        </w:numPr>
        <w:tabs>
          <w:tab w:val="clear" w:pos="3960"/>
        </w:tabs>
        <w:spacing w:after="120"/>
        <w:ind w:left="1890"/>
        <w:rPr>
          <w:szCs w:val="22"/>
        </w:rPr>
      </w:pPr>
      <w:r>
        <w:rPr>
          <w:szCs w:val="22"/>
        </w:rPr>
        <w:t>“Petition” means STEM’s July 23, 2018, petition for reconsideration of the Decision.</w:t>
      </w:r>
    </w:p>
    <w:p w:rsidR="005C64C4" w:rsidP="005C64C4">
      <w:pPr>
        <w:numPr>
          <w:ilvl w:val="0"/>
          <w:numId w:val="6"/>
        </w:numPr>
        <w:tabs>
          <w:tab w:val="clear" w:pos="3960"/>
        </w:tabs>
        <w:spacing w:after="120"/>
        <w:ind w:left="1890"/>
        <w:rPr>
          <w:szCs w:val="22"/>
        </w:rPr>
      </w:pPr>
      <w:r w:rsidRPr="0058223B">
        <w:rPr>
          <w:szCs w:val="22"/>
        </w:rPr>
        <w:t>“Rules” means the Commission’s regulations found in Title 47 of the Code of Federal Regulations.</w:t>
      </w:r>
    </w:p>
    <w:p w:rsidR="005C64C4" w:rsidP="005C64C4">
      <w:pPr>
        <w:numPr>
          <w:ilvl w:val="0"/>
          <w:numId w:val="6"/>
        </w:numPr>
        <w:tabs>
          <w:tab w:val="clear" w:pos="3960"/>
        </w:tabs>
        <w:spacing w:after="120"/>
        <w:ind w:left="1890"/>
        <w:rPr>
          <w:szCs w:val="22"/>
        </w:rPr>
      </w:pPr>
      <w:r>
        <w:rPr>
          <w:szCs w:val="22"/>
        </w:rPr>
        <w:t xml:space="preserve">“Site Documentation” </w:t>
      </w:r>
      <w:r w:rsidRPr="00AC7F3C">
        <w:rPr>
          <w:szCs w:val="22"/>
        </w:rPr>
        <w:t xml:space="preserve">means the obligation under Paragraph </w:t>
      </w:r>
      <w:r w:rsidRPr="00EF4666">
        <w:rPr>
          <w:szCs w:val="22"/>
        </w:rPr>
        <w:t>15(a)</w:t>
      </w:r>
      <w:r w:rsidRPr="00AC7F3C">
        <w:rPr>
          <w:szCs w:val="22"/>
        </w:rPr>
        <w:t xml:space="preserve"> that describes the steps that </w:t>
      </w:r>
      <w:r>
        <w:rPr>
          <w:szCs w:val="22"/>
        </w:rPr>
        <w:t xml:space="preserve">STEM </w:t>
      </w:r>
      <w:r w:rsidRPr="00AC7F3C">
        <w:rPr>
          <w:szCs w:val="22"/>
        </w:rPr>
        <w:t xml:space="preserve">must follow to ensure that </w:t>
      </w:r>
      <w:r>
        <w:rPr>
          <w:szCs w:val="22"/>
        </w:rPr>
        <w:t xml:space="preserve">future applications to license modified facilities for the Station are accurate.  </w:t>
      </w:r>
    </w:p>
    <w:p w:rsidR="005C64C4" w:rsidP="005C64C4">
      <w:pPr>
        <w:numPr>
          <w:ilvl w:val="0"/>
          <w:numId w:val="6"/>
        </w:numPr>
        <w:tabs>
          <w:tab w:val="clear" w:pos="3960"/>
        </w:tabs>
        <w:spacing w:after="120"/>
        <w:ind w:left="1890"/>
        <w:rPr>
          <w:szCs w:val="22"/>
        </w:rPr>
      </w:pPr>
      <w:r w:rsidRPr="0058223B">
        <w:rPr>
          <w:szCs w:val="22"/>
        </w:rPr>
        <w:t>“Station” mean</w:t>
      </w:r>
      <w:r>
        <w:rPr>
          <w:szCs w:val="22"/>
        </w:rPr>
        <w:t xml:space="preserve">s </w:t>
      </w:r>
      <w:r w:rsidRPr="00495A81">
        <w:rPr>
          <w:szCs w:val="22"/>
        </w:rPr>
        <w:t>KFXY-LP</w:t>
      </w:r>
      <w:r w:rsidRPr="00A111B6">
        <w:rPr>
          <w:szCs w:val="22"/>
        </w:rPr>
        <w:t>,</w:t>
      </w:r>
      <w:r>
        <w:rPr>
          <w:b/>
          <w:szCs w:val="22"/>
        </w:rPr>
        <w:t xml:space="preserve"> </w:t>
      </w:r>
      <w:r w:rsidRPr="00495A81">
        <w:rPr>
          <w:szCs w:val="22"/>
        </w:rPr>
        <w:t>Mesa, Arizona</w:t>
      </w:r>
      <w:r>
        <w:rPr>
          <w:szCs w:val="22"/>
        </w:rPr>
        <w:t xml:space="preserve"> (Facility ID No. </w:t>
      </w:r>
      <w:r w:rsidRPr="00495A81">
        <w:rPr>
          <w:szCs w:val="22"/>
        </w:rPr>
        <w:t>192016</w:t>
      </w:r>
      <w:r>
        <w:rPr>
          <w:szCs w:val="22"/>
        </w:rPr>
        <w:t>).</w:t>
      </w:r>
    </w:p>
    <w:p w:rsidR="005C64C4" w:rsidRPr="00E52D8C" w:rsidP="005C64C4">
      <w:pPr>
        <w:numPr>
          <w:ilvl w:val="0"/>
          <w:numId w:val="6"/>
        </w:numPr>
        <w:tabs>
          <w:tab w:val="clear" w:pos="3960"/>
        </w:tabs>
        <w:spacing w:after="120"/>
        <w:ind w:left="1890"/>
        <w:rPr>
          <w:szCs w:val="22"/>
        </w:rPr>
      </w:pPr>
      <w:r>
        <w:rPr>
          <w:szCs w:val="22"/>
        </w:rPr>
        <w:t xml:space="preserve">“STEM” </w:t>
      </w:r>
      <w:r w:rsidRPr="0058223B">
        <w:rPr>
          <w:szCs w:val="22"/>
        </w:rPr>
        <w:t>means</w:t>
      </w:r>
      <w:r>
        <w:rPr>
          <w:szCs w:val="22"/>
        </w:rPr>
        <w:t xml:space="preserve"> </w:t>
      </w:r>
      <w:r w:rsidRPr="008B3D15">
        <w:rPr>
          <w:szCs w:val="22"/>
        </w:rPr>
        <w:t>San Tan Educational Media</w:t>
      </w:r>
      <w:r>
        <w:rPr>
          <w:szCs w:val="22"/>
        </w:rPr>
        <w:t xml:space="preserve"> </w:t>
      </w:r>
      <w:r w:rsidRPr="008B3D15">
        <w:rPr>
          <w:szCs w:val="22"/>
        </w:rPr>
        <w:t>and its affiliates, subsidiaries, predecessors-in-interest, and successors-in-interest.</w:t>
      </w:r>
    </w:p>
    <w:p w:rsidR="005C64C4" w:rsidRPr="00E52D8C" w:rsidP="005C64C4">
      <w:pPr>
        <w:numPr>
          <w:ilvl w:val="0"/>
          <w:numId w:val="6"/>
        </w:numPr>
        <w:tabs>
          <w:tab w:val="clear" w:pos="3960"/>
        </w:tabs>
        <w:spacing w:after="120"/>
        <w:ind w:left="1890"/>
        <w:rPr>
          <w:szCs w:val="22"/>
        </w:rPr>
      </w:pPr>
      <w:r>
        <w:rPr>
          <w:szCs w:val="22"/>
        </w:rPr>
        <w:t xml:space="preserve">“STEM Applications” means, individually and collectively, </w:t>
      </w:r>
      <w:r w:rsidRPr="003C3228">
        <w:rPr>
          <w:szCs w:val="22"/>
        </w:rPr>
        <w:t>File Nos. BLL-20170710AAT</w:t>
      </w:r>
      <w:r>
        <w:rPr>
          <w:szCs w:val="22"/>
        </w:rPr>
        <w:t xml:space="preserve"> (License Application)</w:t>
      </w:r>
      <w:r w:rsidRPr="003C3228">
        <w:rPr>
          <w:szCs w:val="22"/>
        </w:rPr>
        <w:t>, BPL-20170911AD</w:t>
      </w:r>
      <w:r>
        <w:rPr>
          <w:szCs w:val="22"/>
        </w:rPr>
        <w:t>I (First Modification Application)</w:t>
      </w:r>
      <w:r w:rsidRPr="003C3228">
        <w:rPr>
          <w:szCs w:val="22"/>
        </w:rPr>
        <w:t>, BTCL-20171004AAB</w:t>
      </w:r>
      <w:r>
        <w:rPr>
          <w:szCs w:val="22"/>
        </w:rPr>
        <w:t xml:space="preserve"> (Transfer Application)</w:t>
      </w:r>
      <w:r w:rsidRPr="003C3228">
        <w:rPr>
          <w:szCs w:val="22"/>
        </w:rPr>
        <w:t>, BPL-20180117ACV</w:t>
      </w:r>
      <w:r>
        <w:rPr>
          <w:szCs w:val="22"/>
        </w:rPr>
        <w:t xml:space="preserve"> (Second Modification Application)</w:t>
      </w:r>
      <w:r w:rsidRPr="003C3228">
        <w:rPr>
          <w:szCs w:val="22"/>
        </w:rPr>
        <w:t xml:space="preserve">, </w:t>
      </w:r>
      <w:r>
        <w:rPr>
          <w:szCs w:val="22"/>
        </w:rPr>
        <w:t>and</w:t>
      </w:r>
      <w:r w:rsidRPr="003C3228">
        <w:rPr>
          <w:szCs w:val="22"/>
        </w:rPr>
        <w:t xml:space="preserve"> BLESTA-20180514ACA</w:t>
      </w:r>
      <w:r>
        <w:rPr>
          <w:szCs w:val="22"/>
        </w:rPr>
        <w:t>.</w:t>
      </w:r>
    </w:p>
    <w:p w:rsidR="005C64C4" w:rsidP="005C64C4">
      <w:pPr>
        <w:numPr>
          <w:ilvl w:val="0"/>
          <w:numId w:val="6"/>
        </w:numPr>
        <w:tabs>
          <w:tab w:val="clear" w:pos="3960"/>
        </w:tabs>
        <w:spacing w:after="120"/>
        <w:ind w:left="1890"/>
        <w:rPr>
          <w:szCs w:val="22"/>
        </w:rPr>
      </w:pPr>
      <w:r>
        <w:rPr>
          <w:szCs w:val="22"/>
        </w:rPr>
        <w:t xml:space="preserve">“Underwriting Announcement” means any announcement, message, or other program material, broadcast over a noncommercial station licensed to STEM, or by any of its successors, assigns, or transferees, made in exchange for consideration, on behalf of any for-profit entity. </w:t>
      </w:r>
    </w:p>
    <w:p w:rsidR="005C64C4" w:rsidP="005C64C4">
      <w:pPr>
        <w:numPr>
          <w:ilvl w:val="0"/>
          <w:numId w:val="6"/>
        </w:numPr>
        <w:tabs>
          <w:tab w:val="clear" w:pos="3960"/>
        </w:tabs>
        <w:spacing w:after="120"/>
        <w:ind w:left="1890"/>
        <w:rPr>
          <w:szCs w:val="22"/>
        </w:rPr>
      </w:pPr>
      <w:r>
        <w:rPr>
          <w:szCs w:val="22"/>
        </w:rPr>
        <w:t xml:space="preserve">“Underwriting Compliance Checklist” means the obligation under </w:t>
      </w:r>
      <w:r w:rsidRPr="00B2001B">
        <w:rPr>
          <w:szCs w:val="22"/>
        </w:rPr>
        <w:t xml:space="preserve">Paragraph </w:t>
      </w:r>
      <w:r w:rsidRPr="00EF4666">
        <w:rPr>
          <w:szCs w:val="22"/>
        </w:rPr>
        <w:t>16(c)</w:t>
      </w:r>
      <w:r w:rsidRPr="00B2001B">
        <w:rPr>
          <w:szCs w:val="22"/>
        </w:rPr>
        <w:t xml:space="preserve"> </w:t>
      </w:r>
      <w:r w:rsidRPr="00B2001B">
        <w:rPr>
          <w:color w:val="000000"/>
          <w:szCs w:val="22"/>
        </w:rPr>
        <w:t>that describes the steps that a Covered Employee must follow to en</w:t>
      </w:r>
      <w:r w:rsidRPr="00501243">
        <w:rPr>
          <w:color w:val="000000"/>
          <w:szCs w:val="22"/>
        </w:rPr>
        <w:t>sure that all material approved for broadcast is consistent with relevant past Commission precedent regarding the Underwriting Laws</w:t>
      </w:r>
      <w:r>
        <w:rPr>
          <w:color w:val="000000"/>
          <w:szCs w:val="22"/>
        </w:rPr>
        <w:t>.</w:t>
      </w:r>
    </w:p>
    <w:p w:rsidR="005C64C4" w:rsidRPr="00B2001B" w:rsidP="005C64C4">
      <w:pPr>
        <w:numPr>
          <w:ilvl w:val="0"/>
          <w:numId w:val="6"/>
        </w:numPr>
        <w:tabs>
          <w:tab w:val="clear" w:pos="3960"/>
        </w:tabs>
        <w:spacing w:after="120"/>
        <w:ind w:left="1890"/>
        <w:rPr>
          <w:szCs w:val="22"/>
        </w:rPr>
      </w:pPr>
      <w:r>
        <w:rPr>
          <w:szCs w:val="22"/>
        </w:rPr>
        <w:t xml:space="preserve">“Underwriting Compliance Plan” means the compliance obligations, program, and procedures described in this Consent Decree at </w:t>
      </w:r>
      <w:r w:rsidRPr="00B2001B">
        <w:rPr>
          <w:szCs w:val="22"/>
        </w:rPr>
        <w:t xml:space="preserve">Paragraph </w:t>
      </w:r>
      <w:r w:rsidRPr="00EF4666">
        <w:rPr>
          <w:szCs w:val="22"/>
        </w:rPr>
        <w:t>16.</w:t>
      </w:r>
      <w:r w:rsidRPr="00B2001B">
        <w:rPr>
          <w:szCs w:val="22"/>
        </w:rPr>
        <w:t xml:space="preserve"> </w:t>
      </w:r>
    </w:p>
    <w:p w:rsidR="005C64C4" w:rsidRPr="00B2001B" w:rsidP="005C64C4">
      <w:pPr>
        <w:numPr>
          <w:ilvl w:val="0"/>
          <w:numId w:val="6"/>
        </w:numPr>
        <w:tabs>
          <w:tab w:val="clear" w:pos="3960"/>
        </w:tabs>
        <w:spacing w:after="120"/>
        <w:ind w:left="1890"/>
        <w:rPr>
          <w:szCs w:val="22"/>
        </w:rPr>
      </w:pPr>
      <w:r w:rsidRPr="00B2001B">
        <w:rPr>
          <w:szCs w:val="22"/>
        </w:rPr>
        <w:t>“Underwriting Compliance Training Program”</w:t>
      </w:r>
      <w:r>
        <w:rPr>
          <w:szCs w:val="22"/>
        </w:rPr>
        <w:t xml:space="preserve"> means the requirements of the Underwriting Compliance Plan as detailed in </w:t>
      </w:r>
      <w:r w:rsidRPr="00B2001B">
        <w:rPr>
          <w:szCs w:val="22"/>
        </w:rPr>
        <w:t xml:space="preserve">Paragraph </w:t>
      </w:r>
      <w:r w:rsidRPr="00EF4666">
        <w:rPr>
          <w:szCs w:val="22"/>
        </w:rPr>
        <w:t>16(e).</w:t>
      </w:r>
    </w:p>
    <w:p w:rsidR="005C64C4" w:rsidP="005C64C4">
      <w:pPr>
        <w:numPr>
          <w:ilvl w:val="0"/>
          <w:numId w:val="6"/>
        </w:numPr>
        <w:tabs>
          <w:tab w:val="clear" w:pos="3960"/>
        </w:tabs>
        <w:spacing w:after="120"/>
        <w:ind w:left="1886"/>
        <w:rPr>
          <w:szCs w:val="22"/>
        </w:rPr>
      </w:pPr>
      <w:r w:rsidRPr="00B2001B">
        <w:rPr>
          <w:szCs w:val="22"/>
        </w:rPr>
        <w:t>“Underwriting Laws” means, individually or</w:t>
      </w:r>
      <w:r>
        <w:rPr>
          <w:szCs w:val="22"/>
        </w:rPr>
        <w:t xml:space="preserve"> collectively, section 399B</w:t>
      </w:r>
      <w:r w:rsidRPr="0058223B">
        <w:rPr>
          <w:szCs w:val="22"/>
        </w:rPr>
        <w:t xml:space="preserve"> of the Act</w:t>
      </w:r>
      <w:r>
        <w:rPr>
          <w:szCs w:val="22"/>
        </w:rPr>
        <w:t>, and sections 73.801 and 73.503(d)</w:t>
      </w:r>
      <w:r w:rsidRPr="0058223B">
        <w:rPr>
          <w:szCs w:val="22"/>
        </w:rPr>
        <w:t xml:space="preserve"> of the Rules,</w:t>
      </w:r>
      <w:r>
        <w:rPr>
          <w:rStyle w:val="FootnoteReference"/>
        </w:rPr>
        <w:footnoteReference w:id="18"/>
      </w:r>
      <w:r w:rsidRPr="0058223B">
        <w:rPr>
          <w:szCs w:val="22"/>
        </w:rPr>
        <w:t xml:space="preserve"> and the decisions and orders of the Commission interpreting these provisions.</w:t>
      </w:r>
    </w:p>
    <w:p w:rsidR="005C64C4" w:rsidP="005C64C4">
      <w:pPr>
        <w:pStyle w:val="Heading1"/>
        <w:keepNext w:val="0"/>
      </w:pPr>
      <w:r w:rsidRPr="00E014BC">
        <w:t>background</w:t>
      </w:r>
    </w:p>
    <w:p w:rsidR="005C64C4" w:rsidP="005C64C4">
      <w:pPr>
        <w:pStyle w:val="ParaNum"/>
      </w:pPr>
      <w:r w:rsidRPr="00E94BED">
        <w:rPr>
          <w:i/>
        </w:rPr>
        <w:t>MB Licensing Matters.</w:t>
      </w:r>
      <w:r w:rsidRPr="008C2489">
        <w:rPr>
          <w:b/>
        </w:rPr>
        <w:t xml:space="preserve">  </w:t>
      </w:r>
      <w:r w:rsidRPr="008C2489">
        <w:t xml:space="preserve">STEM first </w:t>
      </w:r>
      <w:r>
        <w:t xml:space="preserve">received a </w:t>
      </w:r>
      <w:r w:rsidRPr="008C2489">
        <w:t>license</w:t>
      </w:r>
      <w:r>
        <w:t xml:space="preserve"> for</w:t>
      </w:r>
      <w:r w:rsidRPr="008C2489">
        <w:t xml:space="preserve"> the Station in 2015, </w:t>
      </w:r>
      <w:r>
        <w:t xml:space="preserve">subsequently </w:t>
      </w:r>
      <w:r w:rsidRPr="008C2489">
        <w:t>lost its transmitter site, and filed applications in 2017 and 2018 to be licensed at a new site and to make further facility modifications.</w:t>
      </w:r>
      <w:r>
        <w:rPr>
          <w:rStyle w:val="FootnoteReference"/>
        </w:rPr>
        <w:footnoteReference w:id="19"/>
      </w:r>
      <w:r w:rsidRPr="008C2489">
        <w:t xml:space="preserve"> </w:t>
      </w:r>
      <w:r>
        <w:t xml:space="preserve"> </w:t>
      </w:r>
      <w:r w:rsidRPr="008C2489">
        <w:t xml:space="preserve">Objectors opposed the </w:t>
      </w:r>
      <w:r>
        <w:t xml:space="preserve">STEM </w:t>
      </w:r>
      <w:r w:rsidRPr="008C2489">
        <w:t>Applications</w:t>
      </w:r>
      <w:r>
        <w:t xml:space="preserve">, </w:t>
      </w:r>
      <w:r w:rsidRPr="004E183F">
        <w:t>argu</w:t>
      </w:r>
      <w:r>
        <w:t>ing</w:t>
      </w:r>
      <w:r w:rsidRPr="004E183F">
        <w:t xml:space="preserve"> that STEM is unqualified due to alleged violations of Comm</w:t>
      </w:r>
      <w:r>
        <w:t>unications</w:t>
      </w:r>
      <w:r w:rsidRPr="004E183F">
        <w:t xml:space="preserve"> </w:t>
      </w:r>
      <w:r>
        <w:t xml:space="preserve">Laws including construction of unauthorized facilities, a false certification that the facilities were constructed as authorized by the Commission, and </w:t>
      </w:r>
      <w:r w:rsidRPr="008C2489">
        <w:t>an alleged unauthorized transfer of control to a new governing board.</w:t>
      </w:r>
      <w:r>
        <w:rPr>
          <w:rStyle w:val="FootnoteReference"/>
        </w:rPr>
        <w:footnoteReference w:id="20"/>
      </w:r>
      <w:r w:rsidRPr="008C2489">
        <w:t xml:space="preserve"> </w:t>
      </w:r>
      <w:r w:rsidRPr="004F5C7E">
        <w:t xml:space="preserve"> </w:t>
      </w:r>
      <w:r>
        <w:t xml:space="preserve">In response to these objections, </w:t>
      </w:r>
      <w:r w:rsidRPr="004F5C7E">
        <w:t xml:space="preserve">STEM </w:t>
      </w:r>
      <w:r>
        <w:t xml:space="preserve">acknowledged a </w:t>
      </w:r>
      <w:r w:rsidRPr="006C4F00">
        <w:t>sudden, 100</w:t>
      </w:r>
      <w:r>
        <w:t>%</w:t>
      </w:r>
      <w:r w:rsidRPr="006C4F00">
        <w:t xml:space="preserve"> transfer of control </w:t>
      </w:r>
      <w:r>
        <w:t>without Commission consent and filed the Transfer Application approximately two years after the transfer occurred</w:t>
      </w:r>
      <w:r w:rsidRPr="004F5C7E">
        <w:t>.</w:t>
      </w:r>
      <w:r>
        <w:rPr>
          <w:vertAlign w:val="superscript"/>
        </w:rPr>
        <w:footnoteReference w:id="21"/>
      </w:r>
      <w:r w:rsidRPr="004F5C7E">
        <w:t xml:space="preserve">  </w:t>
      </w:r>
      <w:r>
        <w:t>STEM also acknowledged that it had constructed facilities at a lower height than authorized by the Commission.  STEM says it erroneously believed that no further Commission consent was needed for the transfer or construction at variance.</w:t>
      </w:r>
    </w:p>
    <w:p w:rsidR="005C64C4" w:rsidRPr="005B7AA7" w:rsidP="005C64C4">
      <w:pPr>
        <w:pStyle w:val="ParaNum"/>
      </w:pPr>
      <w:r>
        <w:rPr>
          <w:color w:val="000000"/>
          <w:szCs w:val="22"/>
        </w:rPr>
        <w:t xml:space="preserve">MB dismissed the Transfer Application pursuant to section 73.865(c) of the Rules, which prohibits </w:t>
      </w:r>
      <w:r w:rsidRPr="005F66E7">
        <w:rPr>
          <w:color w:val="000000"/>
          <w:szCs w:val="22"/>
        </w:rPr>
        <w:t xml:space="preserve">LPFM </w:t>
      </w:r>
      <w:r>
        <w:rPr>
          <w:color w:val="000000"/>
          <w:szCs w:val="22"/>
        </w:rPr>
        <w:t xml:space="preserve">transfers prior to completion of </w:t>
      </w:r>
      <w:r w:rsidRPr="005F66E7">
        <w:rPr>
          <w:color w:val="000000"/>
          <w:szCs w:val="22"/>
        </w:rPr>
        <w:t>a three-year</w:t>
      </w:r>
      <w:r>
        <w:rPr>
          <w:color w:val="000000"/>
          <w:szCs w:val="22"/>
        </w:rPr>
        <w:t>,</w:t>
      </w:r>
      <w:r w:rsidRPr="005F66E7">
        <w:rPr>
          <w:color w:val="000000"/>
          <w:szCs w:val="22"/>
        </w:rPr>
        <w:t xml:space="preserve"> </w:t>
      </w:r>
      <w:r>
        <w:rPr>
          <w:color w:val="000000"/>
          <w:szCs w:val="22"/>
        </w:rPr>
        <w:t xml:space="preserve">on-air </w:t>
      </w:r>
      <w:r w:rsidRPr="005F66E7">
        <w:rPr>
          <w:color w:val="000000"/>
          <w:szCs w:val="22"/>
        </w:rPr>
        <w:t>ho</w:t>
      </w:r>
      <w:r>
        <w:rPr>
          <w:color w:val="000000"/>
          <w:szCs w:val="22"/>
        </w:rPr>
        <w:t>lding period</w:t>
      </w:r>
      <w:r w:rsidRPr="005F66E7">
        <w:rPr>
          <w:color w:val="000000"/>
          <w:szCs w:val="22"/>
        </w:rPr>
        <w:t>.</w:t>
      </w:r>
      <w:r>
        <w:rPr>
          <w:color w:val="000000"/>
          <w:szCs w:val="22"/>
          <w:vertAlign w:val="superscript"/>
        </w:rPr>
        <w:footnoteReference w:id="22"/>
      </w:r>
      <w:r w:rsidRPr="005F66E7">
        <w:rPr>
          <w:color w:val="000000"/>
          <w:szCs w:val="22"/>
        </w:rPr>
        <w:t xml:space="preserve"> </w:t>
      </w:r>
      <w:r>
        <w:rPr>
          <w:color w:val="000000"/>
          <w:szCs w:val="22"/>
        </w:rPr>
        <w:t xml:space="preserve"> Although MB acknowledged </w:t>
      </w:r>
      <w:r w:rsidRPr="006D0BCB">
        <w:rPr>
          <w:color w:val="000000"/>
          <w:szCs w:val="22"/>
        </w:rPr>
        <w:t xml:space="preserve">that </w:t>
      </w:r>
      <w:r>
        <w:rPr>
          <w:color w:val="000000"/>
          <w:szCs w:val="22"/>
        </w:rPr>
        <w:t xml:space="preserve">the Commission </w:t>
      </w:r>
      <w:r w:rsidRPr="006D0BCB">
        <w:rPr>
          <w:color w:val="000000"/>
          <w:szCs w:val="22"/>
        </w:rPr>
        <w:t xml:space="preserve">treats routine LPFM board turnover as </w:t>
      </w:r>
      <w:r>
        <w:rPr>
          <w:color w:val="000000"/>
          <w:szCs w:val="22"/>
        </w:rPr>
        <w:t>in</w:t>
      </w:r>
      <w:r w:rsidRPr="006D0BCB">
        <w:rPr>
          <w:color w:val="000000"/>
          <w:szCs w:val="22"/>
        </w:rPr>
        <w:t>substantial</w:t>
      </w:r>
      <w:r>
        <w:rPr>
          <w:color w:val="000000"/>
          <w:szCs w:val="22"/>
        </w:rPr>
        <w:t>,</w:t>
      </w:r>
      <w:r>
        <w:rPr>
          <w:color w:val="000000"/>
          <w:szCs w:val="22"/>
          <w:vertAlign w:val="superscript"/>
        </w:rPr>
        <w:footnoteReference w:id="23"/>
      </w:r>
      <w:r>
        <w:rPr>
          <w:color w:val="000000"/>
          <w:szCs w:val="22"/>
        </w:rPr>
        <w:t xml:space="preserve"> it did not view STEM’s board change as </w:t>
      </w:r>
      <w:r w:rsidRPr="009628C8">
        <w:rPr>
          <w:color w:val="000000"/>
          <w:szCs w:val="22"/>
        </w:rPr>
        <w:t>routine or insubstantial</w:t>
      </w:r>
      <w:r>
        <w:rPr>
          <w:color w:val="000000"/>
          <w:szCs w:val="22"/>
        </w:rPr>
        <w:t xml:space="preserve"> because there had been a sudden 100% transfer during the holding period, without notification to the Commission, following what appeared to be </w:t>
      </w:r>
      <w:r w:rsidRPr="005F66E7">
        <w:rPr>
          <w:color w:val="000000"/>
          <w:szCs w:val="22"/>
        </w:rPr>
        <w:t xml:space="preserve">the </w:t>
      </w:r>
      <w:r>
        <w:rPr>
          <w:color w:val="000000"/>
          <w:szCs w:val="22"/>
        </w:rPr>
        <w:t xml:space="preserve">original </w:t>
      </w:r>
      <w:r w:rsidRPr="005F66E7">
        <w:rPr>
          <w:color w:val="000000"/>
          <w:szCs w:val="22"/>
        </w:rPr>
        <w:t>board</w:t>
      </w:r>
      <w:r>
        <w:rPr>
          <w:color w:val="000000"/>
          <w:szCs w:val="22"/>
        </w:rPr>
        <w:t xml:space="preserve">’s abandonment of </w:t>
      </w:r>
      <w:r w:rsidRPr="005F66E7">
        <w:rPr>
          <w:color w:val="000000"/>
          <w:szCs w:val="22"/>
        </w:rPr>
        <w:t>the Station</w:t>
      </w:r>
      <w:r>
        <w:rPr>
          <w:color w:val="000000"/>
          <w:szCs w:val="22"/>
        </w:rPr>
        <w:t>.</w:t>
      </w:r>
      <w:r>
        <w:rPr>
          <w:rStyle w:val="FootnoteReference"/>
          <w:szCs w:val="22"/>
        </w:rPr>
        <w:footnoteReference w:id="24"/>
      </w:r>
      <w:r>
        <w:rPr>
          <w:color w:val="000000"/>
          <w:szCs w:val="22"/>
        </w:rPr>
        <w:t xml:space="preserve">  MB ruled that STEM’s transfer of control amounted to a fatal failure to meet a </w:t>
      </w:r>
      <w:r w:rsidRPr="007B06EC">
        <w:rPr>
          <w:color w:val="000000"/>
          <w:szCs w:val="22"/>
        </w:rPr>
        <w:t>condition</w:t>
      </w:r>
      <w:r>
        <w:rPr>
          <w:color w:val="000000"/>
          <w:szCs w:val="22"/>
        </w:rPr>
        <w:t xml:space="preserve"> of the permit’s grant, which warranted cancellation of the Station’s authorization.</w:t>
      </w:r>
      <w:r>
        <w:rPr>
          <w:rStyle w:val="FootnoteReference"/>
          <w:szCs w:val="22"/>
        </w:rPr>
        <w:footnoteReference w:id="25"/>
      </w:r>
      <w:r>
        <w:rPr>
          <w:color w:val="000000"/>
          <w:szCs w:val="22"/>
        </w:rPr>
        <w:t xml:space="preserve">  MB did not reach the Objectors’ allegations of other violations because those contentions became moot upon cancellation of the Station’s license.</w:t>
      </w:r>
      <w:r>
        <w:rPr>
          <w:rStyle w:val="FootnoteReference"/>
          <w:szCs w:val="22"/>
        </w:rPr>
        <w:footnoteReference w:id="26"/>
      </w:r>
      <w:r>
        <w:rPr>
          <w:color w:val="000000"/>
          <w:szCs w:val="22"/>
        </w:rPr>
        <w:t xml:space="preserve">  STEM argues on reconsideration that section 73.865(e) rather than 73.865(c) governs because </w:t>
      </w:r>
      <w:r w:rsidRPr="00004BBB">
        <w:rPr>
          <w:color w:val="000000"/>
          <w:szCs w:val="22"/>
        </w:rPr>
        <w:t>the transfer of control</w:t>
      </w:r>
      <w:r>
        <w:rPr>
          <w:color w:val="000000"/>
          <w:szCs w:val="22"/>
        </w:rPr>
        <w:t xml:space="preserve"> </w:t>
      </w:r>
      <w:r w:rsidRPr="00004BBB">
        <w:rPr>
          <w:color w:val="000000"/>
          <w:szCs w:val="22"/>
        </w:rPr>
        <w:t>did not alter STEM’s mission</w:t>
      </w:r>
      <w:r>
        <w:rPr>
          <w:color w:val="000000"/>
          <w:szCs w:val="22"/>
        </w:rPr>
        <w:t>,</w:t>
      </w:r>
      <w:r w:rsidRPr="00004BBB">
        <w:rPr>
          <w:color w:val="000000"/>
          <w:szCs w:val="22"/>
        </w:rPr>
        <w:t xml:space="preserve"> and </w:t>
      </w:r>
      <w:r>
        <w:rPr>
          <w:color w:val="000000"/>
          <w:szCs w:val="22"/>
        </w:rPr>
        <w:t>Commission rulings under section</w:t>
      </w:r>
      <w:r w:rsidRPr="002D41A8">
        <w:rPr>
          <w:color w:val="000000"/>
          <w:szCs w:val="22"/>
        </w:rPr>
        <w:t xml:space="preserve"> 73.865(e) </w:t>
      </w:r>
      <w:r>
        <w:rPr>
          <w:color w:val="000000"/>
          <w:szCs w:val="22"/>
        </w:rPr>
        <w:t>have</w:t>
      </w:r>
      <w:r w:rsidRPr="002D41A8">
        <w:rPr>
          <w:color w:val="000000"/>
          <w:szCs w:val="22"/>
        </w:rPr>
        <w:t xml:space="preserve"> </w:t>
      </w:r>
      <w:r w:rsidRPr="00004BBB">
        <w:rPr>
          <w:color w:val="000000"/>
          <w:szCs w:val="22"/>
        </w:rPr>
        <w:t>recognize</w:t>
      </w:r>
      <w:r>
        <w:rPr>
          <w:color w:val="000000"/>
          <w:szCs w:val="22"/>
        </w:rPr>
        <w:t>d</w:t>
      </w:r>
      <w:r w:rsidRPr="00004BBB">
        <w:rPr>
          <w:color w:val="000000"/>
          <w:szCs w:val="22"/>
        </w:rPr>
        <w:t xml:space="preserve"> non-mission-altering LPFM board turnover as routine without regard to when such a transfer occurs.</w:t>
      </w:r>
      <w:r>
        <w:rPr>
          <w:color w:val="000000"/>
          <w:szCs w:val="22"/>
          <w:vertAlign w:val="superscript"/>
        </w:rPr>
        <w:footnoteReference w:id="27"/>
      </w:r>
      <w:r w:rsidRPr="00004BBB">
        <w:rPr>
          <w:color w:val="000000"/>
          <w:szCs w:val="22"/>
        </w:rPr>
        <w:t xml:space="preserve">  </w:t>
      </w:r>
      <w:r>
        <w:rPr>
          <w:color w:val="000000"/>
          <w:szCs w:val="22"/>
        </w:rPr>
        <w:t>T</w:t>
      </w:r>
      <w:r w:rsidRPr="003B2A7E">
        <w:rPr>
          <w:color w:val="000000"/>
          <w:szCs w:val="22"/>
        </w:rPr>
        <w:t>hereafter, the Parties agreed to enter into this Consent Decree.</w:t>
      </w:r>
    </w:p>
    <w:p w:rsidR="005C64C4" w:rsidP="00A2260A">
      <w:pPr>
        <w:pStyle w:val="ParaNum"/>
        <w:widowControl/>
        <w:rPr>
          <w:szCs w:val="22"/>
        </w:rPr>
      </w:pPr>
      <w:r w:rsidRPr="00E94BED">
        <w:rPr>
          <w:i/>
          <w:szCs w:val="22"/>
        </w:rPr>
        <w:t>EB Investigation.</w:t>
      </w:r>
      <w:r>
        <w:rPr>
          <w:b/>
          <w:szCs w:val="22"/>
        </w:rPr>
        <w:t xml:space="preserve">  </w:t>
      </w:r>
      <w:r>
        <w:rPr>
          <w:szCs w:val="22"/>
        </w:rPr>
        <w:t>The Underwriting Laws define an advertisement as programming material broadcast “in exchange for any remuneration” and intended to “promote any service, facility, or product” of for-profit entities.</w:t>
      </w:r>
      <w:r>
        <w:rPr>
          <w:rStyle w:val="FootnoteReference"/>
        </w:rPr>
        <w:footnoteReference w:id="28"/>
      </w:r>
      <w:r>
        <w:rPr>
          <w:szCs w:val="22"/>
        </w:rPr>
        <w:t xml:space="preserve">  Section 399B(b)(2) of the Act specifically provides that noncommercial educational stations may not broadcast advertisements.</w:t>
      </w:r>
      <w:r>
        <w:rPr>
          <w:rStyle w:val="FootnoteReference"/>
        </w:rPr>
        <w:footnoteReference w:id="29"/>
      </w:r>
      <w:r>
        <w:rPr>
          <w:szCs w:val="22"/>
        </w:rPr>
        <w:t xml:space="preserve">  Although contributors of funds to such stations may receive on-air acknowledgements of their support, the Commission has held that such acknowledgements are for identification purposes only and must not promote the contributors’ products, services, or businesses.</w:t>
      </w:r>
      <w:r>
        <w:rPr>
          <w:rStyle w:val="FootnoteReference"/>
        </w:rPr>
        <w:footnoteReference w:id="30"/>
      </w:r>
      <w:r>
        <w:rPr>
          <w:szCs w:val="22"/>
        </w:rPr>
        <w:t xml:space="preserve">  Specifically, such </w:t>
      </w:r>
      <w:r w:rsidRPr="007B4B9E">
        <w:t>announcements</w:t>
      </w:r>
      <w:r>
        <w:rPr>
          <w:szCs w:val="22"/>
        </w:rPr>
        <w:t xml:space="preserve"> must not contain comparative or qualitative descriptions, price information, calls to action, or inducements to buy, sell, rent, or lease.</w:t>
      </w:r>
      <w:r>
        <w:rPr>
          <w:rStyle w:val="FootnoteReference"/>
        </w:rPr>
        <w:footnoteReference w:id="31"/>
      </w:r>
      <w:r>
        <w:rPr>
          <w:szCs w:val="22"/>
        </w:rPr>
        <w:t xml:space="preserve">  </w:t>
      </w:r>
    </w:p>
    <w:p w:rsidR="005C64C4" w:rsidP="005C64C4">
      <w:pPr>
        <w:pStyle w:val="ParaNum"/>
        <w:rPr>
          <w:szCs w:val="22"/>
        </w:rPr>
      </w:pPr>
      <w:r>
        <w:t>The Commission received a complaint from 1TV.com., Inc., one of the Objectors, alleging that STEM violated the Underwriting Laws by regularly airing announcements on the Station, including from May 8, 2017, to August 7, 2017, that impermissibly promoted their for-profit underwriters’ products or services and contained qualitative descriptions and comparative language, pricing information, and calls to action.</w:t>
      </w:r>
      <w:r>
        <w:rPr>
          <w:rStyle w:val="FootnoteReference"/>
        </w:rPr>
        <w:footnoteReference w:id="32"/>
      </w:r>
      <w:r>
        <w:t xml:space="preserve">  EB issued a letter of inquiry seeking more information about the complained-of programming and STEM’s efforts to comply with the Underwriting Laws.</w:t>
      </w:r>
      <w:r>
        <w:rPr>
          <w:rStyle w:val="FootnoteReference"/>
        </w:rPr>
        <w:footnoteReference w:id="33"/>
      </w:r>
      <w:r>
        <w:t xml:space="preserve">  </w:t>
      </w:r>
      <w:r w:rsidRPr="00D521E9">
        <w:rPr>
          <w:szCs w:val="22"/>
        </w:rPr>
        <w:t>STEM’s response</w:t>
      </w:r>
      <w:r>
        <w:rPr>
          <w:rStyle w:val="FootnoteReference"/>
          <w:szCs w:val="22"/>
        </w:rPr>
        <w:footnoteReference w:id="34"/>
      </w:r>
      <w:r w:rsidRPr="00D521E9">
        <w:rPr>
          <w:szCs w:val="22"/>
        </w:rPr>
        <w:t xml:space="preserve"> confirmed that it broadcast the complained-of Underwriting Announcements over the Station at various times over a 15-month period (from May 2016 through July 2017).</w:t>
      </w:r>
      <w:r>
        <w:rPr>
          <w:rStyle w:val="FootnoteReference"/>
          <w:szCs w:val="22"/>
        </w:rPr>
        <w:footnoteReference w:id="35"/>
      </w:r>
      <w:r w:rsidRPr="00D521E9">
        <w:rPr>
          <w:szCs w:val="22"/>
        </w:rPr>
        <w:t xml:space="preserve">  </w:t>
      </w:r>
      <w:r w:rsidRPr="00C83DE2">
        <w:rPr>
          <w:szCs w:val="22"/>
        </w:rPr>
        <w:t>Thereafter</w:t>
      </w:r>
      <w:r>
        <w:rPr>
          <w:szCs w:val="22"/>
        </w:rPr>
        <w:t>,</w:t>
      </w:r>
      <w:r w:rsidRPr="00C83DE2">
        <w:rPr>
          <w:szCs w:val="22"/>
        </w:rPr>
        <w:t xml:space="preserve"> the Parties</w:t>
      </w:r>
      <w:r>
        <w:rPr>
          <w:szCs w:val="22"/>
        </w:rPr>
        <w:t xml:space="preserve"> engaged in settlement negotiations and</w:t>
      </w:r>
      <w:r w:rsidRPr="00C83DE2">
        <w:rPr>
          <w:szCs w:val="22"/>
        </w:rPr>
        <w:t xml:space="preserve"> agreed to enter into this Consent Decree.</w:t>
      </w:r>
    </w:p>
    <w:p w:rsidR="005C64C4" w:rsidRPr="00D521E9" w:rsidP="005C64C4">
      <w:pPr>
        <w:pStyle w:val="ParaNum"/>
        <w:rPr>
          <w:szCs w:val="22"/>
        </w:rPr>
      </w:pPr>
      <w:r w:rsidRPr="00D521E9">
        <w:t xml:space="preserve">On March 19, 2019, STEM submitted financial documentation to the Bureaus, including profit/loss statements for 2016-2018, to support a reduction of </w:t>
      </w:r>
      <w:r>
        <w:t>the Consent Decree’s</w:t>
      </w:r>
      <w:r w:rsidRPr="00D521E9">
        <w:t xml:space="preserve"> civil penalty based upon STEM’s inability to pay.</w:t>
      </w:r>
      <w:r>
        <w:rPr>
          <w:rStyle w:val="FootnoteReference"/>
          <w:szCs w:val="22"/>
        </w:rPr>
        <w:footnoteReference w:id="36"/>
      </w:r>
      <w:r>
        <w:t xml:space="preserve">  </w:t>
      </w:r>
      <w:r w:rsidRPr="00D521E9">
        <w:rPr>
          <w:szCs w:val="22"/>
        </w:rPr>
        <w:t xml:space="preserve">The </w:t>
      </w:r>
      <w:r>
        <w:rPr>
          <w:szCs w:val="22"/>
        </w:rPr>
        <w:t xml:space="preserve">civil penalty </w:t>
      </w:r>
      <w:r w:rsidRPr="00D521E9">
        <w:rPr>
          <w:szCs w:val="22"/>
        </w:rPr>
        <w:t>set forth in this Consent Decree reflects consideration of STEM’s documented inability to pay.</w:t>
      </w:r>
    </w:p>
    <w:p w:rsidR="005C64C4" w:rsidP="005C64C4">
      <w:pPr>
        <w:pStyle w:val="Heading1"/>
        <w:keepNext w:val="0"/>
        <w:rPr>
          <w:szCs w:val="22"/>
        </w:rPr>
      </w:pPr>
      <w:r w:rsidRPr="00723C59">
        <w:t>Ter</w:t>
      </w:r>
      <w:r>
        <w:t>MS OF AGREEMENT</w:t>
      </w:r>
    </w:p>
    <w:p w:rsidR="005C64C4" w:rsidRPr="00397A5B" w:rsidP="005C64C4">
      <w:pPr>
        <w:pStyle w:val="ParaNum"/>
      </w:pPr>
      <w:r w:rsidRPr="0058223B">
        <w:rPr>
          <w:b/>
          <w:szCs w:val="22"/>
          <w:u w:val="single"/>
        </w:rPr>
        <w:t>Adopting Order</w:t>
      </w:r>
      <w:r w:rsidRPr="0058223B">
        <w:rPr>
          <w:szCs w:val="22"/>
        </w:rPr>
        <w:t>.</w:t>
      </w:r>
      <w:r w:rsidRPr="006D7F5F">
        <w:rPr>
          <w:szCs w:val="22"/>
        </w:rPr>
        <w:t xml:space="preserve">  </w:t>
      </w:r>
      <w:r w:rsidRPr="0058223B">
        <w:rPr>
          <w:szCs w:val="22"/>
        </w:rPr>
        <w:t xml:space="preserve">The </w:t>
      </w:r>
      <w:r>
        <w:rPr>
          <w:szCs w:val="22"/>
        </w:rPr>
        <w:t>provisions of this Consent Decree shall be incorporated by the Bureaus in an Adopting Order without change, addition, deletion, or modification.</w:t>
      </w:r>
      <w:r w:rsidRPr="0058223B">
        <w:rPr>
          <w:b/>
          <w:szCs w:val="22"/>
          <w:u w:val="single"/>
        </w:rPr>
        <w:t xml:space="preserve"> </w:t>
      </w:r>
    </w:p>
    <w:p w:rsidR="005C64C4" w:rsidRPr="0058223B" w:rsidP="005C64C4">
      <w:pPr>
        <w:pStyle w:val="ParaNum"/>
        <w:rPr>
          <w:szCs w:val="22"/>
        </w:rPr>
      </w:pPr>
      <w:r w:rsidRPr="0058223B">
        <w:rPr>
          <w:b/>
          <w:szCs w:val="22"/>
          <w:u w:val="single"/>
        </w:rPr>
        <w:t>Jurisdiction</w:t>
      </w:r>
      <w:r w:rsidRPr="0058223B">
        <w:rPr>
          <w:szCs w:val="22"/>
        </w:rPr>
        <w:t xml:space="preserve">.  </w:t>
      </w:r>
      <w:r>
        <w:rPr>
          <w:szCs w:val="22"/>
        </w:rPr>
        <w:t>STEM</w:t>
      </w:r>
      <w:r w:rsidRPr="0058223B">
        <w:rPr>
          <w:szCs w:val="22"/>
        </w:rPr>
        <w:t xml:space="preserve"> agrees that the </w:t>
      </w:r>
      <w:r w:rsidRPr="0058223B">
        <w:rPr>
          <w:bCs/>
          <w:szCs w:val="22"/>
        </w:rPr>
        <w:t>Bureau</w:t>
      </w:r>
      <w:r>
        <w:rPr>
          <w:bCs/>
          <w:szCs w:val="22"/>
        </w:rPr>
        <w:t>s</w:t>
      </w:r>
      <w:r w:rsidRPr="0058223B">
        <w:rPr>
          <w:szCs w:val="22"/>
        </w:rPr>
        <w:t xml:space="preserve"> ha</w:t>
      </w:r>
      <w:r>
        <w:rPr>
          <w:szCs w:val="22"/>
        </w:rPr>
        <w:t>ve</w:t>
      </w:r>
      <w:r w:rsidRPr="0058223B">
        <w:rPr>
          <w:szCs w:val="22"/>
        </w:rPr>
        <w:t xml:space="preserve"> jurisdiction over it and the matters contained in this Consent Decree and that the Bureau</w:t>
      </w:r>
      <w:r>
        <w:rPr>
          <w:szCs w:val="22"/>
        </w:rPr>
        <w:t>s</w:t>
      </w:r>
      <w:r w:rsidRPr="0058223B">
        <w:rPr>
          <w:szCs w:val="22"/>
        </w:rPr>
        <w:t xml:space="preserve"> ha</w:t>
      </w:r>
      <w:r>
        <w:rPr>
          <w:szCs w:val="22"/>
        </w:rPr>
        <w:t>ve</w:t>
      </w:r>
      <w:r w:rsidRPr="0058223B">
        <w:rPr>
          <w:szCs w:val="22"/>
        </w:rPr>
        <w:t xml:space="preserve"> the authority to </w:t>
      </w:r>
      <w:r w:rsidRPr="0058223B">
        <w:rPr>
          <w:szCs w:val="22"/>
        </w:rPr>
        <w:t>enter into</w:t>
      </w:r>
      <w:r w:rsidRPr="0058223B">
        <w:rPr>
          <w:szCs w:val="22"/>
        </w:rPr>
        <w:t xml:space="preserve"> and adopt this Consent Decree.</w:t>
      </w:r>
    </w:p>
    <w:p w:rsidR="005C64C4" w:rsidRPr="0058223B" w:rsidP="005C64C4">
      <w:pPr>
        <w:pStyle w:val="ParaNum"/>
        <w:rPr>
          <w:szCs w:val="22"/>
        </w:rPr>
      </w:pPr>
      <w:r w:rsidRPr="0058223B">
        <w:rPr>
          <w:b/>
          <w:szCs w:val="22"/>
          <w:u w:val="single"/>
        </w:rPr>
        <w:t>Effective Date; Violations</w:t>
      </w:r>
      <w:r w:rsidRPr="0058223B">
        <w:rPr>
          <w:szCs w:val="22"/>
        </w:rPr>
        <w:t>.</w:t>
      </w:r>
      <w:r w:rsidRPr="006D7F5F">
        <w:rPr>
          <w:szCs w:val="22"/>
        </w:rPr>
        <w:t xml:space="preserve">  </w:t>
      </w:r>
      <w:r w:rsidRPr="0058223B">
        <w:rPr>
          <w:szCs w:val="22"/>
        </w:rPr>
        <w:t xml:space="preserve">The Parties agree that this Consent Decree shall become effective on the Effective Date as defined herein.  As of the Effective Date, the </w:t>
      </w:r>
      <w:r>
        <w:rPr>
          <w:szCs w:val="22"/>
        </w:rPr>
        <w:t>Parties agree that this Consent Decree shall have the same force and effect as any other order of the Commission.</w:t>
      </w:r>
    </w:p>
    <w:p w:rsidR="005C64C4" w:rsidRPr="00E014BC" w:rsidP="005C64C4">
      <w:pPr>
        <w:pStyle w:val="ParaNum"/>
        <w:rPr>
          <w:szCs w:val="22"/>
        </w:rPr>
      </w:pPr>
      <w:r w:rsidRPr="0058223B">
        <w:rPr>
          <w:b/>
          <w:szCs w:val="22"/>
          <w:u w:val="single"/>
        </w:rPr>
        <w:t xml:space="preserve">Termination of </w:t>
      </w:r>
      <w:r>
        <w:rPr>
          <w:b/>
          <w:szCs w:val="22"/>
          <w:u w:val="single"/>
        </w:rPr>
        <w:t xml:space="preserve">EB </w:t>
      </w:r>
      <w:r w:rsidRPr="0058223B">
        <w:rPr>
          <w:b/>
          <w:szCs w:val="22"/>
          <w:u w:val="single"/>
        </w:rPr>
        <w:t>Investigation</w:t>
      </w:r>
      <w:r>
        <w:rPr>
          <w:b/>
          <w:szCs w:val="22"/>
          <w:u w:val="single"/>
        </w:rPr>
        <w:t xml:space="preserve"> and MB Licensing Matters</w:t>
      </w:r>
      <w:r w:rsidRPr="0058223B">
        <w:rPr>
          <w:szCs w:val="22"/>
        </w:rPr>
        <w:t>.</w:t>
      </w:r>
      <w:r w:rsidRPr="006D7F5F">
        <w:rPr>
          <w:szCs w:val="22"/>
        </w:rPr>
        <w:t xml:space="preserve">  </w:t>
      </w:r>
      <w:r w:rsidRPr="0058223B">
        <w:rPr>
          <w:szCs w:val="22"/>
        </w:rPr>
        <w:t>In express reliance on the covenants and representations in this Consent Decree and to avoid further expenditure of public resources, the Bureau</w:t>
      </w:r>
      <w:r>
        <w:rPr>
          <w:szCs w:val="22"/>
        </w:rPr>
        <w:t>s</w:t>
      </w:r>
      <w:r w:rsidRPr="0058223B">
        <w:rPr>
          <w:szCs w:val="22"/>
        </w:rPr>
        <w:t xml:space="preserve"> agree </w:t>
      </w:r>
      <w:r>
        <w:rPr>
          <w:szCs w:val="22"/>
        </w:rPr>
        <w:t xml:space="preserve">with respect to the Underwriting Laws </w:t>
      </w:r>
      <w:r w:rsidRPr="0058223B">
        <w:rPr>
          <w:szCs w:val="22"/>
        </w:rPr>
        <w:t>to terminate the Investigation</w:t>
      </w:r>
      <w:r>
        <w:rPr>
          <w:szCs w:val="22"/>
        </w:rPr>
        <w:t xml:space="preserve"> and dismiss the Complaint, and with respect to the Licensing Matters to:  (1) grant reconsideration in part; (2)  reinstate </w:t>
      </w:r>
      <w:r w:rsidRPr="00C845BB">
        <w:rPr>
          <w:szCs w:val="22"/>
        </w:rPr>
        <w:t xml:space="preserve">and return </w:t>
      </w:r>
      <w:r>
        <w:rPr>
          <w:szCs w:val="22"/>
        </w:rPr>
        <w:t xml:space="preserve">the </w:t>
      </w:r>
      <w:r w:rsidRPr="00C845BB">
        <w:rPr>
          <w:szCs w:val="22"/>
        </w:rPr>
        <w:t>STEM Applications</w:t>
      </w:r>
      <w:r>
        <w:rPr>
          <w:szCs w:val="22"/>
        </w:rPr>
        <w:t xml:space="preserve"> </w:t>
      </w:r>
      <w:r w:rsidRPr="009F21D4">
        <w:rPr>
          <w:szCs w:val="22"/>
        </w:rPr>
        <w:t>to pending status</w:t>
      </w:r>
      <w:r w:rsidRPr="00C845BB">
        <w:rPr>
          <w:szCs w:val="22"/>
        </w:rPr>
        <w:t>; and (3) determine that STEM</w:t>
      </w:r>
      <w:r>
        <w:rPr>
          <w:szCs w:val="22"/>
        </w:rPr>
        <w:t xml:space="preserve">’s admitted rule violations in Paragraph </w:t>
      </w:r>
      <w:r w:rsidRPr="00DE6F9A">
        <w:rPr>
          <w:szCs w:val="22"/>
        </w:rPr>
        <w:t>12</w:t>
      </w:r>
      <w:r w:rsidRPr="00C845BB">
        <w:rPr>
          <w:szCs w:val="22"/>
        </w:rPr>
        <w:t xml:space="preserve"> are not disqualifying.  On the Effective Date, </w:t>
      </w:r>
      <w:r>
        <w:rPr>
          <w:szCs w:val="22"/>
        </w:rPr>
        <w:t>MB</w:t>
      </w:r>
      <w:r w:rsidRPr="00C845BB">
        <w:rPr>
          <w:szCs w:val="22"/>
        </w:rPr>
        <w:t xml:space="preserve"> </w:t>
      </w:r>
      <w:r>
        <w:rPr>
          <w:szCs w:val="22"/>
        </w:rPr>
        <w:t xml:space="preserve">will </w:t>
      </w:r>
      <w:r w:rsidRPr="00C845BB">
        <w:rPr>
          <w:szCs w:val="22"/>
        </w:rPr>
        <w:t>grant the Transfer and Second Modification Applications, and the STA Request, thereby giving STEM the opportunity to return the Station to the air.</w:t>
      </w:r>
      <w:r>
        <w:rPr>
          <w:szCs w:val="22"/>
          <w:vertAlign w:val="superscript"/>
        </w:rPr>
        <w:footnoteReference w:id="37"/>
      </w:r>
      <w:r>
        <w:rPr>
          <w:szCs w:val="22"/>
        </w:rPr>
        <w:t xml:space="preserve">  </w:t>
      </w:r>
      <w:r w:rsidRPr="0058223B">
        <w:rPr>
          <w:szCs w:val="22"/>
        </w:rPr>
        <w:t>In consideration for the</w:t>
      </w:r>
      <w:r>
        <w:rPr>
          <w:szCs w:val="22"/>
        </w:rPr>
        <w:t>se Bureau actions, STEM</w:t>
      </w:r>
      <w:r w:rsidRPr="0058223B">
        <w:rPr>
          <w:szCs w:val="22"/>
        </w:rPr>
        <w:t xml:space="preserve"> agrees to the terms, conditions, and procedures contained herein.  The Bureau</w:t>
      </w:r>
      <w:r>
        <w:rPr>
          <w:szCs w:val="22"/>
        </w:rPr>
        <w:t>s</w:t>
      </w:r>
      <w:r w:rsidRPr="0058223B">
        <w:rPr>
          <w:szCs w:val="22"/>
        </w:rPr>
        <w:t xml:space="preserve"> further agree that in the absence of new material evidence, </w:t>
      </w:r>
      <w:r>
        <w:rPr>
          <w:szCs w:val="22"/>
        </w:rPr>
        <w:t>they</w:t>
      </w:r>
      <w:r w:rsidRPr="0058223B">
        <w:rPr>
          <w:szCs w:val="22"/>
        </w:rPr>
        <w:t xml:space="preserve"> will not use the facts developed in the Investigation </w:t>
      </w:r>
      <w:r>
        <w:rPr>
          <w:szCs w:val="22"/>
        </w:rPr>
        <w:t xml:space="preserve">and/or in the Licensing Matters </w:t>
      </w:r>
      <w:r w:rsidRPr="0058223B">
        <w:rPr>
          <w:szCs w:val="22"/>
        </w:rPr>
        <w:t xml:space="preserve">through the Effective Date, or the existence of this Consent Decree, to institute on </w:t>
      </w:r>
      <w:r>
        <w:rPr>
          <w:szCs w:val="22"/>
        </w:rPr>
        <w:t>their</w:t>
      </w:r>
      <w:r w:rsidRPr="0058223B">
        <w:rPr>
          <w:szCs w:val="22"/>
        </w:rPr>
        <w:t xml:space="preserve"> own motion</w:t>
      </w:r>
      <w:r>
        <w:rPr>
          <w:szCs w:val="22"/>
        </w:rPr>
        <w:t>,</w:t>
      </w:r>
      <w:r w:rsidRPr="0058223B">
        <w:rPr>
          <w:szCs w:val="22"/>
        </w:rPr>
        <w:t xml:space="preserve"> any new proceeding, formal or informal, or take any action on its own motion against </w:t>
      </w:r>
      <w:r>
        <w:rPr>
          <w:szCs w:val="22"/>
        </w:rPr>
        <w:t>STEM</w:t>
      </w:r>
      <w:r w:rsidRPr="0058223B">
        <w:rPr>
          <w:szCs w:val="22"/>
        </w:rPr>
        <w:t xml:space="preserve"> concerning the matters that were the subject of the Investigation</w:t>
      </w:r>
      <w:r>
        <w:rPr>
          <w:szCs w:val="22"/>
        </w:rPr>
        <w:t xml:space="preserve"> and Licensing Matters</w:t>
      </w:r>
      <w:r w:rsidRPr="0058223B">
        <w:rPr>
          <w:szCs w:val="22"/>
        </w:rPr>
        <w:t>.  The Bureau</w:t>
      </w:r>
      <w:r>
        <w:rPr>
          <w:szCs w:val="22"/>
        </w:rPr>
        <w:t>s</w:t>
      </w:r>
      <w:r w:rsidRPr="0058223B">
        <w:rPr>
          <w:szCs w:val="22"/>
        </w:rPr>
        <w:t xml:space="preserve"> also agree that in the absence of new material evidence, </w:t>
      </w:r>
      <w:r>
        <w:rPr>
          <w:szCs w:val="22"/>
        </w:rPr>
        <w:t>they</w:t>
      </w:r>
      <w:r w:rsidRPr="0058223B">
        <w:rPr>
          <w:szCs w:val="22"/>
        </w:rPr>
        <w:t xml:space="preserve"> will not use the facts developed in the Investigation </w:t>
      </w:r>
      <w:r>
        <w:rPr>
          <w:szCs w:val="22"/>
        </w:rPr>
        <w:t xml:space="preserve">or Licensing Matters </w:t>
      </w:r>
      <w:r w:rsidRPr="0058223B">
        <w:rPr>
          <w:szCs w:val="22"/>
        </w:rPr>
        <w:t xml:space="preserve">through the Effective Date, or the existence of this Consent Decree, to institute on </w:t>
      </w:r>
      <w:r>
        <w:rPr>
          <w:szCs w:val="22"/>
        </w:rPr>
        <w:t>their</w:t>
      </w:r>
      <w:r w:rsidRPr="0058223B">
        <w:rPr>
          <w:szCs w:val="22"/>
        </w:rPr>
        <w:t xml:space="preserve"> own motion any proceeding, formal or informal, or take any action on </w:t>
      </w:r>
      <w:r>
        <w:rPr>
          <w:szCs w:val="22"/>
        </w:rPr>
        <w:t>their</w:t>
      </w:r>
      <w:r w:rsidRPr="0058223B">
        <w:rPr>
          <w:szCs w:val="22"/>
        </w:rPr>
        <w:t xml:space="preserve"> own motion against </w:t>
      </w:r>
      <w:r>
        <w:rPr>
          <w:szCs w:val="22"/>
        </w:rPr>
        <w:t>STEM</w:t>
      </w:r>
      <w:r w:rsidRPr="0058223B">
        <w:rPr>
          <w:szCs w:val="22"/>
        </w:rPr>
        <w:t xml:space="preserve"> with respect to </w:t>
      </w:r>
      <w:r>
        <w:rPr>
          <w:szCs w:val="22"/>
        </w:rPr>
        <w:t>STEM’s</w:t>
      </w:r>
      <w:r w:rsidRPr="0058223B">
        <w:rPr>
          <w:szCs w:val="22"/>
        </w:rPr>
        <w:t xml:space="preserve"> basic qualifications, including its character qualifications, to be a Commission licensee or hold Commission licenses or authorizations.</w:t>
      </w:r>
    </w:p>
    <w:p w:rsidR="005C64C4" w:rsidRPr="00C845BB" w:rsidP="005C64C4">
      <w:pPr>
        <w:pStyle w:val="ParaNum"/>
        <w:rPr>
          <w:szCs w:val="22"/>
        </w:rPr>
      </w:pPr>
      <w:r w:rsidRPr="0058223B">
        <w:rPr>
          <w:b/>
          <w:szCs w:val="22"/>
          <w:u w:val="single"/>
        </w:rPr>
        <w:t>Admission</w:t>
      </w:r>
      <w:r>
        <w:rPr>
          <w:b/>
          <w:szCs w:val="22"/>
          <w:u w:val="single"/>
        </w:rPr>
        <w:t xml:space="preserve"> </w:t>
      </w:r>
      <w:r w:rsidRPr="0058223B">
        <w:rPr>
          <w:b/>
          <w:szCs w:val="22"/>
          <w:u w:val="single"/>
        </w:rPr>
        <w:t>of Liability</w:t>
      </w:r>
      <w:r w:rsidRPr="0058223B">
        <w:rPr>
          <w:szCs w:val="22"/>
        </w:rPr>
        <w:t>.</w:t>
      </w:r>
      <w:r w:rsidRPr="006D7F5F">
        <w:rPr>
          <w:szCs w:val="22"/>
        </w:rPr>
        <w:t xml:space="preserve">  </w:t>
      </w:r>
      <w:r>
        <w:rPr>
          <w:rFonts w:eastAsia="MS Mincho"/>
          <w:szCs w:val="22"/>
        </w:rPr>
        <w:t>STEM</w:t>
      </w:r>
      <w:r w:rsidRPr="0058223B">
        <w:rPr>
          <w:rFonts w:eastAsia="MS Mincho"/>
          <w:szCs w:val="22"/>
        </w:rPr>
        <w:t xml:space="preserve"> admits</w:t>
      </w:r>
      <w:r>
        <w:rPr>
          <w:rFonts w:eastAsia="MS Mincho"/>
          <w:szCs w:val="22"/>
        </w:rPr>
        <w:t xml:space="preserve"> for the purpose of this Consent Decree and for Commission civil enforcement purposes, and in express reliance on the provisions of Paragraph </w:t>
      </w:r>
      <w:r w:rsidRPr="00DE6F9A">
        <w:rPr>
          <w:rFonts w:eastAsia="MS Mincho"/>
          <w:szCs w:val="22"/>
        </w:rPr>
        <w:t>11</w:t>
      </w:r>
      <w:r>
        <w:rPr>
          <w:rFonts w:eastAsia="MS Mincho"/>
          <w:szCs w:val="22"/>
        </w:rPr>
        <w:t xml:space="preserve"> herein:  (a) </w:t>
      </w:r>
      <w:r w:rsidRPr="00170608">
        <w:rPr>
          <w:rFonts w:eastAsia="MS Mincho"/>
          <w:szCs w:val="22"/>
        </w:rPr>
        <w:t xml:space="preserve">that STEM violated </w:t>
      </w:r>
      <w:r>
        <w:rPr>
          <w:rFonts w:eastAsia="MS Mincho"/>
          <w:szCs w:val="22"/>
        </w:rPr>
        <w:t>section</w:t>
      </w:r>
      <w:r w:rsidRPr="00170608">
        <w:rPr>
          <w:rFonts w:eastAsia="MS Mincho"/>
          <w:szCs w:val="22"/>
        </w:rPr>
        <w:t xml:space="preserve"> 73.865(e) by </w:t>
      </w:r>
      <w:r>
        <w:rPr>
          <w:rFonts w:eastAsia="MS Mincho"/>
          <w:szCs w:val="22"/>
        </w:rPr>
        <w:t xml:space="preserve">undergoing </w:t>
      </w:r>
      <w:r w:rsidRPr="00302F43">
        <w:rPr>
          <w:rFonts w:eastAsia="MS Mincho"/>
          <w:szCs w:val="22"/>
        </w:rPr>
        <w:t>a 100</w:t>
      </w:r>
      <w:r>
        <w:rPr>
          <w:rFonts w:eastAsia="MS Mincho"/>
          <w:szCs w:val="22"/>
        </w:rPr>
        <w:t>%</w:t>
      </w:r>
      <w:r w:rsidRPr="00302F43">
        <w:rPr>
          <w:rFonts w:eastAsia="MS Mincho"/>
          <w:szCs w:val="22"/>
        </w:rPr>
        <w:t xml:space="preserve">, sudden </w:t>
      </w:r>
      <w:r>
        <w:rPr>
          <w:rFonts w:eastAsia="MS Mincho"/>
          <w:szCs w:val="22"/>
        </w:rPr>
        <w:t xml:space="preserve">non-mission-altering </w:t>
      </w:r>
      <w:r w:rsidRPr="00302F43">
        <w:rPr>
          <w:rFonts w:eastAsia="MS Mincho"/>
          <w:szCs w:val="22"/>
        </w:rPr>
        <w:t xml:space="preserve">transfer of control without </w:t>
      </w:r>
      <w:r>
        <w:rPr>
          <w:rFonts w:eastAsia="MS Mincho"/>
          <w:szCs w:val="22"/>
        </w:rPr>
        <w:t xml:space="preserve">timely </w:t>
      </w:r>
      <w:r w:rsidRPr="00302F43">
        <w:rPr>
          <w:rFonts w:eastAsia="MS Mincho"/>
          <w:szCs w:val="22"/>
        </w:rPr>
        <w:t xml:space="preserve">filing </w:t>
      </w:r>
      <w:r>
        <w:rPr>
          <w:rFonts w:eastAsia="MS Mincho"/>
          <w:szCs w:val="22"/>
        </w:rPr>
        <w:t xml:space="preserve">an application for Commission consent on </w:t>
      </w:r>
      <w:r w:rsidRPr="00302F43">
        <w:rPr>
          <w:rFonts w:eastAsia="MS Mincho"/>
          <w:szCs w:val="22"/>
        </w:rPr>
        <w:t>Form 316</w:t>
      </w:r>
      <w:r>
        <w:rPr>
          <w:rFonts w:eastAsia="MS Mincho"/>
          <w:szCs w:val="22"/>
        </w:rPr>
        <w:t xml:space="preserve">; (b) that STEM </w:t>
      </w:r>
      <w:r w:rsidRPr="00743BB1">
        <w:rPr>
          <w:rFonts w:eastAsia="MS Mincho"/>
          <w:szCs w:val="22"/>
        </w:rPr>
        <w:t>violat</w:t>
      </w:r>
      <w:r>
        <w:rPr>
          <w:rFonts w:eastAsia="MS Mincho"/>
          <w:szCs w:val="22"/>
        </w:rPr>
        <w:t>ed</w:t>
      </w:r>
      <w:r w:rsidRPr="00743BB1">
        <w:rPr>
          <w:rFonts w:eastAsia="MS Mincho"/>
          <w:szCs w:val="22"/>
        </w:rPr>
        <w:t xml:space="preserve"> </w:t>
      </w:r>
      <w:r>
        <w:rPr>
          <w:rFonts w:eastAsia="MS Mincho"/>
          <w:szCs w:val="22"/>
        </w:rPr>
        <w:t>section</w:t>
      </w:r>
      <w:r w:rsidRPr="00743BB1">
        <w:rPr>
          <w:rFonts w:eastAsia="MS Mincho"/>
          <w:szCs w:val="22"/>
        </w:rPr>
        <w:t xml:space="preserve"> 301 of the Act and </w:t>
      </w:r>
      <w:r>
        <w:rPr>
          <w:rFonts w:eastAsia="MS Mincho"/>
          <w:szCs w:val="22"/>
        </w:rPr>
        <w:t xml:space="preserve">section </w:t>
      </w:r>
      <w:r w:rsidRPr="00743BB1">
        <w:rPr>
          <w:rFonts w:eastAsia="MS Mincho"/>
          <w:szCs w:val="22"/>
        </w:rPr>
        <w:t xml:space="preserve">73.1350 of the Rules </w:t>
      </w:r>
      <w:r>
        <w:rPr>
          <w:rFonts w:eastAsia="MS Mincho"/>
          <w:szCs w:val="22"/>
        </w:rPr>
        <w:t xml:space="preserve">by </w:t>
      </w:r>
      <w:r w:rsidRPr="002F46EE">
        <w:rPr>
          <w:rFonts w:eastAsia="MS Mincho"/>
          <w:szCs w:val="22"/>
        </w:rPr>
        <w:t>construct</w:t>
      </w:r>
      <w:r>
        <w:rPr>
          <w:rFonts w:eastAsia="MS Mincho"/>
          <w:szCs w:val="22"/>
        </w:rPr>
        <w:t>ing</w:t>
      </w:r>
      <w:r w:rsidRPr="002F46EE">
        <w:rPr>
          <w:rFonts w:eastAsia="MS Mincho"/>
          <w:szCs w:val="22"/>
        </w:rPr>
        <w:t xml:space="preserve"> a tower and antenna that were each of a lower height than authorized </w:t>
      </w:r>
      <w:r>
        <w:rPr>
          <w:rFonts w:eastAsia="MS Mincho"/>
          <w:szCs w:val="22"/>
        </w:rPr>
        <w:t xml:space="preserve">by the Commission </w:t>
      </w:r>
      <w:r w:rsidRPr="002F46EE">
        <w:rPr>
          <w:rFonts w:eastAsia="MS Mincho"/>
          <w:szCs w:val="22"/>
        </w:rPr>
        <w:t xml:space="preserve">and </w:t>
      </w:r>
      <w:r>
        <w:rPr>
          <w:rFonts w:eastAsia="MS Mincho"/>
          <w:szCs w:val="22"/>
        </w:rPr>
        <w:t xml:space="preserve">by </w:t>
      </w:r>
      <w:r w:rsidRPr="002F46EE">
        <w:rPr>
          <w:rFonts w:eastAsia="MS Mincho"/>
          <w:szCs w:val="22"/>
        </w:rPr>
        <w:t>operat</w:t>
      </w:r>
      <w:r>
        <w:rPr>
          <w:rFonts w:eastAsia="MS Mincho"/>
          <w:szCs w:val="22"/>
        </w:rPr>
        <w:t>ing</w:t>
      </w:r>
      <w:r w:rsidRPr="002F46EE">
        <w:rPr>
          <w:rFonts w:eastAsia="MS Mincho"/>
          <w:szCs w:val="22"/>
        </w:rPr>
        <w:t xml:space="preserve"> those nonconforming facilities continuously for approximately four months</w:t>
      </w:r>
      <w:r>
        <w:rPr>
          <w:rFonts w:eastAsia="MS Mincho"/>
          <w:szCs w:val="22"/>
        </w:rPr>
        <w:t xml:space="preserve"> without obtaining Commission consent;</w:t>
      </w:r>
      <w:r>
        <w:rPr>
          <w:rFonts w:eastAsia="MS Mincho"/>
          <w:szCs w:val="22"/>
          <w:vertAlign w:val="superscript"/>
        </w:rPr>
        <w:footnoteReference w:id="38"/>
      </w:r>
      <w:r>
        <w:rPr>
          <w:rFonts w:eastAsia="MS Mincho"/>
          <w:szCs w:val="22"/>
        </w:rPr>
        <w:t xml:space="preserve"> (c) that STEM, as a result of </w:t>
      </w:r>
      <w:r w:rsidRPr="00140768">
        <w:rPr>
          <w:rFonts w:eastAsia="MS Mincho"/>
          <w:szCs w:val="22"/>
        </w:rPr>
        <w:t xml:space="preserve">carelessness or negligence </w:t>
      </w:r>
      <w:r>
        <w:rPr>
          <w:rFonts w:eastAsia="MS Mincho"/>
          <w:szCs w:val="22"/>
        </w:rPr>
        <w:t xml:space="preserve">but without any intent to deceive, </w:t>
      </w:r>
      <w:r w:rsidRPr="00C27481">
        <w:rPr>
          <w:rFonts w:eastAsia="MS Mincho"/>
          <w:szCs w:val="22"/>
        </w:rPr>
        <w:t>violat</w:t>
      </w:r>
      <w:r>
        <w:rPr>
          <w:rFonts w:eastAsia="MS Mincho"/>
          <w:szCs w:val="22"/>
        </w:rPr>
        <w:t>ed section</w:t>
      </w:r>
      <w:r w:rsidRPr="00C27481">
        <w:rPr>
          <w:rFonts w:eastAsia="MS Mincho"/>
          <w:szCs w:val="22"/>
        </w:rPr>
        <w:t xml:space="preserve"> 1.17 of the Rules </w:t>
      </w:r>
      <w:r>
        <w:rPr>
          <w:rFonts w:eastAsia="MS Mincho"/>
          <w:szCs w:val="22"/>
        </w:rPr>
        <w:t xml:space="preserve">by </w:t>
      </w:r>
      <w:r w:rsidRPr="00C27481">
        <w:rPr>
          <w:rFonts w:eastAsia="MS Mincho"/>
          <w:szCs w:val="22"/>
        </w:rPr>
        <w:t>falsely certif</w:t>
      </w:r>
      <w:r>
        <w:rPr>
          <w:rFonts w:eastAsia="MS Mincho"/>
          <w:szCs w:val="22"/>
        </w:rPr>
        <w:t>ying to have constructed in accordance with its permit,</w:t>
      </w:r>
      <w:r>
        <w:rPr>
          <w:rFonts w:eastAsia="MS Mincho"/>
          <w:szCs w:val="22"/>
          <w:vertAlign w:val="superscript"/>
        </w:rPr>
        <w:footnoteReference w:id="39"/>
      </w:r>
      <w:r>
        <w:rPr>
          <w:rFonts w:eastAsia="MS Mincho"/>
          <w:szCs w:val="22"/>
        </w:rPr>
        <w:t xml:space="preserve"> under the signature of a person who was then no longer affiliated with STEM as a result of </w:t>
      </w:r>
      <w:r w:rsidRPr="003A0C37">
        <w:rPr>
          <w:rFonts w:eastAsia="MS Mincho"/>
          <w:szCs w:val="22"/>
        </w:rPr>
        <w:t>a transfer of control</w:t>
      </w:r>
      <w:r>
        <w:rPr>
          <w:rFonts w:eastAsia="MS Mincho"/>
          <w:szCs w:val="22"/>
        </w:rPr>
        <w:t>;</w:t>
      </w:r>
      <w:r w:rsidRPr="00743BB1">
        <w:rPr>
          <w:rFonts w:eastAsia="MS Mincho"/>
          <w:szCs w:val="22"/>
        </w:rPr>
        <w:t xml:space="preserve"> </w:t>
      </w:r>
      <w:r>
        <w:rPr>
          <w:rFonts w:eastAsia="MS Mincho"/>
          <w:szCs w:val="22"/>
        </w:rPr>
        <w:t xml:space="preserve">and (d) </w:t>
      </w:r>
      <w:r w:rsidRPr="004D4F3D">
        <w:rPr>
          <w:rFonts w:eastAsia="MS Mincho"/>
          <w:szCs w:val="22"/>
        </w:rPr>
        <w:t xml:space="preserve">that </w:t>
      </w:r>
      <w:r>
        <w:rPr>
          <w:rFonts w:eastAsia="MS Mincho"/>
          <w:szCs w:val="22"/>
        </w:rPr>
        <w:t>STEM’s</w:t>
      </w:r>
      <w:r w:rsidRPr="004D4F3D">
        <w:rPr>
          <w:rFonts w:eastAsia="MS Mincho"/>
          <w:szCs w:val="22"/>
        </w:rPr>
        <w:t xml:space="preserve"> actions with respect to the broadcast of the material referenced in Paragraph </w:t>
      </w:r>
      <w:r w:rsidRPr="0021074D">
        <w:rPr>
          <w:rFonts w:eastAsia="MS Mincho"/>
          <w:szCs w:val="22"/>
        </w:rPr>
        <w:t>6</w:t>
      </w:r>
      <w:r w:rsidRPr="004D4F3D">
        <w:rPr>
          <w:rFonts w:eastAsia="MS Mincho"/>
          <w:szCs w:val="22"/>
        </w:rPr>
        <w:t xml:space="preserve"> of this Consent Decree violated the Commission’s Underwriting Laws</w:t>
      </w:r>
      <w:r w:rsidRPr="004D4F3D">
        <w:rPr>
          <w:rStyle w:val="CommentReference"/>
        </w:rPr>
        <w:t>.</w:t>
      </w:r>
      <w:r w:rsidRPr="004D4F3D">
        <w:rPr>
          <w:szCs w:val="22"/>
        </w:rPr>
        <w:t xml:space="preserve"> </w:t>
      </w:r>
      <w:r>
        <w:rPr>
          <w:szCs w:val="22"/>
        </w:rPr>
        <w:t xml:space="preserve"> </w:t>
      </w:r>
    </w:p>
    <w:p w:rsidR="005C64C4" w:rsidRPr="00E56745" w:rsidP="005C64C4">
      <w:pPr>
        <w:pStyle w:val="ParaNum"/>
        <w:rPr>
          <w:szCs w:val="22"/>
        </w:rPr>
      </w:pPr>
      <w:r>
        <w:rPr>
          <w:b/>
          <w:szCs w:val="22"/>
          <w:u w:val="single"/>
        </w:rPr>
        <w:t>Restoration of License and Effect of Station Silence</w:t>
      </w:r>
      <w:r w:rsidRPr="00BB5537">
        <w:rPr>
          <w:szCs w:val="22"/>
        </w:rPr>
        <w:t>.</w:t>
      </w:r>
      <w:r w:rsidRPr="00986072">
        <w:rPr>
          <w:szCs w:val="22"/>
        </w:rPr>
        <w:t xml:space="preserve"> </w:t>
      </w:r>
      <w:r>
        <w:rPr>
          <w:szCs w:val="22"/>
        </w:rPr>
        <w:t xml:space="preserve"> MB will restore the license for the Station with authority to remain silent until a date </w:t>
      </w:r>
      <w:r w:rsidRPr="00D938B5">
        <w:rPr>
          <w:szCs w:val="22"/>
        </w:rPr>
        <w:t xml:space="preserve">four months, </w:t>
      </w:r>
      <w:r>
        <w:rPr>
          <w:szCs w:val="22"/>
        </w:rPr>
        <w:t>eighteen</w:t>
      </w:r>
      <w:r w:rsidRPr="00D938B5">
        <w:rPr>
          <w:szCs w:val="22"/>
        </w:rPr>
        <w:t xml:space="preserve"> days</w:t>
      </w:r>
      <w:r>
        <w:rPr>
          <w:szCs w:val="22"/>
        </w:rPr>
        <w:t xml:space="preserve"> from the Effective Date, as explained in note </w:t>
      </w:r>
      <w:r w:rsidRPr="0021074D">
        <w:rPr>
          <w:szCs w:val="22"/>
        </w:rPr>
        <w:t>23</w:t>
      </w:r>
      <w:r>
        <w:rPr>
          <w:szCs w:val="22"/>
        </w:rPr>
        <w:t xml:space="preserve">.  The restored license will expire automatically pursuant to section 312(g) of the Act if STEM does not return the Station to the air with authorized facilities within </w:t>
      </w:r>
      <w:r w:rsidRPr="00D938B5">
        <w:rPr>
          <w:szCs w:val="22"/>
        </w:rPr>
        <w:t xml:space="preserve">four months, </w:t>
      </w:r>
      <w:r>
        <w:rPr>
          <w:szCs w:val="22"/>
        </w:rPr>
        <w:t>eighteen</w:t>
      </w:r>
      <w:r w:rsidRPr="00D938B5">
        <w:rPr>
          <w:szCs w:val="22"/>
        </w:rPr>
        <w:t xml:space="preserve"> days from the Effective Date</w:t>
      </w:r>
      <w:r>
        <w:rPr>
          <w:szCs w:val="22"/>
        </w:rPr>
        <w:t xml:space="preserve">.  The Parties recognize that several steps are prerequisites to STEM’s return to the air, such as STEM’s locating a new site, obtaining FCC and local permits for the site, and construction.  Given the brief time remaining in which the Station can remain silent until automatic expiration pursuant to section 312(g), STEM must include a request for expedited treatment with any FCC application needed for the Station to return to the air and </w:t>
      </w:r>
      <w:r w:rsidRPr="00403F11">
        <w:rPr>
          <w:szCs w:val="22"/>
        </w:rPr>
        <w:t xml:space="preserve">provide the Commission with adequate time to review </w:t>
      </w:r>
      <w:r>
        <w:rPr>
          <w:szCs w:val="22"/>
        </w:rPr>
        <w:t xml:space="preserve">the application.  STEM acknowledges that, although MB attempts to act quickly on applications requesting expedited treatment, MB cannot guarantee that it will be able to act on STEM applications before the Station’s license may terminate pursuant to section 312(g) and that the Station’s license may, thus, forfeit. </w:t>
      </w:r>
    </w:p>
    <w:p w:rsidR="005C64C4" w:rsidRPr="0058400B" w:rsidP="005C64C4">
      <w:pPr>
        <w:pStyle w:val="ParaNum"/>
        <w:rPr>
          <w:szCs w:val="22"/>
        </w:rPr>
      </w:pPr>
      <w:r w:rsidRPr="001C1547">
        <w:rPr>
          <w:b/>
          <w:szCs w:val="22"/>
          <w:u w:val="single"/>
        </w:rPr>
        <w:t>Compliance Officer</w:t>
      </w:r>
      <w:r w:rsidRPr="00EB6A7F">
        <w:rPr>
          <w:szCs w:val="22"/>
        </w:rPr>
        <w:t xml:space="preserve">.  Within </w:t>
      </w:r>
      <w:r>
        <w:rPr>
          <w:szCs w:val="22"/>
        </w:rPr>
        <w:t>fourteen (</w:t>
      </w:r>
      <w:r w:rsidRPr="00E56745">
        <w:rPr>
          <w:szCs w:val="22"/>
        </w:rPr>
        <w:t>14</w:t>
      </w:r>
      <w:r>
        <w:rPr>
          <w:szCs w:val="22"/>
        </w:rPr>
        <w:t>)</w:t>
      </w:r>
      <w:r w:rsidRPr="00E56745">
        <w:rPr>
          <w:szCs w:val="22"/>
        </w:rPr>
        <w:t xml:space="preserve"> calendar days</w:t>
      </w:r>
      <w:r w:rsidRPr="00EB6A7F">
        <w:rPr>
          <w:szCs w:val="22"/>
        </w:rPr>
        <w:t xml:space="preserve"> after the Effective Date, </w:t>
      </w:r>
      <w:r>
        <w:rPr>
          <w:szCs w:val="22"/>
        </w:rPr>
        <w:t>STEM</w:t>
      </w:r>
      <w:r w:rsidRPr="00EB6A7F">
        <w:rPr>
          <w:szCs w:val="22"/>
        </w:rPr>
        <w:t xml:space="preserve"> shall designate a</w:t>
      </w:r>
      <w:r>
        <w:rPr>
          <w:szCs w:val="22"/>
        </w:rPr>
        <w:t>n independent</w:t>
      </w:r>
      <w:r w:rsidRPr="00EB6A7F">
        <w:rPr>
          <w:szCs w:val="22"/>
        </w:rPr>
        <w:t xml:space="preserve"> FCC regulatory counsel </w:t>
      </w:r>
      <w:r>
        <w:rPr>
          <w:szCs w:val="22"/>
        </w:rPr>
        <w:t>or other third party with the requisite corporate and organizational authority and knowledge to serve as a Compliance Officer and to discharge the duties set forth below.  The person designated as Compliance Officer</w:t>
      </w:r>
      <w:r w:rsidRPr="00EB6A7F">
        <w:rPr>
          <w:szCs w:val="22"/>
        </w:rPr>
        <w:t xml:space="preserve"> shall be responsible for developing, implementing, and administering </w:t>
      </w:r>
      <w:r>
        <w:rPr>
          <w:szCs w:val="22"/>
        </w:rPr>
        <w:t xml:space="preserve">the Underwriting </w:t>
      </w:r>
      <w:r w:rsidRPr="00EB6A7F">
        <w:rPr>
          <w:szCs w:val="22"/>
        </w:rPr>
        <w:t xml:space="preserve">Compliance Plan </w:t>
      </w:r>
      <w:r w:rsidRPr="00501243">
        <w:rPr>
          <w:rFonts w:eastAsia="MS Mincho"/>
          <w:szCs w:val="22"/>
        </w:rPr>
        <w:t>and</w:t>
      </w:r>
      <w:r w:rsidRPr="00EB6A7F">
        <w:rPr>
          <w:szCs w:val="22"/>
        </w:rPr>
        <w:t xml:space="preserve"> ensuring that </w:t>
      </w:r>
      <w:r>
        <w:rPr>
          <w:szCs w:val="22"/>
        </w:rPr>
        <w:t>STEM</w:t>
      </w:r>
      <w:r w:rsidRPr="00EB6A7F">
        <w:rPr>
          <w:szCs w:val="22"/>
        </w:rPr>
        <w:t xml:space="preserve"> complies with the terms and conditions of the </w:t>
      </w:r>
      <w:r w:rsidRPr="0058400B">
        <w:rPr>
          <w:szCs w:val="22"/>
        </w:rPr>
        <w:t>Licensing Compliance Plan</w:t>
      </w:r>
      <w:r>
        <w:rPr>
          <w:szCs w:val="22"/>
        </w:rPr>
        <w:t>,</w:t>
      </w:r>
      <w:r w:rsidRPr="0058400B">
        <w:rPr>
          <w:szCs w:val="22"/>
        </w:rPr>
        <w:t xml:space="preserve"> </w:t>
      </w:r>
      <w:r>
        <w:rPr>
          <w:szCs w:val="22"/>
        </w:rPr>
        <w:t xml:space="preserve">Underwriting </w:t>
      </w:r>
      <w:r w:rsidRPr="00EB6A7F">
        <w:rPr>
          <w:szCs w:val="22"/>
        </w:rPr>
        <w:t>Compliance Plan</w:t>
      </w:r>
      <w:r>
        <w:rPr>
          <w:szCs w:val="22"/>
        </w:rPr>
        <w:t>,</w:t>
      </w:r>
      <w:r w:rsidRPr="00EB6A7F">
        <w:rPr>
          <w:szCs w:val="22"/>
        </w:rPr>
        <w:t xml:space="preserve"> and this Consent Decree.  In addition to the general knowledge of the </w:t>
      </w:r>
      <w:r>
        <w:rPr>
          <w:szCs w:val="22"/>
        </w:rPr>
        <w:t>Communications Laws</w:t>
      </w:r>
      <w:r w:rsidRPr="00EB6A7F">
        <w:rPr>
          <w:szCs w:val="22"/>
        </w:rPr>
        <w:t xml:space="preserve"> necessary to discharge his</w:t>
      </w:r>
      <w:r>
        <w:rPr>
          <w:szCs w:val="22"/>
        </w:rPr>
        <w:t xml:space="preserve"> or </w:t>
      </w:r>
      <w:r w:rsidRPr="00EB6A7F">
        <w:rPr>
          <w:szCs w:val="22"/>
        </w:rPr>
        <w:t>her duties under this Consent Decree, the Compliance Officer shall have specific knowledge of the Underwriting Laws befo</w:t>
      </w:r>
      <w:r>
        <w:rPr>
          <w:szCs w:val="22"/>
        </w:rPr>
        <w:t xml:space="preserve">re assuming his/her duties.  </w:t>
      </w:r>
    </w:p>
    <w:p w:rsidR="005C64C4" w:rsidRPr="00A95CC8" w:rsidP="005C64C4">
      <w:pPr>
        <w:pStyle w:val="ParaNum"/>
        <w:rPr>
          <w:szCs w:val="22"/>
        </w:rPr>
      </w:pPr>
      <w:r>
        <w:rPr>
          <w:b/>
          <w:szCs w:val="22"/>
          <w:u w:val="single"/>
        </w:rPr>
        <w:t>Licensing Compliance Plan</w:t>
      </w:r>
      <w:r w:rsidRPr="00875502">
        <w:rPr>
          <w:szCs w:val="22"/>
        </w:rPr>
        <w:t xml:space="preserve">. </w:t>
      </w:r>
      <w:r>
        <w:rPr>
          <w:b/>
          <w:szCs w:val="22"/>
          <w:u w:val="single"/>
        </w:rPr>
        <w:t xml:space="preserve"> </w:t>
      </w:r>
    </w:p>
    <w:p w:rsidR="005C64C4" w:rsidP="002945C4">
      <w:pPr>
        <w:pStyle w:val="ParaNum"/>
        <w:numPr>
          <w:ilvl w:val="0"/>
          <w:numId w:val="0"/>
        </w:numPr>
        <w:ind w:left="1440"/>
        <w:rPr>
          <w:szCs w:val="22"/>
        </w:rPr>
      </w:pPr>
      <w:r>
        <w:rPr>
          <w:szCs w:val="22"/>
        </w:rPr>
        <w:t xml:space="preserve">(a) </w:t>
      </w:r>
      <w:r>
        <w:rPr>
          <w:b/>
          <w:szCs w:val="22"/>
          <w:u w:val="single"/>
        </w:rPr>
        <w:t>Site Documentation</w:t>
      </w:r>
      <w:r w:rsidRPr="00D938B5">
        <w:rPr>
          <w:szCs w:val="22"/>
        </w:rPr>
        <w:t xml:space="preserve">.  </w:t>
      </w:r>
      <w:r>
        <w:rPr>
          <w:szCs w:val="22"/>
        </w:rPr>
        <w:t>STEM shall f</w:t>
      </w:r>
      <w:r w:rsidRPr="009930F3">
        <w:rPr>
          <w:szCs w:val="22"/>
        </w:rPr>
        <w:t xml:space="preserve">or the term of </w:t>
      </w:r>
      <w:r>
        <w:rPr>
          <w:szCs w:val="22"/>
        </w:rPr>
        <w:t>three (3)</w:t>
      </w:r>
      <w:r w:rsidRPr="009930F3">
        <w:rPr>
          <w:szCs w:val="22"/>
        </w:rPr>
        <w:t xml:space="preserve"> year</w:t>
      </w:r>
      <w:r>
        <w:rPr>
          <w:szCs w:val="22"/>
        </w:rPr>
        <w:t>s</w:t>
      </w:r>
      <w:r w:rsidRPr="009930F3">
        <w:rPr>
          <w:szCs w:val="22"/>
        </w:rPr>
        <w:t xml:space="preserve"> from the Effective Date, ensure that the Station, and/or any broadcast facility STEM then owns or thereafter acquires,</w:t>
      </w:r>
      <w:r>
        <w:rPr>
          <w:szCs w:val="22"/>
        </w:rPr>
        <w:t xml:space="preserve"> submits with any application for a license to cover construction, an exhibit containing Site Documentation consisting of:  </w:t>
      </w:r>
    </w:p>
    <w:p w:rsidR="005C64C4" w:rsidP="002945C4">
      <w:pPr>
        <w:pStyle w:val="ParaNum"/>
        <w:numPr>
          <w:ilvl w:val="0"/>
          <w:numId w:val="0"/>
        </w:numPr>
        <w:ind w:left="2940" w:hanging="780"/>
        <w:rPr>
          <w:szCs w:val="22"/>
        </w:rPr>
      </w:pPr>
      <w:r>
        <w:rPr>
          <w:szCs w:val="22"/>
        </w:rPr>
        <w:t>i.</w:t>
      </w:r>
      <w:r>
        <w:rPr>
          <w:szCs w:val="22"/>
        </w:rPr>
        <w:tab/>
        <w:t xml:space="preserve">the tower height, antenna type, antenna height, and coordinates of the facilities constructed; </w:t>
      </w:r>
    </w:p>
    <w:p w:rsidR="005C64C4" w:rsidP="002945C4">
      <w:pPr>
        <w:pStyle w:val="ParaNum"/>
        <w:numPr>
          <w:ilvl w:val="0"/>
          <w:numId w:val="0"/>
        </w:numPr>
        <w:ind w:left="2880" w:hanging="720"/>
        <w:rPr>
          <w:szCs w:val="22"/>
        </w:rPr>
      </w:pPr>
      <w:r>
        <w:rPr>
          <w:szCs w:val="22"/>
        </w:rPr>
        <w:t xml:space="preserve">ii. </w:t>
      </w:r>
      <w:r>
        <w:rPr>
          <w:szCs w:val="22"/>
        </w:rPr>
        <w:tab/>
        <w:t xml:space="preserve">a description of how it is known that the construction matches those specifications, certified by the person who supervised the construction; </w:t>
      </w:r>
    </w:p>
    <w:p w:rsidR="005C64C4" w:rsidP="002945C4">
      <w:pPr>
        <w:pStyle w:val="ParaNum"/>
        <w:numPr>
          <w:ilvl w:val="0"/>
          <w:numId w:val="0"/>
        </w:numPr>
        <w:ind w:left="2880" w:hanging="720"/>
        <w:rPr>
          <w:szCs w:val="22"/>
        </w:rPr>
      </w:pPr>
      <w:r>
        <w:rPr>
          <w:szCs w:val="22"/>
        </w:rPr>
        <w:t xml:space="preserve">iii. </w:t>
      </w:r>
      <w:r>
        <w:rPr>
          <w:szCs w:val="22"/>
        </w:rPr>
        <w:tab/>
        <w:t xml:space="preserve">photographs of the completed construction showing the tower and antenna; </w:t>
      </w:r>
    </w:p>
    <w:p w:rsidR="005C64C4" w:rsidP="002945C4">
      <w:pPr>
        <w:pStyle w:val="ParaNum"/>
        <w:numPr>
          <w:ilvl w:val="0"/>
          <w:numId w:val="0"/>
        </w:numPr>
        <w:ind w:left="2880" w:hanging="720"/>
        <w:rPr>
          <w:szCs w:val="22"/>
        </w:rPr>
      </w:pPr>
      <w:r>
        <w:rPr>
          <w:szCs w:val="22"/>
        </w:rPr>
        <w:t xml:space="preserve">iv. </w:t>
      </w:r>
      <w:r>
        <w:rPr>
          <w:szCs w:val="22"/>
        </w:rPr>
        <w:tab/>
        <w:t xml:space="preserve">a statement of whether the construction also required local approval and, if so, providing and documenting the terms for which local approval was received; and </w:t>
      </w:r>
    </w:p>
    <w:p w:rsidR="005C64C4" w:rsidP="002945C4">
      <w:pPr>
        <w:pStyle w:val="ParaNum"/>
        <w:numPr>
          <w:ilvl w:val="0"/>
          <w:numId w:val="0"/>
        </w:numPr>
        <w:ind w:left="2880" w:hanging="720"/>
        <w:rPr>
          <w:szCs w:val="22"/>
        </w:rPr>
      </w:pPr>
      <w:r>
        <w:rPr>
          <w:szCs w:val="22"/>
        </w:rPr>
        <w:t xml:space="preserve">v. </w:t>
      </w:r>
      <w:r>
        <w:rPr>
          <w:szCs w:val="22"/>
        </w:rPr>
        <w:tab/>
        <w:t xml:space="preserve">a statement that the Site Documentation is being provided pursuant to this Consent Decree.  </w:t>
      </w:r>
    </w:p>
    <w:p w:rsidR="005C64C4" w:rsidRPr="009C0D3D" w:rsidP="009F5852">
      <w:pPr>
        <w:pStyle w:val="ParaNum"/>
        <w:numPr>
          <w:ilvl w:val="0"/>
          <w:numId w:val="0"/>
        </w:numPr>
        <w:ind w:left="1440"/>
        <w:rPr>
          <w:szCs w:val="22"/>
        </w:rPr>
      </w:pPr>
      <w:r w:rsidRPr="00875502">
        <w:rPr>
          <w:szCs w:val="22"/>
        </w:rPr>
        <w:t>(b)</w:t>
      </w:r>
      <w:r>
        <w:rPr>
          <w:b/>
          <w:szCs w:val="22"/>
        </w:rPr>
        <w:t xml:space="preserve"> </w:t>
      </w:r>
      <w:r>
        <w:rPr>
          <w:b/>
          <w:szCs w:val="22"/>
          <w:u w:val="single"/>
        </w:rPr>
        <w:t>Assignments and Transfers of Control</w:t>
      </w:r>
      <w:r w:rsidRPr="009C0D3D">
        <w:rPr>
          <w:szCs w:val="22"/>
        </w:rPr>
        <w:t>.</w:t>
      </w:r>
      <w:r>
        <w:rPr>
          <w:szCs w:val="22"/>
        </w:rPr>
        <w:t xml:space="preserve">  STEM shall comply with section</w:t>
      </w:r>
      <w:r w:rsidRPr="00883BAD">
        <w:rPr>
          <w:szCs w:val="22"/>
        </w:rPr>
        <w:t xml:space="preserve"> 73.865 of the Rules</w:t>
      </w:r>
      <w:r>
        <w:rPr>
          <w:szCs w:val="22"/>
        </w:rPr>
        <w:t xml:space="preserve"> which provides that the Station’s license cannot be </w:t>
      </w:r>
      <w:r>
        <w:rPr>
          <w:szCs w:val="22"/>
        </w:rPr>
        <w:t>assigned</w:t>
      </w:r>
      <w:r>
        <w:rPr>
          <w:szCs w:val="22"/>
        </w:rPr>
        <w:t xml:space="preserve"> and that STEM cannot undergo a “substantial” transfer of control until the Station has operated on-air for three years.  Non-substantial transfers of control are permissible pursuant to section 73.865(e) provided that the licensee promptly files FCC Form 316.  Within ninety (</w:t>
      </w:r>
      <w:r w:rsidRPr="00EB65FC">
        <w:rPr>
          <w:szCs w:val="22"/>
        </w:rPr>
        <w:t>90</w:t>
      </w:r>
      <w:r>
        <w:rPr>
          <w:szCs w:val="22"/>
        </w:rPr>
        <w:t>)</w:t>
      </w:r>
      <w:r w:rsidRPr="00EB65FC">
        <w:rPr>
          <w:szCs w:val="22"/>
        </w:rPr>
        <w:t xml:space="preserve"> calendar days after the Effective Date, </w:t>
      </w:r>
      <w:r>
        <w:rPr>
          <w:szCs w:val="22"/>
        </w:rPr>
        <w:t xml:space="preserve">STEM shall </w:t>
      </w:r>
      <w:r w:rsidRPr="00EB65FC">
        <w:rPr>
          <w:szCs w:val="22"/>
        </w:rPr>
        <w:t>develop</w:t>
      </w:r>
      <w:r>
        <w:rPr>
          <w:szCs w:val="22"/>
        </w:rPr>
        <w:t xml:space="preserve"> an organization statement concerning the requirement to seek Commission consent to a transfer and/or assignment of the Station pursuant to section 73.865 of the Rules, who will be responsible for filing such an application, and safeguards to ensure that STEM complies.  </w:t>
      </w:r>
      <w:r w:rsidRPr="00EB65FC">
        <w:rPr>
          <w:szCs w:val="22"/>
        </w:rPr>
        <w:t>STEM shall provide a copy of such</w:t>
      </w:r>
      <w:r>
        <w:rPr>
          <w:szCs w:val="22"/>
        </w:rPr>
        <w:t xml:space="preserve"> statement to each of its board members and officers within one hundred twenty (120) days of the Effective Date and to any new board member and officers within thirty (30) days of their taking office.   </w:t>
      </w:r>
    </w:p>
    <w:p w:rsidR="005C64C4" w:rsidRPr="000D411F" w:rsidP="005C64C4">
      <w:pPr>
        <w:pStyle w:val="ParaNum"/>
      </w:pPr>
      <w:r w:rsidRPr="001C1547">
        <w:rPr>
          <w:b/>
          <w:szCs w:val="22"/>
          <w:u w:val="single"/>
        </w:rPr>
        <w:t>Underwriting Compliance Plan</w:t>
      </w:r>
      <w:r w:rsidRPr="00A629D4">
        <w:t>.</w:t>
      </w:r>
      <w:r>
        <w:t xml:space="preserve">  STEM</w:t>
      </w:r>
      <w:r w:rsidRPr="000D411F">
        <w:t xml:space="preserve"> shall, within </w:t>
      </w:r>
      <w:r>
        <w:rPr>
          <w:color w:val="000000"/>
          <w:szCs w:val="22"/>
        </w:rPr>
        <w:t>sixty (</w:t>
      </w:r>
      <w:r>
        <w:t>60)</w:t>
      </w:r>
      <w:r w:rsidRPr="000D411F">
        <w:t xml:space="preserve"> calendar days after the Effective Date, develop and implement an Underwriting Compliance Plan designed to ensure its immediate compliance with the Communications Laws and with the terms and cond</w:t>
      </w:r>
      <w:r>
        <w:t>itions of this Consent Decree.</w:t>
      </w:r>
    </w:p>
    <w:p w:rsidR="005C64C4" w:rsidRPr="00E56745" w:rsidP="005C64C4">
      <w:pPr>
        <w:numPr>
          <w:ilvl w:val="0"/>
          <w:numId w:val="8"/>
        </w:numPr>
        <w:tabs>
          <w:tab w:val="num" w:pos="1800"/>
        </w:tabs>
        <w:spacing w:after="120"/>
        <w:ind w:left="1800" w:hanging="360"/>
      </w:pPr>
      <w:r w:rsidRPr="00741796">
        <w:rPr>
          <w:b/>
          <w:bCs/>
          <w:color w:val="000000"/>
          <w:szCs w:val="22"/>
          <w:u w:val="single"/>
        </w:rPr>
        <w:t>Underwriting Compliance Notification</w:t>
      </w:r>
      <w:r w:rsidRPr="00E56745">
        <w:t xml:space="preserve">.  </w:t>
      </w:r>
      <w:r w:rsidRPr="00B52120">
        <w:rPr>
          <w:bCs/>
          <w:color w:val="000000"/>
          <w:szCs w:val="22"/>
        </w:rPr>
        <w:t>Within</w:t>
      </w:r>
      <w:r w:rsidRPr="00E56745">
        <w:t xml:space="preserve"> three</w:t>
      </w:r>
      <w:r>
        <w:t xml:space="preserve"> (3) </w:t>
      </w:r>
      <w:r w:rsidRPr="00E56745">
        <w:t xml:space="preserve">calendar days of the Effective Date, </w:t>
      </w:r>
      <w:r>
        <w:t>STEM</w:t>
      </w:r>
      <w:r w:rsidRPr="00E56745">
        <w:t xml:space="preserve"> shall immediately notify and distribute to Covered Employees</w:t>
      </w:r>
      <w:r>
        <w:t xml:space="preserve"> a</w:t>
      </w:r>
      <w:r w:rsidRPr="00E56745">
        <w:t xml:space="preserve">t the Stations, and at any noncommercial broadcast facilities it then owns, notice of the requirements of </w:t>
      </w:r>
      <w:r>
        <w:t>P</w:t>
      </w:r>
      <w:r w:rsidRPr="004D4F3D">
        <w:t xml:space="preserve">aragraph </w:t>
      </w:r>
      <w:r w:rsidRPr="0021074D">
        <w:t>16</w:t>
      </w:r>
      <w:r w:rsidRPr="004D4F3D">
        <w:t>.</w:t>
      </w:r>
      <w:r w:rsidRPr="00E56745">
        <w:t xml:space="preserve">  The Notification shall explain the Underwriting Laws that the Covered Employees shall follow.  </w:t>
      </w:r>
    </w:p>
    <w:p w:rsidR="005C64C4" w:rsidRPr="00E56745" w:rsidP="00A27941">
      <w:pPr>
        <w:pStyle w:val="ParaNum"/>
        <w:numPr>
          <w:ilvl w:val="0"/>
          <w:numId w:val="0"/>
        </w:numPr>
        <w:ind w:left="2880" w:hanging="720"/>
      </w:pPr>
      <w:r w:rsidRPr="00E56745">
        <w:t>i.</w:t>
      </w:r>
      <w:r w:rsidRPr="00E56745">
        <w:tab/>
      </w:r>
      <w:r>
        <w:t>STEM</w:t>
      </w:r>
      <w:r w:rsidRPr="00E56745">
        <w:t xml:space="preserve"> shall provide a copy of such Underwriting Compliance Notification to the Enforcement Bureau within seven (7) calendar days from the Effective Date.</w:t>
      </w:r>
    </w:p>
    <w:p w:rsidR="005C64C4" w:rsidRPr="00E56745" w:rsidP="00A27941">
      <w:pPr>
        <w:pStyle w:val="ParaNum"/>
        <w:numPr>
          <w:ilvl w:val="0"/>
          <w:numId w:val="0"/>
        </w:numPr>
        <w:ind w:left="2880" w:hanging="720"/>
      </w:pPr>
      <w:r>
        <w:t>ii.</w:t>
      </w:r>
      <w:r w:rsidRPr="00E56745">
        <w:tab/>
        <w:t xml:space="preserve">Every </w:t>
      </w:r>
      <w:r>
        <w:t>thirty (</w:t>
      </w:r>
      <w:r w:rsidRPr="00E56745">
        <w:t>30</w:t>
      </w:r>
      <w:r>
        <w:t>)</w:t>
      </w:r>
      <w:r w:rsidRPr="00E56745">
        <w:t xml:space="preserve"> days from the Effective Date, </w:t>
      </w:r>
      <w:r>
        <w:t>STEM</w:t>
      </w:r>
      <w:r w:rsidRPr="00E56745">
        <w:t xml:space="preserve"> shall review its </w:t>
      </w:r>
      <w:r>
        <w:t>Underwriting</w:t>
      </w:r>
      <w:r w:rsidRPr="00E56745">
        <w:t xml:space="preserve"> Compliance Notification, and provide any updates or amendments thereto, to all Covered Employees.  </w:t>
      </w:r>
    </w:p>
    <w:p w:rsidR="005C64C4" w:rsidRPr="00A629D4" w:rsidP="005C64C4">
      <w:pPr>
        <w:numPr>
          <w:ilvl w:val="0"/>
          <w:numId w:val="8"/>
        </w:numPr>
        <w:tabs>
          <w:tab w:val="num" w:pos="1800"/>
        </w:tabs>
        <w:spacing w:after="120"/>
        <w:ind w:left="1800" w:hanging="360"/>
        <w:rPr>
          <w:rStyle w:val="ParaNumChar"/>
        </w:rPr>
      </w:pPr>
      <w:r w:rsidRPr="00527293">
        <w:rPr>
          <w:b/>
          <w:bCs/>
          <w:color w:val="000000"/>
          <w:szCs w:val="22"/>
          <w:u w:val="single"/>
        </w:rPr>
        <w:t>Consultation with Counsel</w:t>
      </w:r>
      <w:r w:rsidRPr="00527293">
        <w:rPr>
          <w:bCs/>
          <w:color w:val="000000"/>
          <w:szCs w:val="22"/>
        </w:rPr>
        <w:t xml:space="preserve">.  If the Compliance Officer is not an FCC regulatory </w:t>
      </w:r>
      <w:r>
        <w:rPr>
          <w:bCs/>
          <w:color w:val="000000"/>
          <w:szCs w:val="22"/>
        </w:rPr>
        <w:t>c</w:t>
      </w:r>
      <w:r w:rsidRPr="00527293">
        <w:rPr>
          <w:bCs/>
          <w:color w:val="000000"/>
          <w:szCs w:val="22"/>
        </w:rPr>
        <w:t xml:space="preserve">ounsel, </w:t>
      </w:r>
      <w:r>
        <w:rPr>
          <w:bCs/>
          <w:color w:val="000000"/>
          <w:szCs w:val="22"/>
        </w:rPr>
        <w:t>STEM</w:t>
      </w:r>
      <w:r w:rsidRPr="00527293">
        <w:rPr>
          <w:bCs/>
          <w:color w:val="000000"/>
          <w:szCs w:val="22"/>
        </w:rPr>
        <w:t xml:space="preserve"> shall consult with </w:t>
      </w:r>
      <w:r w:rsidRPr="00527293">
        <w:t>outside</w:t>
      </w:r>
      <w:r w:rsidRPr="00527293">
        <w:rPr>
          <w:bCs/>
          <w:color w:val="000000"/>
          <w:szCs w:val="22"/>
        </w:rPr>
        <w:t xml:space="preserve"> FCC regulatory counsel regarding </w:t>
      </w:r>
      <w:r>
        <w:rPr>
          <w:bCs/>
          <w:color w:val="000000"/>
          <w:szCs w:val="22"/>
        </w:rPr>
        <w:t>STEM</w:t>
      </w:r>
      <w:r w:rsidRPr="00527293">
        <w:rPr>
          <w:bCs/>
          <w:color w:val="000000"/>
          <w:szCs w:val="22"/>
        </w:rPr>
        <w:t>’s overall compliance with the Underwriting</w:t>
      </w:r>
      <w:r>
        <w:rPr>
          <w:bCs/>
          <w:color w:val="000000"/>
          <w:szCs w:val="22"/>
        </w:rPr>
        <w:t xml:space="preserve"> Laws.  Such consultations shall occur on a biannual basis, or more frequently to ensure STEM’s compliance with the terms of this Consent Decree.</w:t>
      </w:r>
      <w:r>
        <w:rPr>
          <w:b/>
          <w:bCs/>
          <w:color w:val="000000"/>
          <w:szCs w:val="22"/>
          <w:u w:val="single"/>
        </w:rPr>
        <w:t xml:space="preserve">  </w:t>
      </w:r>
    </w:p>
    <w:p w:rsidR="005C64C4" w:rsidP="005C64C4">
      <w:pPr>
        <w:numPr>
          <w:ilvl w:val="0"/>
          <w:numId w:val="8"/>
        </w:numPr>
        <w:tabs>
          <w:tab w:val="num" w:pos="1800"/>
        </w:tabs>
        <w:spacing w:after="120"/>
        <w:ind w:left="1800" w:hanging="360"/>
        <w:rPr>
          <w:color w:val="000000"/>
          <w:szCs w:val="22"/>
        </w:rPr>
      </w:pPr>
      <w:r w:rsidRPr="00501243">
        <w:rPr>
          <w:b/>
          <w:bCs/>
          <w:color w:val="000000"/>
          <w:szCs w:val="22"/>
          <w:u w:val="single"/>
        </w:rPr>
        <w:t>Operating Procedures</w:t>
      </w:r>
      <w:r w:rsidRPr="00501243">
        <w:rPr>
          <w:color w:val="000000"/>
          <w:szCs w:val="22"/>
        </w:rPr>
        <w:t xml:space="preserve">.  Within </w:t>
      </w:r>
      <w:r>
        <w:rPr>
          <w:color w:val="000000"/>
          <w:szCs w:val="22"/>
        </w:rPr>
        <w:t>sixty (60) calendar days of</w:t>
      </w:r>
      <w:r w:rsidRPr="00501243">
        <w:rPr>
          <w:color w:val="000000"/>
          <w:szCs w:val="22"/>
        </w:rPr>
        <w:t xml:space="preserve"> the Effective Date, </w:t>
      </w:r>
      <w:r>
        <w:rPr>
          <w:color w:val="000000"/>
          <w:szCs w:val="22"/>
        </w:rPr>
        <w:t>STEM</w:t>
      </w:r>
      <w:r w:rsidRPr="00501243">
        <w:rPr>
          <w:color w:val="000000"/>
          <w:szCs w:val="22"/>
        </w:rPr>
        <w:t xml:space="preserve"> shall establish Operating Procedures that all Covered Employees must follow to help ensure </w:t>
      </w:r>
      <w:r>
        <w:rPr>
          <w:color w:val="000000"/>
          <w:szCs w:val="22"/>
        </w:rPr>
        <w:t>STEM’s</w:t>
      </w:r>
      <w:r w:rsidRPr="00501243">
        <w:rPr>
          <w:color w:val="000000"/>
          <w:szCs w:val="22"/>
        </w:rPr>
        <w:t xml:space="preserve"> compliance with the Communications Laws, including the Underwriting Laws.  </w:t>
      </w:r>
      <w:r>
        <w:rPr>
          <w:color w:val="000000"/>
          <w:szCs w:val="22"/>
        </w:rPr>
        <w:t>STEM’s</w:t>
      </w:r>
      <w:r w:rsidRPr="00501243">
        <w:rPr>
          <w:color w:val="000000"/>
          <w:szCs w:val="22"/>
        </w:rPr>
        <w:t xml:space="preserve"> Operating Procedures shall include internal procedures and policies specifically designed to ensure that </w:t>
      </w:r>
      <w:r>
        <w:rPr>
          <w:color w:val="000000"/>
          <w:szCs w:val="22"/>
        </w:rPr>
        <w:t xml:space="preserve">STEM </w:t>
      </w:r>
      <w:r w:rsidRPr="00501243">
        <w:rPr>
          <w:color w:val="000000"/>
          <w:szCs w:val="22"/>
        </w:rPr>
        <w:t xml:space="preserve">complies with the Underwriting Laws.  </w:t>
      </w:r>
      <w:r>
        <w:rPr>
          <w:color w:val="000000"/>
          <w:szCs w:val="22"/>
        </w:rPr>
        <w:t>STEM</w:t>
      </w:r>
      <w:r w:rsidRPr="00501243">
        <w:rPr>
          <w:color w:val="000000"/>
          <w:szCs w:val="22"/>
        </w:rPr>
        <w:t xml:space="preserve"> shall use a multi-level review procedure for underwriting content to be aired on the Station.  The Compliance Officer, or a management-level employee of </w:t>
      </w:r>
      <w:r>
        <w:rPr>
          <w:color w:val="000000"/>
          <w:szCs w:val="22"/>
        </w:rPr>
        <w:t>STEM</w:t>
      </w:r>
      <w:r w:rsidRPr="00501243">
        <w:rPr>
          <w:color w:val="000000"/>
          <w:szCs w:val="22"/>
        </w:rPr>
        <w:t xml:space="preserve"> directly supervised by the Compliance Officer, shall review all scripts of </w:t>
      </w:r>
      <w:r>
        <w:rPr>
          <w:color w:val="000000"/>
          <w:szCs w:val="22"/>
        </w:rPr>
        <w:t>U</w:t>
      </w:r>
      <w:r w:rsidRPr="00501243">
        <w:rPr>
          <w:color w:val="000000"/>
          <w:szCs w:val="22"/>
        </w:rPr>
        <w:t xml:space="preserve">nderwriting </w:t>
      </w:r>
      <w:r>
        <w:rPr>
          <w:color w:val="000000"/>
          <w:szCs w:val="22"/>
        </w:rPr>
        <w:t>A</w:t>
      </w:r>
      <w:r w:rsidRPr="00501243">
        <w:rPr>
          <w:color w:val="000000"/>
          <w:szCs w:val="22"/>
        </w:rPr>
        <w:t xml:space="preserve">nnouncements prior to broadcast.  </w:t>
      </w:r>
      <w:r>
        <w:rPr>
          <w:color w:val="000000"/>
          <w:szCs w:val="22"/>
        </w:rPr>
        <w:t>STEM</w:t>
      </w:r>
      <w:r w:rsidRPr="00501243">
        <w:rPr>
          <w:color w:val="000000"/>
          <w:szCs w:val="22"/>
        </w:rPr>
        <w:t xml:space="preserve"> shall develop an Underwriting Compliance Checklist that describes the steps that a Covered Employee must follow to ensure that all material approved for broadcast is consistent with relevant past Commission precedent regarding the Underwriting Laws.  </w:t>
      </w:r>
    </w:p>
    <w:p w:rsidR="005C64C4" w:rsidP="005C64C4">
      <w:pPr>
        <w:numPr>
          <w:ilvl w:val="0"/>
          <w:numId w:val="8"/>
        </w:numPr>
        <w:tabs>
          <w:tab w:val="num" w:pos="1800"/>
        </w:tabs>
        <w:spacing w:after="120"/>
        <w:ind w:left="1800" w:hanging="360"/>
        <w:rPr>
          <w:szCs w:val="22"/>
        </w:rPr>
      </w:pPr>
      <w:r w:rsidRPr="0031266E">
        <w:rPr>
          <w:b/>
          <w:color w:val="000000"/>
          <w:szCs w:val="22"/>
          <w:u w:val="single"/>
        </w:rPr>
        <w:t>Compliance Manual</w:t>
      </w:r>
      <w:r w:rsidRPr="0031266E">
        <w:rPr>
          <w:color w:val="000000"/>
          <w:szCs w:val="22"/>
        </w:rPr>
        <w:t xml:space="preserve">.  Within </w:t>
      </w:r>
      <w:r>
        <w:rPr>
          <w:color w:val="000000"/>
          <w:szCs w:val="22"/>
        </w:rPr>
        <w:t>sixty (60)</w:t>
      </w:r>
      <w:r w:rsidRPr="0031266E">
        <w:rPr>
          <w:color w:val="000000"/>
          <w:szCs w:val="22"/>
        </w:rPr>
        <w:t xml:space="preserve"> </w:t>
      </w:r>
      <w:r>
        <w:rPr>
          <w:color w:val="000000"/>
          <w:szCs w:val="22"/>
        </w:rPr>
        <w:t>calendar days</w:t>
      </w:r>
      <w:r w:rsidRPr="0031266E">
        <w:rPr>
          <w:color w:val="000000"/>
          <w:szCs w:val="22"/>
        </w:rPr>
        <w:t xml:space="preserve"> of the Effective Date, </w:t>
      </w:r>
      <w:r>
        <w:rPr>
          <w:color w:val="000000"/>
          <w:szCs w:val="22"/>
        </w:rPr>
        <w:t>STEM</w:t>
      </w:r>
      <w:r w:rsidRPr="0031266E">
        <w:rPr>
          <w:color w:val="000000"/>
          <w:szCs w:val="22"/>
        </w:rPr>
        <w:t xml:space="preserve"> shall develop and distribute a Compliance Manual to all Covered Employees.  The Compliance Manual shall explain the Underwriting Laws and set forth the Operating Procedures that the Covered Employees shall follow to help ensure </w:t>
      </w:r>
      <w:r>
        <w:rPr>
          <w:szCs w:val="22"/>
        </w:rPr>
        <w:t>STEM</w:t>
      </w:r>
      <w:r w:rsidRPr="0031266E">
        <w:rPr>
          <w:szCs w:val="22"/>
        </w:rPr>
        <w:t xml:space="preserve">’s compliance with the Communications Laws, including the Underwriting Laws.  </w:t>
      </w:r>
      <w:r>
        <w:rPr>
          <w:szCs w:val="22"/>
        </w:rPr>
        <w:t>STEM</w:t>
      </w:r>
      <w:r w:rsidRPr="0031266E">
        <w:rPr>
          <w:szCs w:val="22"/>
        </w:rPr>
        <w:t xml:space="preserve"> shall periodically review and revise the Compliance Manual as necessary to ensure the information set forth therein remains current and accurate.  </w:t>
      </w:r>
      <w:r>
        <w:rPr>
          <w:szCs w:val="22"/>
        </w:rPr>
        <w:t>STEM</w:t>
      </w:r>
      <w:r w:rsidRPr="0031266E">
        <w:rPr>
          <w:szCs w:val="22"/>
        </w:rPr>
        <w:t xml:space="preserve"> shall distribute any revisions to the Compliance Manual to all Covered Employees within three calendar days of any updated revisions.  </w:t>
      </w:r>
    </w:p>
    <w:p w:rsidR="005C64C4" w:rsidP="005C64C4">
      <w:pPr>
        <w:numPr>
          <w:ilvl w:val="0"/>
          <w:numId w:val="8"/>
        </w:numPr>
        <w:tabs>
          <w:tab w:val="num" w:pos="1800"/>
        </w:tabs>
        <w:spacing w:after="120"/>
        <w:ind w:left="1800" w:hanging="360"/>
        <w:rPr>
          <w:szCs w:val="22"/>
        </w:rPr>
      </w:pPr>
      <w:r w:rsidRPr="00A629D4">
        <w:rPr>
          <w:b/>
          <w:color w:val="000000"/>
          <w:szCs w:val="22"/>
          <w:u w:val="single"/>
        </w:rPr>
        <w:t>Underwriting Compliance Training Program</w:t>
      </w:r>
      <w:r w:rsidRPr="006E2A54">
        <w:rPr>
          <w:szCs w:val="22"/>
        </w:rPr>
        <w:t xml:space="preserve">.  </w:t>
      </w:r>
      <w:r>
        <w:rPr>
          <w:szCs w:val="22"/>
        </w:rPr>
        <w:t>Within thirty (30) calendar days of the Effective Date, STEM</w:t>
      </w:r>
      <w:r w:rsidRPr="006E2A54">
        <w:rPr>
          <w:szCs w:val="22"/>
        </w:rPr>
        <w:t xml:space="preserve"> shall </w:t>
      </w:r>
      <w:r>
        <w:rPr>
          <w:szCs w:val="22"/>
        </w:rPr>
        <w:t xml:space="preserve">establish an Underwriting Compliance Training Program in compliance with the Underwriting Laws and the Operating Procedures that STEM will follow immediately following the Underwriting Compliance Plan as stated in </w:t>
      </w:r>
      <w:r w:rsidRPr="004D4F3D">
        <w:rPr>
          <w:szCs w:val="22"/>
        </w:rPr>
        <w:t xml:space="preserve">Paragraph </w:t>
      </w:r>
      <w:r w:rsidRPr="00B83BC8">
        <w:rPr>
          <w:szCs w:val="22"/>
        </w:rPr>
        <w:t>16</w:t>
      </w:r>
      <w:r w:rsidRPr="004D4F3D">
        <w:rPr>
          <w:szCs w:val="22"/>
        </w:rPr>
        <w:t>.</w:t>
      </w:r>
      <w:r>
        <w:rPr>
          <w:szCs w:val="22"/>
        </w:rPr>
        <w:t xml:space="preserve">  As part of the Underwriting Compliance Training Program, Covered Employees shall be advised of STEM’s obligation to report any noncompliance with the Underwriting Laws under P</w:t>
      </w:r>
      <w:r w:rsidRPr="004D4F3D">
        <w:rPr>
          <w:szCs w:val="22"/>
        </w:rPr>
        <w:t xml:space="preserve">aragraph </w:t>
      </w:r>
      <w:r w:rsidRPr="00B83BC8">
        <w:t>17</w:t>
      </w:r>
      <w:r>
        <w:t xml:space="preserve"> </w:t>
      </w:r>
      <w:r>
        <w:rPr>
          <w:szCs w:val="22"/>
        </w:rPr>
        <w:t>of this Consent Decree and shall be instructed on how to disclose noncompliance to the Compliance Officer.  All Covered Employees shall be trained pursuant to the Compliance Training Program within ninety (90) calendar days after the Effective Date, except that any person who becomes a Covered Employee at any time after the initial Compliance Training Program shall be trained within thirty (30) calendar days after the date such person becomes a Covered Employee.  STEM shall repeat compliance training on an annual basis and shall periodically review and revise the Compliance Training Program as necessary to ensure that it remains current and complete and to enhance its effectiveness.</w:t>
      </w:r>
    </w:p>
    <w:p w:rsidR="005C64C4" w:rsidP="005C64C4">
      <w:pPr>
        <w:numPr>
          <w:ilvl w:val="0"/>
          <w:numId w:val="8"/>
        </w:numPr>
        <w:tabs>
          <w:tab w:val="num" w:pos="1800"/>
        </w:tabs>
        <w:spacing w:after="120"/>
        <w:ind w:left="1800" w:hanging="360"/>
        <w:rPr>
          <w:szCs w:val="22"/>
        </w:rPr>
      </w:pPr>
      <w:r w:rsidRPr="00A629D4">
        <w:rPr>
          <w:b/>
          <w:color w:val="000000"/>
          <w:szCs w:val="22"/>
          <w:u w:val="single"/>
        </w:rPr>
        <w:t>Compliance Education Program</w:t>
      </w:r>
      <w:r w:rsidRPr="006E2A54">
        <w:rPr>
          <w:szCs w:val="22"/>
        </w:rPr>
        <w:t xml:space="preserve">.  </w:t>
      </w:r>
      <w:r>
        <w:rPr>
          <w:szCs w:val="22"/>
        </w:rPr>
        <w:t>Within sixty (60) calendar days of the Effective Date, STEM</w:t>
      </w:r>
      <w:r w:rsidRPr="006E2A54">
        <w:rPr>
          <w:szCs w:val="22"/>
        </w:rPr>
        <w:t xml:space="preserve"> shall implement and maintain a plan to educate prospective </w:t>
      </w:r>
      <w:r>
        <w:rPr>
          <w:szCs w:val="22"/>
        </w:rPr>
        <w:t xml:space="preserve">for-profit </w:t>
      </w:r>
      <w:r w:rsidRPr="006E2A54">
        <w:rPr>
          <w:szCs w:val="22"/>
        </w:rPr>
        <w:t xml:space="preserve">underwriters about appropriate underwriting content and about how </w:t>
      </w:r>
      <w:r>
        <w:rPr>
          <w:szCs w:val="22"/>
        </w:rPr>
        <w:t>STEM</w:t>
      </w:r>
      <w:r w:rsidRPr="006E2A54">
        <w:rPr>
          <w:szCs w:val="22"/>
        </w:rPr>
        <w:t xml:space="preserve"> incorporates such underwriting content in the announcements that it prepares for underwriter approval and eventual broadcast over the Station.  To that end, </w:t>
      </w:r>
      <w:r>
        <w:rPr>
          <w:szCs w:val="22"/>
        </w:rPr>
        <w:t>STEM</w:t>
      </w:r>
      <w:r w:rsidRPr="006E2A54">
        <w:rPr>
          <w:szCs w:val="22"/>
        </w:rPr>
        <w:t xml:space="preserve"> shall summarize the Underwriting Laws for each prospective </w:t>
      </w:r>
      <w:r>
        <w:rPr>
          <w:szCs w:val="22"/>
        </w:rPr>
        <w:t>for-profit</w:t>
      </w:r>
      <w:r w:rsidRPr="006E2A54">
        <w:rPr>
          <w:szCs w:val="22"/>
        </w:rPr>
        <w:t xml:space="preserve"> client before accepting any contract with a prospective </w:t>
      </w:r>
      <w:r>
        <w:rPr>
          <w:szCs w:val="22"/>
        </w:rPr>
        <w:t>for-profit</w:t>
      </w:r>
      <w:r w:rsidRPr="006E2A54">
        <w:rPr>
          <w:szCs w:val="22"/>
        </w:rPr>
        <w:t xml:space="preserve"> client to air </w:t>
      </w:r>
      <w:r>
        <w:rPr>
          <w:szCs w:val="22"/>
        </w:rPr>
        <w:t>U</w:t>
      </w:r>
      <w:r w:rsidRPr="006E2A54">
        <w:rPr>
          <w:szCs w:val="22"/>
        </w:rPr>
        <w:t xml:space="preserve">nderwriting </w:t>
      </w:r>
      <w:r>
        <w:rPr>
          <w:szCs w:val="22"/>
        </w:rPr>
        <w:t>A</w:t>
      </w:r>
      <w:r w:rsidRPr="006E2A54">
        <w:rPr>
          <w:szCs w:val="22"/>
        </w:rPr>
        <w:t>nnouncements over the Station</w:t>
      </w:r>
      <w:r>
        <w:rPr>
          <w:szCs w:val="22"/>
        </w:rPr>
        <w:t xml:space="preserve"> </w:t>
      </w:r>
      <w:r w:rsidRPr="006E2A54">
        <w:rPr>
          <w:szCs w:val="22"/>
        </w:rPr>
        <w:t xml:space="preserve">and shall prepare the </w:t>
      </w:r>
      <w:r>
        <w:rPr>
          <w:szCs w:val="22"/>
        </w:rPr>
        <w:t>U</w:t>
      </w:r>
      <w:r w:rsidRPr="006E2A54">
        <w:rPr>
          <w:szCs w:val="22"/>
        </w:rPr>
        <w:t xml:space="preserve">nderwriting </w:t>
      </w:r>
      <w:r>
        <w:rPr>
          <w:szCs w:val="22"/>
        </w:rPr>
        <w:t>A</w:t>
      </w:r>
      <w:r w:rsidRPr="006E2A54">
        <w:rPr>
          <w:szCs w:val="22"/>
        </w:rPr>
        <w:t xml:space="preserve">nnouncement for the underwriter’s review.  </w:t>
      </w:r>
      <w:r>
        <w:rPr>
          <w:szCs w:val="22"/>
        </w:rPr>
        <w:t>STEM</w:t>
      </w:r>
      <w:r w:rsidRPr="006E2A54">
        <w:rPr>
          <w:szCs w:val="22"/>
        </w:rPr>
        <w:t xml:space="preserve"> shall not broadcast over </w:t>
      </w:r>
      <w:r>
        <w:rPr>
          <w:szCs w:val="22"/>
        </w:rPr>
        <w:t>the</w:t>
      </w:r>
      <w:r w:rsidRPr="006E2A54">
        <w:rPr>
          <w:szCs w:val="22"/>
        </w:rPr>
        <w:t xml:space="preserve"> Station any announcement that does not comply with the Underwriting </w:t>
      </w:r>
      <w:r>
        <w:rPr>
          <w:szCs w:val="22"/>
        </w:rPr>
        <w:t>Laws</w:t>
      </w:r>
      <w:r w:rsidRPr="006E2A54">
        <w:rPr>
          <w:szCs w:val="22"/>
        </w:rPr>
        <w:t>.</w:t>
      </w:r>
    </w:p>
    <w:p w:rsidR="005C64C4" w:rsidP="005C64C4">
      <w:pPr>
        <w:pStyle w:val="ParaNum"/>
        <w:rPr>
          <w:szCs w:val="22"/>
        </w:rPr>
      </w:pPr>
      <w:r>
        <w:rPr>
          <w:b/>
          <w:szCs w:val="22"/>
          <w:u w:val="single"/>
        </w:rPr>
        <w:t>Reporting Noncompliance</w:t>
      </w:r>
      <w:r>
        <w:rPr>
          <w:szCs w:val="22"/>
        </w:rPr>
        <w:t>.  STEM shall report any noncompliance with the Underwriting Laws</w:t>
      </w:r>
      <w:r w:rsidRPr="000D411F">
        <w:t xml:space="preserve"> </w:t>
      </w:r>
      <w:r>
        <w:rPr>
          <w:szCs w:val="22"/>
        </w:rPr>
        <w:t>and with the terms and conditions of this Consent Decree within fifteen (15) calendar days after discovery of such noncompliance.  Such reports shall include a detailed explanation of</w:t>
      </w:r>
      <w:r>
        <w:rPr>
          <w:szCs w:val="22"/>
        </w:rPr>
        <w:t>:  (</w:t>
      </w:r>
      <w:r>
        <w:rPr>
          <w:szCs w:val="22"/>
        </w:rPr>
        <w:t xml:space="preserve">i) each instance of noncompliance; (ii) the steps that STEM has </w:t>
      </w:r>
      <w:r w:rsidRPr="00501243">
        <w:rPr>
          <w:rFonts w:eastAsia="MS Mincho"/>
          <w:szCs w:val="22"/>
        </w:rPr>
        <w:t>taken</w:t>
      </w:r>
      <w:r>
        <w:rPr>
          <w:szCs w:val="22"/>
        </w:rPr>
        <w:t xml:space="preserve"> or will take to address such noncompliance; (iii) the schedule on which such actions will be taken; and (iv) the steps that STEM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Jeffrey J. Gee at </w:t>
      </w:r>
      <w:r w:rsidRPr="00E94BED">
        <w:rPr>
          <w:rStyle w:val="Hyperlink"/>
          <w:szCs w:val="22"/>
        </w:rPr>
        <w:t>Jeffrey.Gee@fcc.gov,</w:t>
      </w:r>
      <w:r w:rsidRPr="001566DF">
        <w:rPr>
          <w:szCs w:val="22"/>
        </w:rPr>
        <w:t xml:space="preserve"> Christopher J. Sova at </w:t>
      </w:r>
      <w:r w:rsidRPr="00E94BED">
        <w:rPr>
          <w:rStyle w:val="Hyperlink"/>
          <w:szCs w:val="22"/>
        </w:rPr>
        <w:t>Christopher.Sova@fcc.gov</w:t>
      </w:r>
      <w:r w:rsidRPr="001566DF">
        <w:rPr>
          <w:szCs w:val="22"/>
        </w:rPr>
        <w:t xml:space="preserve">, and Melissa A. Marshall at </w:t>
      </w:r>
      <w:r w:rsidRPr="00E94BED">
        <w:rPr>
          <w:rStyle w:val="Hyperlink"/>
          <w:szCs w:val="22"/>
        </w:rPr>
        <w:t>Melissa.Marshall@fcc.gov</w:t>
      </w:r>
      <w:r>
        <w:rPr>
          <w:szCs w:val="22"/>
        </w:rPr>
        <w:t xml:space="preserve">.  </w:t>
      </w:r>
    </w:p>
    <w:p w:rsidR="005C64C4" w:rsidP="005C64C4">
      <w:pPr>
        <w:pStyle w:val="ParaNum"/>
        <w:rPr>
          <w:szCs w:val="22"/>
        </w:rPr>
      </w:pPr>
      <w:r w:rsidRPr="00397A5B">
        <w:rPr>
          <w:b/>
          <w:szCs w:val="22"/>
          <w:u w:val="single"/>
        </w:rPr>
        <w:t>Compliance Reports</w:t>
      </w:r>
      <w:r>
        <w:rPr>
          <w:szCs w:val="22"/>
        </w:rPr>
        <w:t xml:space="preserve">.  </w:t>
      </w:r>
      <w:r>
        <w:t>STEM</w:t>
      </w:r>
      <w:r w:rsidRPr="008F2329">
        <w:t xml:space="preserve"> shall file Compliance Reports with the Commission </w:t>
      </w:r>
      <w:r>
        <w:t>ninety (</w:t>
      </w:r>
      <w:r w:rsidRPr="008F2329">
        <w:t>90</w:t>
      </w:r>
      <w:r>
        <w:t>)</w:t>
      </w:r>
      <w:r w:rsidRPr="008F2329">
        <w:t xml:space="preserve"> days after the Effective Date, </w:t>
      </w:r>
      <w:r>
        <w:t>twelve (</w:t>
      </w:r>
      <w:r w:rsidRPr="008F2329">
        <w:t>12</w:t>
      </w:r>
      <w:r>
        <w:t xml:space="preserve">) </w:t>
      </w:r>
      <w:r w:rsidRPr="008F2329">
        <w:t xml:space="preserve">months after the Effective Date, </w:t>
      </w:r>
      <w:r>
        <w:t>twenty-four (</w:t>
      </w:r>
      <w:r w:rsidRPr="008F2329">
        <w:t>24</w:t>
      </w:r>
      <w:r>
        <w:t>)</w:t>
      </w:r>
      <w:r w:rsidRPr="008F2329">
        <w:t xml:space="preserve"> months after the Effective Date, </w:t>
      </w:r>
      <w:r>
        <w:t>thirty-six (</w:t>
      </w:r>
      <w:r w:rsidRPr="008F2329">
        <w:t>36</w:t>
      </w:r>
      <w:r>
        <w:t>)</w:t>
      </w:r>
      <w:r w:rsidRPr="008F2329">
        <w:t xml:space="preserve"> months after the Effective Date</w:t>
      </w:r>
      <w:r>
        <w:t>, forty-eight (48) months after the Effective Date, and sixty (60) months after the Effective Date</w:t>
      </w:r>
      <w:r w:rsidRPr="008F2329">
        <w:rPr>
          <w:szCs w:val="22"/>
        </w:rPr>
        <w:t>.</w:t>
      </w:r>
    </w:p>
    <w:p w:rsidR="005C64C4" w:rsidP="005C64C4">
      <w:pPr>
        <w:numPr>
          <w:ilvl w:val="0"/>
          <w:numId w:val="10"/>
        </w:numPr>
        <w:tabs>
          <w:tab w:val="clear" w:pos="1152"/>
        </w:tabs>
        <w:spacing w:after="120"/>
        <w:ind w:left="1800" w:hanging="360"/>
        <w:rPr>
          <w:szCs w:val="22"/>
        </w:rPr>
      </w:pPr>
      <w:r>
        <w:rPr>
          <w:bCs/>
          <w:color w:val="000000"/>
          <w:szCs w:val="22"/>
        </w:rPr>
        <w:t xml:space="preserve">Each </w:t>
      </w:r>
      <w:r>
        <w:rPr>
          <w:szCs w:val="22"/>
        </w:rPr>
        <w:t>Compliance Report shall include a detailed description of STEM’s efforts during the relevant period to comply with the terms and conditions of this Consent Decree</w:t>
      </w:r>
      <w:r w:rsidRPr="00CB74F9">
        <w:t xml:space="preserve"> and</w:t>
      </w:r>
      <w:r>
        <w:rPr>
          <w:szCs w:val="22"/>
        </w:rPr>
        <w:t xml:space="preserve"> the Underwriting Laws.  In addition, each Compliance Report shall include a certification by the Compliance Officer, as an agent and on behalf of STEM, stating that the Compliance Officer has personal knowledge that STEM: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4D4F3D">
        <w:t>Paragraph</w:t>
      </w:r>
      <w:r>
        <w:t>s</w:t>
      </w:r>
      <w:r w:rsidRPr="004D4F3D">
        <w:t xml:space="preserve"> </w:t>
      </w:r>
      <w:r w:rsidRPr="00B83BC8">
        <w:t>17</w:t>
      </w:r>
      <w:r w:rsidRPr="00B83BC8">
        <w:rPr>
          <w:szCs w:val="22"/>
        </w:rPr>
        <w:t xml:space="preserve"> and 18</w:t>
      </w:r>
      <w:r>
        <w:rPr>
          <w:szCs w:val="22"/>
        </w:rPr>
        <w:t xml:space="preserve"> of this Consent Decree.</w:t>
      </w:r>
    </w:p>
    <w:p w:rsidR="005C64C4" w:rsidP="00A2260A">
      <w:pPr>
        <w:widowControl/>
        <w:numPr>
          <w:ilvl w:val="0"/>
          <w:numId w:val="10"/>
        </w:numPr>
        <w:tabs>
          <w:tab w:val="clear" w:pos="1152"/>
        </w:tabs>
        <w:spacing w:after="120"/>
        <w:ind w:left="1800" w:hanging="360"/>
        <w:rPr>
          <w:szCs w:val="22"/>
        </w:rPr>
      </w:pPr>
      <w:r w:rsidRPr="00741796">
        <w:rPr>
          <w:szCs w:val="22"/>
        </w:rPr>
        <w:t xml:space="preserve">The Compliance Officer’s certification shall be accompanied by a statement explaining the basis for such certification and shall comply with </w:t>
      </w:r>
      <w:r>
        <w:rPr>
          <w:szCs w:val="22"/>
        </w:rPr>
        <w:t>section</w:t>
      </w:r>
      <w:r w:rsidRPr="00741796">
        <w:rPr>
          <w:szCs w:val="22"/>
        </w:rPr>
        <w:t xml:space="preserve"> 1.16 of the Rules and be subscribed to as true under penalty of perjury in substantially the form set forth therein.</w:t>
      </w:r>
      <w:r w:rsidRPr="00741796">
        <w:rPr>
          <w:rStyle w:val="FootnoteReference"/>
          <w:szCs w:val="22"/>
        </w:rPr>
        <w:t xml:space="preserve"> </w:t>
      </w:r>
      <w:r>
        <w:rPr>
          <w:rStyle w:val="FootnoteReference"/>
          <w:szCs w:val="22"/>
        </w:rPr>
        <w:footnoteReference w:id="40"/>
      </w:r>
    </w:p>
    <w:p w:rsidR="005C64C4" w:rsidP="005C64C4">
      <w:pPr>
        <w:numPr>
          <w:ilvl w:val="0"/>
          <w:numId w:val="10"/>
        </w:numPr>
        <w:tabs>
          <w:tab w:val="clear" w:pos="1152"/>
        </w:tabs>
        <w:spacing w:after="120"/>
        <w:ind w:left="1800" w:hanging="360"/>
        <w:rPr>
          <w:szCs w:val="22"/>
        </w:rPr>
      </w:pPr>
      <w:r w:rsidRPr="00741796">
        <w:rPr>
          <w:szCs w:val="22"/>
        </w:rPr>
        <w:t xml:space="preserve">If the Compliance Officer cannot provide the requisite certification, the Compliance Officer, as an agent and on behalf of </w:t>
      </w:r>
      <w:r>
        <w:rPr>
          <w:szCs w:val="22"/>
        </w:rPr>
        <w:t>STEM</w:t>
      </w:r>
      <w:r w:rsidRPr="00741796">
        <w:rPr>
          <w:szCs w:val="22"/>
        </w:rPr>
        <w:t xml:space="preserve">, shall provide the Commission with a detailed explanation of the reason(s) why and describe fully:  (i) each instance of noncompliance; (ii) the steps that </w:t>
      </w:r>
      <w:r>
        <w:rPr>
          <w:szCs w:val="22"/>
        </w:rPr>
        <w:t>STEM</w:t>
      </w:r>
      <w:r w:rsidRPr="00741796">
        <w:rPr>
          <w:szCs w:val="22"/>
        </w:rPr>
        <w:t xml:space="preserve"> has taken or will take to address such noncompliance, including the schedule on which proposed remedial actions will be taken; and (iii) the steps that </w:t>
      </w:r>
      <w:r>
        <w:rPr>
          <w:szCs w:val="22"/>
        </w:rPr>
        <w:t>STEM</w:t>
      </w:r>
      <w:r w:rsidRPr="00741796">
        <w:rPr>
          <w:szCs w:val="22"/>
        </w:rPr>
        <w:t xml:space="preserve"> has taken or will take to prevent the recurrence of any such noncompliance, including the schedule on which such preventive action will be taken. </w:t>
      </w:r>
    </w:p>
    <w:p w:rsidR="005C64C4" w:rsidRPr="00741796" w:rsidP="005C64C4">
      <w:pPr>
        <w:numPr>
          <w:ilvl w:val="0"/>
          <w:numId w:val="10"/>
        </w:numPr>
        <w:tabs>
          <w:tab w:val="clear" w:pos="1152"/>
        </w:tabs>
        <w:spacing w:after="120"/>
        <w:ind w:left="1800" w:hanging="360"/>
        <w:rPr>
          <w:szCs w:val="22"/>
        </w:rPr>
      </w:pPr>
      <w:r w:rsidRPr="00741796">
        <w:rPr>
          <w:szCs w:val="22"/>
        </w:rPr>
        <w:t xml:space="preserve">All Compliance Reports shall be submitted to the Chief, Investigations and Hearings Division, Enforcement Bureau, Federal Communications Commission, Room 4-C330, 445 12th Street, S.W., Washington, D.C. 20554, with a copy submitted electronically to Jeffrey J. Gee at </w:t>
      </w:r>
      <w:r w:rsidRPr="00E94BED">
        <w:rPr>
          <w:rStyle w:val="Hyperlink"/>
          <w:szCs w:val="22"/>
        </w:rPr>
        <w:t>Jeffrey.Gee@fcc.gov</w:t>
      </w:r>
      <w:r w:rsidRPr="001566DF">
        <w:rPr>
          <w:szCs w:val="22"/>
        </w:rPr>
        <w:t xml:space="preserve">, Christopher J. Sova at </w:t>
      </w:r>
      <w:r w:rsidRPr="00E94BED">
        <w:rPr>
          <w:rStyle w:val="Hyperlink"/>
          <w:szCs w:val="22"/>
        </w:rPr>
        <w:t>Christopher.Sova@fcc.gov</w:t>
      </w:r>
      <w:r w:rsidRPr="001566DF">
        <w:rPr>
          <w:szCs w:val="22"/>
        </w:rPr>
        <w:t>,</w:t>
      </w:r>
      <w:r w:rsidRPr="00741796">
        <w:rPr>
          <w:szCs w:val="22"/>
        </w:rPr>
        <w:t xml:space="preserve"> and </w:t>
      </w:r>
      <w:r>
        <w:t>Melissa</w:t>
      </w:r>
      <w:r w:rsidRPr="00CB74F9">
        <w:t xml:space="preserve"> A. </w:t>
      </w:r>
      <w:r>
        <w:t>Marshall</w:t>
      </w:r>
      <w:r w:rsidRPr="00741796">
        <w:rPr>
          <w:szCs w:val="22"/>
        </w:rPr>
        <w:t xml:space="preserve"> at </w:t>
      </w:r>
      <w:hyperlink r:id="rId10" w:history="1">
        <w:r w:rsidRPr="00A75663">
          <w:rPr>
            <w:rStyle w:val="Hyperlink"/>
          </w:rPr>
          <w:t>Melissa</w:t>
        </w:r>
        <w:r w:rsidRPr="00A75663">
          <w:rPr>
            <w:rStyle w:val="Hyperlink"/>
            <w:szCs w:val="22"/>
          </w:rPr>
          <w:t>.</w:t>
        </w:r>
        <w:r w:rsidRPr="00A75663">
          <w:rPr>
            <w:rStyle w:val="Hyperlink"/>
          </w:rPr>
          <w:t>Marshall</w:t>
        </w:r>
        <w:r w:rsidRPr="00A75663">
          <w:rPr>
            <w:rStyle w:val="Hyperlink"/>
            <w:szCs w:val="22"/>
          </w:rPr>
          <w:t>@fcc.gov</w:t>
        </w:r>
      </w:hyperlink>
      <w:r>
        <w:rPr>
          <w:szCs w:val="22"/>
        </w:rPr>
        <w:t>.</w:t>
      </w:r>
    </w:p>
    <w:p w:rsidR="005C64C4" w:rsidP="005C64C4">
      <w:pPr>
        <w:pStyle w:val="ParaNum"/>
        <w:rPr>
          <w:szCs w:val="22"/>
        </w:rPr>
      </w:pPr>
      <w:r>
        <w:rPr>
          <w:b/>
          <w:szCs w:val="22"/>
          <w:u w:val="single"/>
        </w:rPr>
        <w:t>Termination Date</w:t>
      </w:r>
      <w:r>
        <w:rPr>
          <w:szCs w:val="22"/>
        </w:rPr>
        <w:t xml:space="preserve">.  Unless stated otherwise, the requirements set forth in </w:t>
      </w:r>
      <w:r w:rsidRPr="004D4F3D">
        <w:rPr>
          <w:szCs w:val="22"/>
        </w:rPr>
        <w:t xml:space="preserve">Paragraphs </w:t>
      </w:r>
      <w:r w:rsidRPr="00AD07A4">
        <w:rPr>
          <w:szCs w:val="22"/>
        </w:rPr>
        <w:t>14 through 18</w:t>
      </w:r>
      <w:r>
        <w:rPr>
          <w:szCs w:val="22"/>
        </w:rPr>
        <w:t xml:space="preserve"> of this Consent Decree shall expire sixty (60</w:t>
      </w:r>
      <w:r>
        <w:rPr>
          <w:rStyle w:val="CommentReference"/>
          <w:lang w:eastAsia="x-none"/>
        </w:rPr>
        <w:t xml:space="preserve">) </w:t>
      </w:r>
      <w:r w:rsidRPr="008F2329">
        <w:rPr>
          <w:szCs w:val="22"/>
        </w:rPr>
        <w:t>months</w:t>
      </w:r>
      <w:r>
        <w:rPr>
          <w:szCs w:val="22"/>
        </w:rPr>
        <w:t xml:space="preserve"> after the Effective Date.</w:t>
      </w:r>
    </w:p>
    <w:p w:rsidR="005C64C4" w:rsidRPr="000E5C6D" w:rsidP="005C64C4">
      <w:pPr>
        <w:pStyle w:val="ParaNum"/>
      </w:pPr>
      <w:r w:rsidRPr="0058223B">
        <w:rPr>
          <w:b/>
          <w:u w:val="single"/>
        </w:rPr>
        <w:t>Civil Penalty</w:t>
      </w:r>
      <w:r w:rsidRPr="0058223B">
        <w:t xml:space="preserve">.  </w:t>
      </w:r>
      <w:r>
        <w:t xml:space="preserve">STEM </w:t>
      </w:r>
      <w:r w:rsidRPr="0058223B">
        <w:rPr>
          <w:rFonts w:eastAsia="MS Mincho"/>
        </w:rPr>
        <w:t xml:space="preserve">will </w:t>
      </w:r>
      <w:r>
        <w:rPr>
          <w:rFonts w:eastAsia="MS Mincho"/>
        </w:rPr>
        <w:t>pay a civil penalty</w:t>
      </w:r>
      <w:r w:rsidRPr="0058223B">
        <w:rPr>
          <w:rFonts w:eastAsia="MS Mincho"/>
        </w:rPr>
        <w:t xml:space="preserve"> to the United States Treasury in the amount of </w:t>
      </w:r>
      <w:r w:rsidRPr="009C5741">
        <w:rPr>
          <w:rFonts w:eastAsia="MS Mincho"/>
        </w:rPr>
        <w:t xml:space="preserve">one </w:t>
      </w:r>
      <w:r w:rsidRPr="00E56745">
        <w:rPr>
          <w:rFonts w:eastAsia="MS Mincho"/>
        </w:rPr>
        <w:t xml:space="preserve">thousand </w:t>
      </w:r>
      <w:r>
        <w:rPr>
          <w:rFonts w:eastAsia="MS Mincho"/>
        </w:rPr>
        <w:t xml:space="preserve">five hundred </w:t>
      </w:r>
      <w:r w:rsidRPr="00E56745">
        <w:rPr>
          <w:rFonts w:eastAsia="MS Mincho"/>
        </w:rPr>
        <w:t>dollars (</w:t>
      </w:r>
      <w:r>
        <w:rPr>
          <w:rFonts w:eastAsia="MS Mincho"/>
        </w:rPr>
        <w:t>$1,5</w:t>
      </w:r>
      <w:r w:rsidRPr="00E56745">
        <w:rPr>
          <w:rFonts w:eastAsia="MS Mincho"/>
        </w:rPr>
        <w:t>00)</w:t>
      </w:r>
      <w:r>
        <w:rPr>
          <w:rFonts w:eastAsia="MS Mincho"/>
        </w:rPr>
        <w:t xml:space="preserve"> within fifteen (15) calendar days of the Effective Date.  STEM</w:t>
      </w:r>
      <w:r w:rsidRPr="0058223B">
        <w:t xml:space="preserve"> </w:t>
      </w:r>
      <w:r w:rsidRPr="0058223B">
        <w:rPr>
          <w:rFonts w:eastAsia="MS Mincho"/>
        </w:rPr>
        <w:t xml:space="preserve">shall send electronic notification of payment to </w:t>
      </w:r>
      <w:r w:rsidRPr="0058223B">
        <w:t xml:space="preserve">Jeffrey J. Gee at </w:t>
      </w:r>
      <w:r w:rsidRPr="00E94BED">
        <w:rPr>
          <w:rStyle w:val="Hyperlink"/>
          <w:szCs w:val="22"/>
        </w:rPr>
        <w:t>Jeffrey.Gee@fcc.gov</w:t>
      </w:r>
      <w:r w:rsidRPr="001566DF">
        <w:rPr>
          <w:szCs w:val="22"/>
        </w:rPr>
        <w:t xml:space="preserve">, Christopher J. Sova </w:t>
      </w:r>
      <w:r w:rsidRPr="00A27A5A">
        <w:rPr>
          <w:szCs w:val="22"/>
        </w:rPr>
        <w:t xml:space="preserve">at </w:t>
      </w:r>
      <w:r w:rsidRPr="00E94BED">
        <w:rPr>
          <w:rStyle w:val="Hyperlink"/>
          <w:szCs w:val="22"/>
        </w:rPr>
        <w:t>Christopher.Sova@fcc.gov</w:t>
      </w:r>
      <w:r w:rsidRPr="001566DF">
        <w:rPr>
          <w:szCs w:val="22"/>
        </w:rPr>
        <w:t xml:space="preserve">, Melissa </w:t>
      </w:r>
      <w:r w:rsidRPr="00A27A5A">
        <w:rPr>
          <w:szCs w:val="22"/>
        </w:rPr>
        <w:t xml:space="preserve">A. Marshall at </w:t>
      </w:r>
      <w:bookmarkStart w:id="6" w:name="_Hlk10119051"/>
      <w:r w:rsidRPr="00E94BED">
        <w:rPr>
          <w:rStyle w:val="Hyperlink"/>
          <w:szCs w:val="22"/>
        </w:rPr>
        <w:t>Melissa.Marshall@fcc.gov</w:t>
      </w:r>
      <w:bookmarkEnd w:id="6"/>
      <w:r w:rsidRPr="001566DF">
        <w:rPr>
          <w:szCs w:val="22"/>
        </w:rPr>
        <w:t xml:space="preserve">, </w:t>
      </w:r>
      <w:r w:rsidRPr="00A27A5A">
        <w:rPr>
          <w:szCs w:val="22"/>
        </w:rPr>
        <w:t xml:space="preserve">Tom Hutton at </w:t>
      </w:r>
      <w:r w:rsidRPr="00E94BED">
        <w:rPr>
          <w:rStyle w:val="Hyperlink"/>
          <w:szCs w:val="22"/>
        </w:rPr>
        <w:t>Tom.Hutton@fcc.gov</w:t>
      </w:r>
      <w:r w:rsidRPr="001566DF">
        <w:rPr>
          <w:szCs w:val="22"/>
        </w:rPr>
        <w:t>, a</w:t>
      </w:r>
      <w:r w:rsidRPr="00A27A5A">
        <w:rPr>
          <w:szCs w:val="22"/>
        </w:rPr>
        <w:t xml:space="preserve">nd Irene Bleiweiss at </w:t>
      </w:r>
      <w:r w:rsidRPr="00E94BED">
        <w:rPr>
          <w:rStyle w:val="Hyperlink"/>
          <w:szCs w:val="22"/>
        </w:rPr>
        <w:t>Irene.Bleiweiss@fcc.gov</w:t>
      </w:r>
      <w:r w:rsidRPr="001566DF">
        <w:rPr>
          <w:rFonts w:eastAsia="MS Mincho"/>
          <w:szCs w:val="22"/>
        </w:rPr>
        <w:t xml:space="preserve"> </w:t>
      </w:r>
      <w:r w:rsidRPr="0058223B">
        <w:rPr>
          <w:rFonts w:eastAsia="MS Mincho"/>
        </w:rPr>
        <w:t xml:space="preserve">on the date said payment is made.  </w:t>
      </w:r>
      <w:r w:rsidRPr="000E5C6D">
        <w:t>Payment of the forfeiture must be made by credit card, ACH (Automated Clearing House) debit from a bank account using the Commission’s Fee Filer (the Commission’s online payment system),</w:t>
      </w:r>
      <w:r>
        <w:rPr>
          <w:vertAlign w:val="superscript"/>
        </w:rPr>
        <w:footnoteReference w:id="41"/>
      </w:r>
      <w:r w:rsidRPr="000E5C6D">
        <w:t xml:space="preserve"> or by wire transfer.  The Commission no longer accepts forfeiture payments by check or money order.  Below are instructions that payors should follow based on the form of payment selected:</w:t>
      </w:r>
      <w:r>
        <w:rPr>
          <w:vertAlign w:val="superscript"/>
        </w:rPr>
        <w:footnoteReference w:id="42"/>
      </w:r>
      <w:r w:rsidRPr="000E5C6D">
        <w:tab/>
      </w:r>
    </w:p>
    <w:p w:rsidR="005C64C4" w:rsidRPr="006E68D4" w:rsidP="005C64C4">
      <w:pPr>
        <w:numPr>
          <w:ilvl w:val="0"/>
          <w:numId w:val="12"/>
        </w:numPr>
        <w:spacing w:after="120"/>
        <w:rPr>
          <w:b/>
          <w:szCs w:val="22"/>
        </w:rPr>
      </w:pPr>
      <w:r w:rsidRPr="006E68D4">
        <w:rPr>
          <w:szCs w:val="22"/>
        </w:rPr>
        <w:t xml:space="preserve">Payment by wire transfer must be made to ABA Number 021030004, receiving bank TREAS/NYC, and Account Number 27000001.  A completed Form 159 must be faxed to the Federal Communications Commission at 202-418-2843 or e-mailed to </w:t>
      </w:r>
      <w:r w:rsidRPr="006E68D4">
        <w:rPr>
          <w:szCs w:val="22"/>
          <w:u w:val="single"/>
        </w:rPr>
        <w:t>RROGWireFaxes@fcc.gov</w:t>
      </w:r>
      <w:r w:rsidRPr="006E68D4">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w:t>
      </w:r>
      <w:r w:rsidRPr="00664C37">
        <w:rPr>
          <w:szCs w:val="22"/>
        </w:rPr>
        <w:t>the letters “FORF” in block number 24A (payment type code), and enter in block number 11 the FRN(s) captioned above (Payor FRN).</w:t>
      </w:r>
      <w:r>
        <w:rPr>
          <w:szCs w:val="22"/>
          <w:vertAlign w:val="superscript"/>
        </w:rPr>
        <w:footnoteReference w:id="43"/>
      </w:r>
      <w:r w:rsidRPr="006E68D4">
        <w:rPr>
          <w:szCs w:val="22"/>
        </w:rPr>
        <w:t xml:space="preserve">  For additional detail and wire transfer instructions, go to </w:t>
      </w:r>
      <w:hyperlink r:id="rId11" w:history="1">
        <w:r w:rsidRPr="006E68D4">
          <w:rPr>
            <w:rStyle w:val="Hyperlink"/>
            <w:szCs w:val="22"/>
          </w:rPr>
          <w:t>https://www.fcc.gov/licensing-databases/fees/wire-transfer</w:t>
        </w:r>
      </w:hyperlink>
      <w:r w:rsidRPr="006E68D4">
        <w:rPr>
          <w:szCs w:val="22"/>
        </w:rPr>
        <w:t>.</w:t>
      </w:r>
    </w:p>
    <w:p w:rsidR="005C64C4" w:rsidRPr="000E5C6D" w:rsidP="00A2260A">
      <w:pPr>
        <w:widowControl/>
        <w:numPr>
          <w:ilvl w:val="0"/>
          <w:numId w:val="12"/>
        </w:numPr>
        <w:spacing w:after="120"/>
        <w:rPr>
          <w:b/>
        </w:rPr>
      </w:pPr>
      <w:r w:rsidRPr="000E5C6D">
        <w:t xml:space="preserve">Payment by credit card must be made by using the Commission’s Fee Filer website at </w:t>
      </w:r>
      <w:hyperlink r:id="rId12" w:history="1">
        <w:r w:rsidRPr="000E5C6D">
          <w:rPr>
            <w:rStyle w:val="Hyperlink"/>
          </w:rPr>
          <w:t>https://apps.fcc.gov/FeeFiler/login.cfm</w:t>
        </w:r>
      </w:hyperlink>
      <w:r w:rsidRPr="000E5C6D">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$24,999.99-dollar limitation on credit card transactions.</w:t>
      </w:r>
    </w:p>
    <w:p w:rsidR="005C64C4" w:rsidRPr="000E5C6D" w:rsidP="005C64C4">
      <w:pPr>
        <w:numPr>
          <w:ilvl w:val="0"/>
          <w:numId w:val="12"/>
        </w:numPr>
        <w:spacing w:after="120"/>
        <w:rPr>
          <w:b/>
        </w:rPr>
      </w:pPr>
      <w:r w:rsidRPr="000E5C6D">
        <w:t xml:space="preserve">Payment by ACH must be made by using the Commission’s Fee Filer website at </w:t>
      </w:r>
      <w:hyperlink r:id="rId12" w:history="1">
        <w:r w:rsidRPr="000E5C6D">
          <w:rPr>
            <w:rStyle w:val="Hyperlink"/>
          </w:rPr>
          <w:t>https://apps.fcc.gov/FeeFiler/login.cfm</w:t>
        </w:r>
      </w:hyperlink>
      <w:r w:rsidRPr="000E5C6D">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C64C4" w:rsidRPr="00501243" w:rsidP="005C64C4">
      <w:pPr>
        <w:pStyle w:val="ParaNum"/>
        <w:rPr>
          <w:szCs w:val="22"/>
        </w:rPr>
      </w:pPr>
      <w:r>
        <w:rPr>
          <w:b/>
          <w:szCs w:val="22"/>
          <w:u w:val="single"/>
        </w:rPr>
        <w:t>Underwriting Complaints; Subsequent Investigations</w:t>
      </w:r>
      <w:r>
        <w:rPr>
          <w:szCs w:val="22"/>
        </w:rPr>
        <w:t>.  Pursuant to the limitations</w:t>
      </w:r>
      <w:r w:rsidRPr="0003621A">
        <w:rPr>
          <w:szCs w:val="22"/>
        </w:rPr>
        <w:t xml:space="preserve"> </w:t>
      </w:r>
      <w:r>
        <w:rPr>
          <w:szCs w:val="22"/>
        </w:rPr>
        <w:t xml:space="preserve">set forth under Paragraphs </w:t>
      </w:r>
      <w:r w:rsidRPr="005163FB">
        <w:rPr>
          <w:szCs w:val="22"/>
        </w:rPr>
        <w:t>11 and 28</w:t>
      </w:r>
      <w:r w:rsidRPr="004D4F3D">
        <w:rPr>
          <w:szCs w:val="22"/>
        </w:rPr>
        <w:t>,</w:t>
      </w:r>
      <w:r>
        <w:rPr>
          <w:szCs w:val="22"/>
        </w:rPr>
        <w:t xml:space="preserve"> nothing in this Consent Decree shall prevent the Commission or its delegated authority from adjudicating complaints filed pursuant to the Underwriting Laws against STEM or its affiliates for alleged violations of the Act or the Rules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Licensee with the Act or the Rules.</w:t>
      </w:r>
    </w:p>
    <w:p w:rsidR="005C64C4" w:rsidP="005C64C4">
      <w:pPr>
        <w:pStyle w:val="ParaNum"/>
        <w:tabs>
          <w:tab w:val="left" w:pos="1440"/>
        </w:tabs>
        <w:rPr>
          <w:szCs w:val="22"/>
        </w:rPr>
      </w:pPr>
      <w:r>
        <w:rPr>
          <w:b/>
          <w:szCs w:val="22"/>
          <w:u w:val="single"/>
        </w:rPr>
        <w:t>Event of Default by Nonpayment</w:t>
      </w:r>
      <w:r>
        <w:rPr>
          <w:szCs w:val="22"/>
        </w:rPr>
        <w:t>.  STEM agrees that an Event of Default shall occur upon the failure by STEM to pay the full amount on or before the due date specified in this Consent Decree.</w:t>
      </w:r>
    </w:p>
    <w:p w:rsidR="005C64C4" w:rsidRPr="00154BEB" w:rsidP="005C64C4">
      <w:pPr>
        <w:pStyle w:val="ParaNum"/>
        <w:tabs>
          <w:tab w:val="left" w:pos="1440"/>
        </w:tabs>
        <w:rPr>
          <w:szCs w:val="22"/>
        </w:rPr>
      </w:pPr>
      <w:r w:rsidRPr="00154BEB">
        <w:rPr>
          <w:b/>
          <w:szCs w:val="22"/>
          <w:u w:val="single"/>
        </w:rPr>
        <w:t>Interest, Charges for Collection, and Acceleration of Maturity Date</w:t>
      </w:r>
      <w:r w:rsidRPr="00154BEB">
        <w:rPr>
          <w:szCs w:val="22"/>
        </w:rPr>
        <w:t>.  After an Event of Default has occurred under this Consent Decree, the then unpaid amount of the civil penalty shall accrue interest, computed using the U.S. Prime Rate in effect on the date of the Event of Default plus 4.75</w:t>
      </w:r>
      <w:r>
        <w:rPr>
          <w:szCs w:val="22"/>
        </w:rPr>
        <w:t>%</w:t>
      </w:r>
      <w:r w:rsidRPr="00154BEB">
        <w:rPr>
          <w:szCs w:val="22"/>
        </w:rPr>
        <w:t xml:space="preserve"> from the date of the Event of Default until payment in full.  Upon an Event of Default, the then unpaid amount of the </w:t>
      </w:r>
      <w:r>
        <w:rPr>
          <w:szCs w:val="22"/>
        </w:rPr>
        <w:t>civil penalty</w:t>
      </w:r>
      <w:r w:rsidRPr="00154BEB">
        <w:rPr>
          <w:szCs w:val="22"/>
        </w:rPr>
        <w:t xml:space="preserve">, together with interest, any penalties permitted and/or required by the law, including but not limited to 31 U.S.C. § 3717 and administrative charges, plus the costs of collection, litigation, and attorneys’ fees, </w:t>
      </w:r>
      <w:r>
        <w:rPr>
          <w:szCs w:val="22"/>
        </w:rPr>
        <w:t>shall become</w:t>
      </w:r>
      <w:r w:rsidRPr="00154BEB">
        <w:rPr>
          <w:szCs w:val="22"/>
        </w:rPr>
        <w:t xml:space="preserve"> immediately due and payable, without notice, presentment, demand, protest, or notice of protest of any kind, all of which are waived by </w:t>
      </w:r>
      <w:r>
        <w:rPr>
          <w:szCs w:val="22"/>
        </w:rPr>
        <w:t>STEM</w:t>
      </w:r>
      <w:r w:rsidRPr="00154BEB">
        <w:rPr>
          <w:szCs w:val="22"/>
        </w:rPr>
        <w:t>.</w:t>
      </w:r>
    </w:p>
    <w:p w:rsidR="005C64C4" w:rsidP="005C64C4">
      <w:pPr>
        <w:pStyle w:val="ParaNum"/>
        <w:rPr>
          <w:szCs w:val="22"/>
        </w:rPr>
      </w:pPr>
      <w:r w:rsidRPr="0058223B">
        <w:rPr>
          <w:b/>
          <w:szCs w:val="22"/>
          <w:u w:val="single"/>
        </w:rPr>
        <w:t>Waivers</w:t>
      </w:r>
      <w:r w:rsidRPr="0058223B">
        <w:rPr>
          <w:szCs w:val="22"/>
        </w:rPr>
        <w:t xml:space="preserve">.  </w:t>
      </w:r>
      <w:r>
        <w:rPr>
          <w:szCs w:val="22"/>
        </w:rPr>
        <w:t>As of the Effective Date, STEM</w:t>
      </w:r>
      <w:r w:rsidRPr="0058223B">
        <w:rPr>
          <w:szCs w:val="22"/>
        </w:rPr>
        <w:t xml:space="preserve"> waives any and all rights it may have to seek administrative or judicial reconsideration, review, appeal, or stay, or to otherwise challenge or contest the validity of this Consent Decree and the Adopting Order</w:t>
      </w:r>
      <w:r>
        <w:rPr>
          <w:szCs w:val="22"/>
        </w:rPr>
        <w:t>.</w:t>
      </w:r>
      <w:r w:rsidRPr="0058223B">
        <w:rPr>
          <w:szCs w:val="22"/>
        </w:rPr>
        <w:t xml:space="preserve">  </w:t>
      </w:r>
      <w:r>
        <w:rPr>
          <w:szCs w:val="22"/>
        </w:rPr>
        <w:t>STEM</w:t>
      </w:r>
      <w:r w:rsidRPr="0058223B">
        <w:rPr>
          <w:szCs w:val="22"/>
        </w:rPr>
        <w:t xml:space="preserve"> shall retain the right to challenge Commission interpretation of the Consent Decree or any terms contained herein.  If </w:t>
      </w:r>
      <w:r>
        <w:rPr>
          <w:szCs w:val="22"/>
        </w:rPr>
        <w:t>either</w:t>
      </w:r>
      <w:r w:rsidRPr="0058223B">
        <w:rPr>
          <w:szCs w:val="22"/>
        </w:rPr>
        <w:t xml:space="preserve"> Party (or the United States on behalf of the Commission) brings a judicial action to enforce the terms of the </w:t>
      </w:r>
      <w:r>
        <w:rPr>
          <w:szCs w:val="22"/>
        </w:rPr>
        <w:t xml:space="preserve">Consent Decree or the </w:t>
      </w:r>
      <w:r w:rsidRPr="0058223B">
        <w:rPr>
          <w:szCs w:val="22"/>
        </w:rPr>
        <w:t xml:space="preserve">Adopting Order, neither </w:t>
      </w:r>
      <w:r>
        <w:rPr>
          <w:szCs w:val="22"/>
        </w:rPr>
        <w:t>STEM</w:t>
      </w:r>
      <w:r w:rsidRPr="0058223B">
        <w:rPr>
          <w:szCs w:val="22"/>
        </w:rPr>
        <w:t xml:space="preserve"> nor the Commission shall contest the validity of the Consent Decree or the Adopting Order, and </w:t>
      </w:r>
      <w:r>
        <w:rPr>
          <w:szCs w:val="22"/>
        </w:rPr>
        <w:t>STEM</w:t>
      </w:r>
      <w:r w:rsidRPr="0058223B">
        <w:rPr>
          <w:szCs w:val="22"/>
        </w:rPr>
        <w:t xml:space="preserve"> shall waive any statutory right to a trial </w:t>
      </w:r>
      <w:r w:rsidRPr="0058223B">
        <w:rPr>
          <w:i/>
          <w:szCs w:val="22"/>
        </w:rPr>
        <w:t>de novo</w:t>
      </w:r>
      <w:r w:rsidRPr="0058223B">
        <w:rPr>
          <w:szCs w:val="22"/>
        </w:rPr>
        <w:t xml:space="preserve">.  </w:t>
      </w:r>
      <w:r>
        <w:rPr>
          <w:szCs w:val="22"/>
        </w:rPr>
        <w:t>STEM</w:t>
      </w:r>
      <w:r w:rsidRPr="0058223B">
        <w:rPr>
          <w:szCs w:val="22"/>
        </w:rPr>
        <w:t xml:space="preserve"> hereby agrees to waive any claims it may </w:t>
      </w:r>
      <w:r>
        <w:rPr>
          <w:szCs w:val="22"/>
        </w:rPr>
        <w:t xml:space="preserve">otherwise </w:t>
      </w:r>
      <w:r w:rsidRPr="0058223B">
        <w:rPr>
          <w:szCs w:val="22"/>
        </w:rPr>
        <w:t xml:space="preserve">have under </w:t>
      </w:r>
      <w:r>
        <w:rPr>
          <w:szCs w:val="22"/>
        </w:rPr>
        <w:t>the Equal Access to Justice Act</w:t>
      </w:r>
      <w:r>
        <w:rPr>
          <w:rStyle w:val="FootnoteReference"/>
          <w:szCs w:val="22"/>
        </w:rPr>
        <w:footnoteReference w:id="44"/>
      </w:r>
      <w:r>
        <w:rPr>
          <w:szCs w:val="22"/>
        </w:rPr>
        <w:t xml:space="preserve"> </w:t>
      </w:r>
      <w:r w:rsidRPr="0058223B">
        <w:rPr>
          <w:szCs w:val="22"/>
        </w:rPr>
        <w:t>relating to the matters addressed in this Consent Decree.</w:t>
      </w:r>
    </w:p>
    <w:p w:rsidR="005C64C4" w:rsidRPr="00B25B48" w:rsidP="005C64C4">
      <w:pPr>
        <w:pStyle w:val="ParaNum"/>
      </w:pPr>
      <w:r>
        <w:rPr>
          <w:b/>
          <w:u w:val="single"/>
        </w:rPr>
        <w:t>Severability</w:t>
      </w:r>
      <w: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w:t>
      </w:r>
      <w:r w:rsidRPr="00A027EB">
        <w:rPr>
          <w:szCs w:val="22"/>
        </w:rPr>
        <w:t>construed</w:t>
      </w:r>
      <w:r>
        <w:t xml:space="preserve"> as if not containing the particular unenforceable provision or provisions, and the rights and obligations of the Parties shall be construed and enforced accordingly.</w:t>
      </w:r>
    </w:p>
    <w:p w:rsidR="005C64C4" w:rsidRPr="0058223B" w:rsidP="00A2260A">
      <w:pPr>
        <w:pStyle w:val="ParaNum"/>
        <w:widowControl/>
        <w:rPr>
          <w:szCs w:val="22"/>
        </w:rPr>
      </w:pPr>
      <w:r w:rsidRPr="0058223B">
        <w:rPr>
          <w:b/>
          <w:szCs w:val="22"/>
          <w:u w:val="single"/>
        </w:rPr>
        <w:t>Invalidity</w:t>
      </w:r>
      <w:r w:rsidRPr="0058223B">
        <w:rPr>
          <w:szCs w:val="22"/>
        </w:rPr>
        <w:t xml:space="preserve">.  </w:t>
      </w:r>
      <w:r w:rsidRPr="0058223B">
        <w:rPr>
          <w:szCs w:val="22"/>
        </w:rPr>
        <w:t>In the event that</w:t>
      </w:r>
      <w:r w:rsidRPr="0058223B">
        <w:rPr>
          <w:szCs w:val="22"/>
        </w:rPr>
        <w:t xml:space="preserve"> this Consent Decree in its entirety is rendered invalid by any court of competent jurisdiction, it shall </w:t>
      </w:r>
      <w:r w:rsidRPr="00A027EB">
        <w:t>become</w:t>
      </w:r>
      <w:r w:rsidRPr="0058223B">
        <w:rPr>
          <w:szCs w:val="22"/>
        </w:rPr>
        <w:t xml:space="preserve"> null and void and may not be used in any m</w:t>
      </w:r>
      <w:r>
        <w:rPr>
          <w:szCs w:val="22"/>
        </w:rPr>
        <w:t>anner in any legal proceeding.</w:t>
      </w:r>
    </w:p>
    <w:p w:rsidR="005C64C4" w:rsidRPr="0058223B" w:rsidP="005C64C4">
      <w:pPr>
        <w:pStyle w:val="ParaNum"/>
        <w:rPr>
          <w:szCs w:val="22"/>
        </w:rPr>
      </w:pPr>
      <w:r w:rsidRPr="0058223B">
        <w:rPr>
          <w:b/>
          <w:szCs w:val="22"/>
          <w:u w:val="single"/>
        </w:rPr>
        <w:t>Subsequent Rule or Order</w:t>
      </w:r>
      <w:r w:rsidRPr="0058223B">
        <w:rPr>
          <w:szCs w:val="22"/>
        </w:rPr>
        <w:t xml:space="preserve">.  The Parties agree that if any provision of this Consent Decree conflicts with any subsequent Rule or </w:t>
      </w:r>
      <w:r>
        <w:rPr>
          <w:szCs w:val="22"/>
        </w:rPr>
        <w:t>O</w:t>
      </w:r>
      <w:r w:rsidRPr="0058223B">
        <w:rPr>
          <w:szCs w:val="22"/>
        </w:rPr>
        <w:t xml:space="preserve">rder adopted by the Commission (except an </w:t>
      </w:r>
      <w:r>
        <w:rPr>
          <w:szCs w:val="22"/>
        </w:rPr>
        <w:t>O</w:t>
      </w:r>
      <w:r w:rsidRPr="0058223B">
        <w:rPr>
          <w:szCs w:val="22"/>
        </w:rPr>
        <w:t xml:space="preserve">rder specifically intended to revise the terms of this Consent Decree to which </w:t>
      </w:r>
      <w:r>
        <w:rPr>
          <w:szCs w:val="22"/>
        </w:rPr>
        <w:t>STEM</w:t>
      </w:r>
      <w:r w:rsidRPr="0058223B">
        <w:rPr>
          <w:szCs w:val="22"/>
        </w:rPr>
        <w:t xml:space="preserve"> does not expressly consent) that provision will be superseded by such Rule or </w:t>
      </w:r>
      <w:r>
        <w:rPr>
          <w:szCs w:val="22"/>
        </w:rPr>
        <w:t>O</w:t>
      </w:r>
      <w:r w:rsidRPr="0058223B">
        <w:rPr>
          <w:szCs w:val="22"/>
        </w:rPr>
        <w:t>rder.</w:t>
      </w:r>
    </w:p>
    <w:p w:rsidR="005C64C4" w:rsidRPr="000D411F" w:rsidP="005C64C4">
      <w:pPr>
        <w:pStyle w:val="ParaNum"/>
      </w:pPr>
      <w:bookmarkStart w:id="7" w:name="_Hlk503355879"/>
      <w:r w:rsidRPr="00F25431">
        <w:rPr>
          <w:b/>
          <w:szCs w:val="22"/>
          <w:u w:val="single"/>
        </w:rPr>
        <w:t>Successors</w:t>
      </w:r>
      <w:r>
        <w:rPr>
          <w:b/>
          <w:szCs w:val="22"/>
          <w:u w:val="single"/>
        </w:rPr>
        <w:t>,</w:t>
      </w:r>
      <w:r w:rsidRPr="00F25431">
        <w:rPr>
          <w:b/>
          <w:szCs w:val="22"/>
          <w:u w:val="single"/>
        </w:rPr>
        <w:t xml:space="preserve"> Assigns</w:t>
      </w:r>
      <w:r>
        <w:rPr>
          <w:b/>
          <w:szCs w:val="22"/>
          <w:u w:val="single"/>
        </w:rPr>
        <w:t>, and Transferees</w:t>
      </w:r>
      <w:r>
        <w:t>.  STEM</w:t>
      </w:r>
      <w:r w:rsidRPr="008F2329">
        <w:t xml:space="preserve"> agrees that the terms of this Consent</w:t>
      </w:r>
      <w:r>
        <w:t xml:space="preserve"> Decree </w:t>
      </w:r>
      <w:r w:rsidRPr="008F2329">
        <w:t>shall be binding on its successors, assigns, and transferees, for the duration of the agreement, unless such successor, assign</w:t>
      </w:r>
      <w:r>
        <w:t>, or transferee has a compliance record free from any liability found and finally determined under any Warning, Notice of Violation, Admonishment, Notice of Apparent Liability, Forfeiture Order, Consent Decree, or other FCC enforcement action, decision, or settlement, respecting the successor, assignee, or transferee, that was (i) issued and became final during the thirty-six (36)-month period immediately preceding the Effective Date, pursuant to any provision of the Act or Rules, or (ii) issued and became final during the one hundred twenty (120)-month period immediately preceding the Effective Date, pursuant to the Underwriting Laws (“Exempted Successor”).  STEM further agrees as follows:</w:t>
      </w:r>
    </w:p>
    <w:p w:rsidR="005C64C4" w:rsidRPr="00DD1D8E" w:rsidP="005C64C4">
      <w:pPr>
        <w:numPr>
          <w:ilvl w:val="0"/>
          <w:numId w:val="9"/>
        </w:numPr>
        <w:tabs>
          <w:tab w:val="clear" w:pos="1872"/>
        </w:tabs>
        <w:spacing w:after="120"/>
        <w:ind w:left="1800" w:hanging="360"/>
        <w:rPr>
          <w:szCs w:val="22"/>
        </w:rPr>
      </w:pPr>
      <w:r w:rsidRPr="00B4395D">
        <w:rPr>
          <w:szCs w:val="22"/>
        </w:rPr>
        <w:t>that any application seeking Commission consent to the assignment of</w:t>
      </w:r>
      <w:r>
        <w:rPr>
          <w:szCs w:val="22"/>
        </w:rPr>
        <w:t xml:space="preserve"> the</w:t>
      </w:r>
      <w:r w:rsidRPr="00B4395D">
        <w:rPr>
          <w:szCs w:val="22"/>
        </w:rPr>
        <w:t xml:space="preserve"> Station to an Exempted Successor shall include a certification or affidavit from </w:t>
      </w:r>
      <w:r>
        <w:rPr>
          <w:szCs w:val="22"/>
        </w:rPr>
        <w:t>STEM</w:t>
      </w:r>
      <w:r w:rsidRPr="00B4395D">
        <w:rPr>
          <w:szCs w:val="22"/>
        </w:rPr>
        <w:t xml:space="preserve"> which affirms that it, and/or its successor, assignee, or transferee, has satisfied the obligations under </w:t>
      </w:r>
      <w:r>
        <w:rPr>
          <w:szCs w:val="22"/>
        </w:rPr>
        <w:t>P</w:t>
      </w:r>
      <w:r w:rsidRPr="00B4395D">
        <w:rPr>
          <w:szCs w:val="22"/>
        </w:rPr>
        <w:t>aragraph</w:t>
      </w:r>
      <w:r>
        <w:rPr>
          <w:szCs w:val="22"/>
        </w:rPr>
        <w:t xml:space="preserve"> </w:t>
      </w:r>
      <w:r w:rsidRPr="00172BE2">
        <w:rPr>
          <w:szCs w:val="22"/>
        </w:rPr>
        <w:t>15</w:t>
      </w:r>
      <w:r w:rsidRPr="00B4395D">
        <w:rPr>
          <w:szCs w:val="22"/>
        </w:rPr>
        <w:t>;</w:t>
      </w:r>
      <w:r>
        <w:rPr>
          <w:rStyle w:val="FootnoteReference"/>
        </w:rPr>
        <w:footnoteReference w:id="45"/>
      </w:r>
    </w:p>
    <w:p w:rsidR="005C64C4" w:rsidRPr="00B4395D" w:rsidP="005C64C4">
      <w:pPr>
        <w:numPr>
          <w:ilvl w:val="0"/>
          <w:numId w:val="9"/>
        </w:numPr>
        <w:tabs>
          <w:tab w:val="clear" w:pos="1872"/>
        </w:tabs>
        <w:spacing w:after="120"/>
        <w:ind w:left="1800" w:hanging="360"/>
        <w:rPr>
          <w:szCs w:val="22"/>
        </w:rPr>
      </w:pPr>
      <w:r>
        <w:rPr>
          <w:szCs w:val="22"/>
        </w:rPr>
        <w:t>i</w:t>
      </w:r>
      <w:r w:rsidRPr="00B4395D">
        <w:rPr>
          <w:szCs w:val="22"/>
        </w:rPr>
        <w:t xml:space="preserve">n the event </w:t>
      </w:r>
      <w:r>
        <w:rPr>
          <w:szCs w:val="22"/>
        </w:rPr>
        <w:t>STEM</w:t>
      </w:r>
      <w:r w:rsidRPr="00B4395D">
        <w:rPr>
          <w:szCs w:val="22"/>
        </w:rPr>
        <w:t xml:space="preserve"> consummates an assignment of </w:t>
      </w:r>
      <w:r>
        <w:rPr>
          <w:szCs w:val="22"/>
        </w:rPr>
        <w:t xml:space="preserve">the </w:t>
      </w:r>
      <w:r w:rsidRPr="00B4395D">
        <w:rPr>
          <w:szCs w:val="22"/>
        </w:rPr>
        <w:t xml:space="preserve">Station to an Exempted Successor within 90 days of the Effective Date, then the Exempted Successor shall assume </w:t>
      </w:r>
      <w:r>
        <w:rPr>
          <w:szCs w:val="22"/>
        </w:rPr>
        <w:t>STEM</w:t>
      </w:r>
      <w:r w:rsidRPr="00B4395D">
        <w:rPr>
          <w:szCs w:val="22"/>
        </w:rPr>
        <w:t xml:space="preserve">’s obligations under Paragraph </w:t>
      </w:r>
      <w:r w:rsidRPr="00172BE2">
        <w:rPr>
          <w:szCs w:val="22"/>
        </w:rPr>
        <w:t>15</w:t>
      </w:r>
      <w:r w:rsidRPr="00B4395D">
        <w:rPr>
          <w:szCs w:val="22"/>
        </w:rPr>
        <w:t>;</w:t>
      </w:r>
    </w:p>
    <w:p w:rsidR="005C64C4" w:rsidRPr="00B4395D" w:rsidP="005C64C4">
      <w:pPr>
        <w:numPr>
          <w:ilvl w:val="0"/>
          <w:numId w:val="9"/>
        </w:numPr>
        <w:tabs>
          <w:tab w:val="num" w:pos="1800"/>
          <w:tab w:val="clear" w:pos="1872"/>
        </w:tabs>
        <w:spacing w:after="120"/>
        <w:ind w:left="1800" w:hanging="360"/>
        <w:rPr>
          <w:szCs w:val="22"/>
        </w:rPr>
      </w:pPr>
      <w:r w:rsidRPr="00B4395D">
        <w:rPr>
          <w:szCs w:val="22"/>
        </w:rPr>
        <w:t xml:space="preserve">that any authority granted to a successor, assignee, or transferee, shall be conditioned upon </w:t>
      </w:r>
      <w:r>
        <w:rPr>
          <w:szCs w:val="22"/>
        </w:rPr>
        <w:t>STEM</w:t>
      </w:r>
      <w:r w:rsidRPr="00B4395D">
        <w:rPr>
          <w:szCs w:val="22"/>
        </w:rPr>
        <w:t xml:space="preserve">’s filing a compliance report at the time of sale which details all steps taken to satisfy the obligations under Paragraphs </w:t>
      </w:r>
      <w:r w:rsidRPr="00FB6971">
        <w:rPr>
          <w:szCs w:val="22"/>
        </w:rPr>
        <w:t>15 and 28</w:t>
      </w:r>
      <w:r w:rsidRPr="00B4395D">
        <w:rPr>
          <w:szCs w:val="22"/>
        </w:rPr>
        <w:t>, as well as its certification thereto; and that</w:t>
      </w:r>
    </w:p>
    <w:p w:rsidR="005C64C4" w:rsidRPr="00B4395D" w:rsidP="005C64C4">
      <w:pPr>
        <w:numPr>
          <w:ilvl w:val="0"/>
          <w:numId w:val="9"/>
        </w:numPr>
        <w:tabs>
          <w:tab w:val="num" w:pos="1800"/>
          <w:tab w:val="clear" w:pos="1872"/>
        </w:tabs>
        <w:spacing w:after="120"/>
        <w:ind w:left="1800" w:hanging="360"/>
        <w:rPr>
          <w:szCs w:val="22"/>
        </w:rPr>
      </w:pPr>
      <w:r w:rsidRPr="00B4395D">
        <w:rPr>
          <w:szCs w:val="22"/>
        </w:rPr>
        <w:t xml:space="preserve">nothing in this Paragraph shall limit the Commission’s rights under Paragraphs </w:t>
      </w:r>
      <w:r w:rsidRPr="00FB6971">
        <w:rPr>
          <w:szCs w:val="22"/>
        </w:rPr>
        <w:t>11 and 21</w:t>
      </w:r>
      <w:r>
        <w:rPr>
          <w:szCs w:val="22"/>
        </w:rPr>
        <w:t xml:space="preserve"> </w:t>
      </w:r>
      <w:r w:rsidRPr="00B4395D">
        <w:rPr>
          <w:szCs w:val="22"/>
        </w:rPr>
        <w:t xml:space="preserve">and shall not prevent the Commission from investigating new material evidence that the settlement hereunder was falsely procured by </w:t>
      </w:r>
      <w:r>
        <w:rPr>
          <w:szCs w:val="22"/>
        </w:rPr>
        <w:t>STEM</w:t>
      </w:r>
      <w:r w:rsidRPr="00B4395D">
        <w:rPr>
          <w:szCs w:val="22"/>
        </w:rPr>
        <w:t xml:space="preserve">, or new evidence of noncompliance by </w:t>
      </w:r>
      <w:r>
        <w:rPr>
          <w:szCs w:val="22"/>
        </w:rPr>
        <w:t>STEM</w:t>
      </w:r>
      <w:r w:rsidRPr="00B4395D">
        <w:rPr>
          <w:szCs w:val="22"/>
        </w:rPr>
        <w:t xml:space="preserve"> with the Act or the Rules</w:t>
      </w:r>
      <w:r>
        <w:rPr>
          <w:szCs w:val="22"/>
        </w:rPr>
        <w:t>.</w:t>
      </w:r>
    </w:p>
    <w:bookmarkEnd w:id="7"/>
    <w:p w:rsidR="005C64C4" w:rsidRPr="000D411F" w:rsidP="005C64C4">
      <w:pPr>
        <w:pStyle w:val="ParaNum"/>
      </w:pPr>
      <w:r w:rsidRPr="0058223B">
        <w:rPr>
          <w:b/>
          <w:szCs w:val="22"/>
          <w:u w:val="single"/>
        </w:rPr>
        <w:t>Final Settlement</w:t>
      </w:r>
      <w:r w:rsidRPr="0058223B">
        <w:rPr>
          <w:szCs w:val="22"/>
        </w:rPr>
        <w:t>.  The Parties agree and acknowledge that this Consent Decree shall constitute a final settlement between the Parties with respect to the Investigation.</w:t>
      </w:r>
    </w:p>
    <w:p w:rsidR="005C64C4" w:rsidRPr="0058223B" w:rsidP="005C64C4">
      <w:pPr>
        <w:pStyle w:val="ParaNum"/>
        <w:rPr>
          <w:szCs w:val="22"/>
        </w:rPr>
      </w:pPr>
      <w:r w:rsidRPr="0058223B">
        <w:rPr>
          <w:b/>
          <w:szCs w:val="22"/>
          <w:u w:val="single"/>
        </w:rPr>
        <w:t>Modifications</w:t>
      </w:r>
      <w:r w:rsidRPr="0058223B">
        <w:rPr>
          <w:szCs w:val="22"/>
        </w:rPr>
        <w:t xml:space="preserve">.  This Consent Decree cannot be modified without the advance written consent of </w:t>
      </w:r>
      <w:r>
        <w:rPr>
          <w:szCs w:val="22"/>
        </w:rPr>
        <w:t>both</w:t>
      </w:r>
      <w:r w:rsidRPr="0058223B">
        <w:rPr>
          <w:szCs w:val="22"/>
        </w:rPr>
        <w:t xml:space="preserve"> Parties.</w:t>
      </w:r>
    </w:p>
    <w:p w:rsidR="005C64C4" w:rsidRPr="0058223B" w:rsidP="005C64C4">
      <w:pPr>
        <w:pStyle w:val="ParaNum"/>
        <w:rPr>
          <w:szCs w:val="22"/>
        </w:rPr>
      </w:pPr>
      <w:r w:rsidRPr="0058223B">
        <w:rPr>
          <w:b/>
          <w:szCs w:val="22"/>
          <w:u w:val="single"/>
        </w:rPr>
        <w:t>Paragraph Headings</w:t>
      </w:r>
      <w:r w:rsidRPr="0058223B">
        <w:rPr>
          <w:szCs w:val="22"/>
        </w:rPr>
        <w:t>.  The headings of the paragraphs in this Consent Decree are inserted for convenience only and are not intended to affect the meaning or interpretation of this Consent Decree.</w:t>
      </w:r>
    </w:p>
    <w:p w:rsidR="005C64C4" w:rsidRPr="00A027EB" w:rsidP="005C64C4">
      <w:pPr>
        <w:pStyle w:val="ParaNum"/>
        <w:rPr>
          <w:szCs w:val="22"/>
        </w:rPr>
      </w:pPr>
      <w:r w:rsidRPr="00A027EB">
        <w:rPr>
          <w:b/>
          <w:szCs w:val="22"/>
          <w:u w:val="single"/>
        </w:rPr>
        <w:t>Authorized Representative</w:t>
      </w:r>
      <w:r w:rsidRPr="00A027EB">
        <w:rPr>
          <w:szCs w:val="22"/>
        </w:rPr>
        <w:t xml:space="preserve">.  Each Party represents and warrants to the other that it has full power and authority to </w:t>
      </w:r>
      <w:r w:rsidRPr="00A027EB">
        <w:rPr>
          <w:szCs w:val="22"/>
        </w:rPr>
        <w:t>enter into</w:t>
      </w:r>
      <w:r w:rsidRPr="00A027EB">
        <w:rPr>
          <w:szCs w:val="22"/>
        </w:rPr>
        <w:t xml:space="preserve"> this Consent Decree.  Each person signing this Consent Decree on behalf of a Party hereby represents that he or she is fully authorized by the Party to execute this Consent Decree and to bind the Party to its terms and conditions</w:t>
      </w:r>
      <w:r>
        <w:rPr>
          <w:szCs w:val="22"/>
        </w:rPr>
        <w:t>.</w:t>
      </w:r>
    </w:p>
    <w:p w:rsidR="005C64C4" w:rsidRPr="0058223B" w:rsidP="00A07513">
      <w:pPr>
        <w:pStyle w:val="ParaNum"/>
        <w:keepNext/>
        <w:widowControl/>
        <w:rPr>
          <w:szCs w:val="22"/>
        </w:rPr>
      </w:pPr>
      <w:r w:rsidRPr="0058223B">
        <w:rPr>
          <w:b/>
          <w:szCs w:val="22"/>
          <w:u w:val="single"/>
        </w:rPr>
        <w:t>Counterparts</w:t>
      </w:r>
      <w:r w:rsidRPr="0058223B">
        <w:rPr>
          <w:szCs w:val="22"/>
        </w:rPr>
        <w:t>.  This Consent Decree may be signed in any number of counterparts (including by facsimile)</w:t>
      </w:r>
      <w:r>
        <w:rPr>
          <w:szCs w:val="22"/>
        </w:rPr>
        <w:t>.</w:t>
      </w:r>
      <w:r w:rsidRPr="0058223B">
        <w:rPr>
          <w:szCs w:val="22"/>
        </w:rPr>
        <w:t xml:space="preserve"> </w:t>
      </w:r>
      <w:r>
        <w:rPr>
          <w:szCs w:val="22"/>
        </w:rPr>
        <w:t xml:space="preserve"> E</w:t>
      </w:r>
      <w:r w:rsidRPr="0058223B">
        <w:rPr>
          <w:szCs w:val="22"/>
        </w:rPr>
        <w:t xml:space="preserve">ach </w:t>
      </w:r>
      <w:r>
        <w:rPr>
          <w:szCs w:val="22"/>
        </w:rPr>
        <w:t>counterpart</w:t>
      </w:r>
      <w:r w:rsidRPr="0058223B">
        <w:rPr>
          <w:szCs w:val="22"/>
        </w:rPr>
        <w:t xml:space="preserve">, when executed and delivered, shall be an original, and </w:t>
      </w:r>
      <w:r w:rsidRPr="0058223B">
        <w:rPr>
          <w:szCs w:val="22"/>
        </w:rPr>
        <w:t>all of</w:t>
      </w:r>
      <w:r w:rsidRPr="0058223B">
        <w:rPr>
          <w:szCs w:val="22"/>
        </w:rPr>
        <w:t xml:space="preserve"> </w:t>
      </w:r>
      <w:r>
        <w:rPr>
          <w:szCs w:val="22"/>
        </w:rPr>
        <w:t>the</w:t>
      </w:r>
      <w:r w:rsidRPr="0058223B">
        <w:rPr>
          <w:szCs w:val="22"/>
        </w:rPr>
        <w:t xml:space="preserve"> counterparts together shall constitute one and the same fully executed instrument.</w:t>
      </w:r>
    </w:p>
    <w:p w:rsidR="005C64C4" w:rsidRPr="0058223B" w:rsidP="00A07513">
      <w:pPr>
        <w:pStyle w:val="par1"/>
        <w:keepNext/>
        <w:widowControl/>
        <w:tabs>
          <w:tab w:val="clear" w:pos="1080"/>
        </w:tabs>
        <w:ind w:firstLine="0"/>
        <w:rPr>
          <w:szCs w:val="22"/>
        </w:rPr>
      </w:pPr>
    </w:p>
    <w:p w:rsidR="005C64C4" w:rsidP="00A07513">
      <w:pPr>
        <w:keepNext/>
        <w:widowControl/>
        <w:rPr>
          <w:szCs w:val="22"/>
        </w:rPr>
      </w:pPr>
    </w:p>
    <w:p w:rsidR="005C64C4" w:rsidRPr="0058223B" w:rsidP="00A07513">
      <w:pPr>
        <w:keepNext/>
        <w:widowControl/>
        <w:rPr>
          <w:szCs w:val="22"/>
        </w:rPr>
      </w:pPr>
    </w:p>
    <w:p w:rsidR="005C64C4" w:rsidRPr="0058223B" w:rsidP="00A07513">
      <w:pPr>
        <w:keepNext/>
        <w:widowControl/>
      </w:pPr>
      <w:r w:rsidRPr="0058223B">
        <w:t>___________________________</w:t>
      </w:r>
    </w:p>
    <w:p w:rsidR="005C64C4" w:rsidRPr="00C507CE" w:rsidP="00A07513">
      <w:pPr>
        <w:keepNext/>
        <w:widowControl/>
      </w:pPr>
      <w:r>
        <w:t>Michelle Carey</w:t>
      </w:r>
    </w:p>
    <w:p w:rsidR="005C64C4" w:rsidRPr="00C507CE" w:rsidP="00A07513">
      <w:pPr>
        <w:keepNext/>
        <w:widowControl/>
      </w:pPr>
      <w:r w:rsidRPr="00C507CE">
        <w:t>Chief</w:t>
      </w:r>
    </w:p>
    <w:p w:rsidR="005C64C4" w:rsidRPr="0058223B" w:rsidP="00A07513">
      <w:pPr>
        <w:keepNext/>
        <w:widowControl/>
      </w:pPr>
      <w:r>
        <w:t>Media</w:t>
      </w:r>
      <w:r w:rsidRPr="00C507CE">
        <w:t xml:space="preserve"> Bureau</w:t>
      </w:r>
    </w:p>
    <w:p w:rsidR="005C64C4" w:rsidP="00A07513">
      <w:pPr>
        <w:keepNext/>
        <w:widowControl/>
        <w:rPr>
          <w:szCs w:val="22"/>
        </w:rPr>
      </w:pPr>
    </w:p>
    <w:p w:rsidR="005C64C4" w:rsidRPr="0058223B" w:rsidP="00A07513">
      <w:pPr>
        <w:keepNext/>
        <w:widowControl/>
        <w:rPr>
          <w:szCs w:val="22"/>
        </w:rPr>
      </w:pPr>
    </w:p>
    <w:p w:rsidR="005C64C4" w:rsidRPr="0058223B" w:rsidP="00A07513">
      <w:pPr>
        <w:keepNext/>
        <w:widowControl/>
      </w:pPr>
      <w:r w:rsidRPr="0058223B">
        <w:t>___________________________</w:t>
      </w:r>
    </w:p>
    <w:p w:rsidR="005C64C4" w:rsidP="00A07513">
      <w:pPr>
        <w:keepNext/>
        <w:widowControl/>
      </w:pPr>
      <w:r w:rsidRPr="0058223B">
        <w:t>Date</w:t>
      </w:r>
    </w:p>
    <w:p w:rsidR="005C64C4" w:rsidP="00A07513">
      <w:pPr>
        <w:keepNext/>
        <w:widowControl/>
      </w:pPr>
    </w:p>
    <w:p w:rsidR="005C64C4" w:rsidRPr="0058223B" w:rsidP="00A07513">
      <w:pPr>
        <w:keepNext/>
        <w:widowControl/>
      </w:pPr>
    </w:p>
    <w:p w:rsidR="005C64C4" w:rsidRPr="00790688" w:rsidP="00A07513">
      <w:pPr>
        <w:keepNext/>
        <w:widowControl/>
        <w:rPr>
          <w:szCs w:val="22"/>
        </w:rPr>
      </w:pPr>
    </w:p>
    <w:p w:rsidR="005C64C4" w:rsidRPr="00790688" w:rsidP="00A07513">
      <w:pPr>
        <w:keepNext/>
        <w:widowControl/>
        <w:rPr>
          <w:szCs w:val="22"/>
        </w:rPr>
      </w:pPr>
      <w:r w:rsidRPr="00790688">
        <w:rPr>
          <w:szCs w:val="22"/>
        </w:rPr>
        <w:t>___________________________</w:t>
      </w:r>
    </w:p>
    <w:p w:rsidR="005C64C4" w:rsidRPr="00C507CE" w:rsidP="00A07513">
      <w:pPr>
        <w:keepNext/>
        <w:widowControl/>
      </w:pPr>
      <w:r w:rsidRPr="00C507CE">
        <w:t>Rosemary C. Harold</w:t>
      </w:r>
    </w:p>
    <w:p w:rsidR="005C64C4" w:rsidRPr="00790688" w:rsidP="00A07513">
      <w:pPr>
        <w:keepNext/>
        <w:widowControl/>
        <w:rPr>
          <w:szCs w:val="22"/>
        </w:rPr>
      </w:pPr>
      <w:r w:rsidRPr="00790688">
        <w:rPr>
          <w:szCs w:val="22"/>
        </w:rPr>
        <w:t>Chief</w:t>
      </w:r>
    </w:p>
    <w:p w:rsidR="005C64C4" w:rsidRPr="00790688" w:rsidP="00A07513">
      <w:pPr>
        <w:keepNext/>
        <w:widowControl/>
        <w:rPr>
          <w:szCs w:val="22"/>
        </w:rPr>
      </w:pPr>
      <w:r>
        <w:rPr>
          <w:szCs w:val="22"/>
        </w:rPr>
        <w:t>Enforcement</w:t>
      </w:r>
      <w:r w:rsidRPr="00790688">
        <w:rPr>
          <w:szCs w:val="22"/>
        </w:rPr>
        <w:t xml:space="preserve"> Bureau</w:t>
      </w:r>
    </w:p>
    <w:p w:rsidR="005C64C4" w:rsidRPr="00790688" w:rsidP="00A07513">
      <w:pPr>
        <w:keepNext/>
        <w:widowControl/>
        <w:rPr>
          <w:szCs w:val="22"/>
        </w:rPr>
      </w:pPr>
    </w:p>
    <w:p w:rsidR="005C64C4" w:rsidRPr="00790688" w:rsidP="00A07513">
      <w:pPr>
        <w:keepNext/>
        <w:widowControl/>
        <w:rPr>
          <w:szCs w:val="22"/>
        </w:rPr>
      </w:pPr>
    </w:p>
    <w:p w:rsidR="005C64C4" w:rsidRPr="00790688" w:rsidP="00A07513">
      <w:pPr>
        <w:keepNext/>
        <w:widowControl/>
        <w:rPr>
          <w:szCs w:val="22"/>
        </w:rPr>
      </w:pPr>
      <w:r w:rsidRPr="00790688">
        <w:rPr>
          <w:szCs w:val="22"/>
        </w:rPr>
        <w:t>___________________________</w:t>
      </w:r>
    </w:p>
    <w:p w:rsidR="005C64C4" w:rsidRPr="00790688" w:rsidP="00A07513">
      <w:pPr>
        <w:keepNext/>
        <w:widowControl/>
        <w:rPr>
          <w:szCs w:val="22"/>
        </w:rPr>
      </w:pPr>
      <w:r w:rsidRPr="00790688">
        <w:rPr>
          <w:szCs w:val="22"/>
        </w:rPr>
        <w:t>Date</w:t>
      </w:r>
    </w:p>
    <w:p w:rsidR="005C64C4" w:rsidRPr="0058223B" w:rsidP="00A07513">
      <w:pPr>
        <w:keepNext/>
        <w:widowControl/>
        <w:rPr>
          <w:szCs w:val="22"/>
        </w:rPr>
      </w:pPr>
    </w:p>
    <w:p w:rsidR="005C64C4" w:rsidRPr="0058223B" w:rsidP="00A07513">
      <w:pPr>
        <w:keepNext/>
        <w:widowControl/>
        <w:rPr>
          <w:szCs w:val="22"/>
        </w:rPr>
      </w:pPr>
    </w:p>
    <w:p w:rsidR="005C64C4" w:rsidRPr="0058223B" w:rsidP="00A07513">
      <w:pPr>
        <w:keepNext/>
        <w:widowControl/>
      </w:pPr>
    </w:p>
    <w:p w:rsidR="005C64C4" w:rsidRPr="0058223B" w:rsidP="00A07513">
      <w:pPr>
        <w:keepNext/>
        <w:widowControl/>
      </w:pPr>
      <w:r w:rsidRPr="0058223B">
        <w:t>_____________________________</w:t>
      </w:r>
    </w:p>
    <w:p w:rsidR="005C64C4" w:rsidP="00A07513">
      <w:pPr>
        <w:keepNext/>
        <w:widowControl/>
        <w:jc w:val="both"/>
        <w:rPr>
          <w:color w:val="000000"/>
          <w:szCs w:val="22"/>
        </w:rPr>
      </w:pPr>
      <w:r w:rsidRPr="00790688">
        <w:rPr>
          <w:color w:val="000000"/>
          <w:szCs w:val="22"/>
        </w:rPr>
        <w:t>Ryan Greig</w:t>
      </w:r>
    </w:p>
    <w:p w:rsidR="005C64C4" w:rsidP="00A07513">
      <w:pPr>
        <w:keepNext/>
        <w:widowControl/>
        <w:jc w:val="both"/>
        <w:rPr>
          <w:color w:val="000000"/>
          <w:szCs w:val="22"/>
        </w:rPr>
      </w:pPr>
      <w:r w:rsidRPr="00790688">
        <w:rPr>
          <w:color w:val="000000"/>
          <w:szCs w:val="22"/>
        </w:rPr>
        <w:t xml:space="preserve">President </w:t>
      </w:r>
    </w:p>
    <w:p w:rsidR="005C64C4" w:rsidRPr="0058223B" w:rsidP="00A07513">
      <w:pPr>
        <w:keepNext/>
        <w:widowControl/>
        <w:jc w:val="both"/>
        <w:rPr>
          <w:color w:val="000000"/>
          <w:szCs w:val="22"/>
        </w:rPr>
      </w:pPr>
      <w:r>
        <w:rPr>
          <w:color w:val="000000"/>
          <w:szCs w:val="22"/>
        </w:rPr>
        <w:t>San Tan Educational Media</w:t>
      </w:r>
    </w:p>
    <w:p w:rsidR="005C64C4" w:rsidRPr="0058223B" w:rsidP="00A07513">
      <w:pPr>
        <w:keepNext/>
        <w:widowControl/>
        <w:jc w:val="both"/>
        <w:rPr>
          <w:color w:val="000000"/>
          <w:szCs w:val="22"/>
        </w:rPr>
      </w:pPr>
    </w:p>
    <w:p w:rsidR="005C64C4" w:rsidP="00A07513">
      <w:pPr>
        <w:keepNext/>
        <w:widowControl/>
      </w:pPr>
    </w:p>
    <w:p w:rsidR="005C64C4" w:rsidRPr="0058223B" w:rsidP="00A07513">
      <w:pPr>
        <w:keepNext/>
        <w:widowControl/>
      </w:pPr>
      <w:r w:rsidRPr="0058223B">
        <w:t>_____________________________</w:t>
      </w:r>
    </w:p>
    <w:p w:rsidR="005C64C4" w:rsidP="00A629D4">
      <w:r w:rsidRPr="0058223B">
        <w:t>Date</w:t>
      </w:r>
    </w:p>
    <w:p w:rsidR="005E63DF" w:rsidP="00A2260A">
      <w:pPr>
        <w:rPr>
          <w:szCs w:val="22"/>
        </w:rPr>
      </w:pPr>
    </w:p>
    <w:sectPr w:rsidSect="00A07513">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527" w:rsidP="0055614C">
    <w:pPr>
      <w:pStyle w:val="Footer"/>
      <w:framePr w:wrap="around" w:vAnchor="text" w:hAnchor="margin" w:xAlign="center" w:y="1"/>
    </w:pPr>
    <w:r>
      <w:fldChar w:fldCharType="begin"/>
    </w:r>
    <w:r>
      <w:instrText xml:space="preserve">PAGE  </w:instrText>
    </w:r>
    <w:r>
      <w:fldChar w:fldCharType="separate"/>
    </w:r>
    <w:r>
      <w:fldChar w:fldCharType="end"/>
    </w:r>
  </w:p>
  <w:p w:rsidR="001C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527" w:rsidP="00A0751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52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513" w:rsidP="00A0751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6A77">
      <w:r>
        <w:separator/>
      </w:r>
    </w:p>
  </w:footnote>
  <w:footnote w:type="continuationSeparator" w:id="1">
    <w:p w:rsidR="007D6A77" w:rsidP="00C721AC">
      <w:pPr>
        <w:spacing w:before="120"/>
        <w:rPr>
          <w:sz w:val="20"/>
        </w:rPr>
      </w:pPr>
      <w:r>
        <w:rPr>
          <w:sz w:val="20"/>
        </w:rPr>
        <w:t xml:space="preserve">(Continued from previous page)  </w:t>
      </w:r>
      <w:r>
        <w:rPr>
          <w:sz w:val="20"/>
        </w:rPr>
        <w:separator/>
      </w:r>
    </w:p>
  </w:footnote>
  <w:footnote w:type="continuationNotice" w:id="2">
    <w:p w:rsidR="007D6A77" w:rsidP="00C721AC">
      <w:pPr>
        <w:jc w:val="right"/>
        <w:rPr>
          <w:sz w:val="20"/>
        </w:rPr>
      </w:pPr>
      <w:r>
        <w:rPr>
          <w:sz w:val="20"/>
        </w:rPr>
        <w:t>(continued….)</w:t>
      </w:r>
    </w:p>
  </w:footnote>
  <w:footnote w:id="3">
    <w:p w:rsidR="00925303" w:rsidRPr="00631A0F" w:rsidP="00925303">
      <w:pPr>
        <w:pStyle w:val="FootnoteText"/>
      </w:pPr>
      <w:r w:rsidRPr="00631A0F">
        <w:rPr>
          <w:rStyle w:val="FootnoteReference"/>
        </w:rPr>
        <w:footnoteRef/>
      </w:r>
      <w:r w:rsidRPr="00631A0F">
        <w:t xml:space="preserve"> </w:t>
      </w:r>
      <w:r w:rsidRPr="00631A0F">
        <w:rPr>
          <w:i/>
        </w:rPr>
        <w:t xml:space="preserve">See </w:t>
      </w:r>
      <w:r w:rsidRPr="00631A0F">
        <w:t xml:space="preserve">Letter from Albert Shuldiner, Chief, Audio Division, FCC Media Bureau to Ryan Greig, President, </w:t>
      </w:r>
      <w:r w:rsidRPr="009C5838">
        <w:t>San Tan</w:t>
      </w:r>
      <w:r w:rsidRPr="00631A0F">
        <w:t>, Letter Order (</w:t>
      </w:r>
      <w:r w:rsidRPr="006D4713">
        <w:t xml:space="preserve">MB </w:t>
      </w:r>
      <w:r w:rsidRPr="006D4713">
        <w:t>Aug. XX,</w:t>
      </w:r>
      <w:r w:rsidRPr="006D4713">
        <w:t xml:space="preserve"> 2018</w:t>
      </w:r>
      <w:r w:rsidRPr="00631A0F">
        <w:t>) (</w:t>
      </w:r>
      <w:r w:rsidR="00120ACE">
        <w:t xml:space="preserve">MB </w:t>
      </w:r>
      <w:r>
        <w:t xml:space="preserve">Letter </w:t>
      </w:r>
      <w:r w:rsidR="00120ACE">
        <w:t>Order</w:t>
      </w:r>
      <w:r w:rsidRPr="00631A0F">
        <w:t xml:space="preserve">).  </w:t>
      </w:r>
    </w:p>
  </w:footnote>
  <w:footnote w:id="4">
    <w:p w:rsidR="002C481B" w:rsidRPr="00F8598D" w:rsidP="002C481B">
      <w:pPr>
        <w:pStyle w:val="FootnoteText"/>
      </w:pPr>
      <w:r w:rsidRPr="00631A0F">
        <w:rPr>
          <w:rStyle w:val="FootnoteReference"/>
        </w:rPr>
        <w:footnoteRef/>
      </w:r>
      <w:r w:rsidRPr="00631A0F">
        <w:t xml:space="preserve"> </w:t>
      </w:r>
      <w:r w:rsidRPr="00631A0F">
        <w:rPr>
          <w:i/>
        </w:rPr>
        <w:t xml:space="preserve">See </w:t>
      </w:r>
      <w:r>
        <w:t xml:space="preserve">MB Letter Order at </w:t>
      </w:r>
      <w:r w:rsidR="00904EBA">
        <w:t>5</w:t>
      </w:r>
      <w:r>
        <w:t>.</w:t>
      </w:r>
    </w:p>
  </w:footnote>
  <w:footnote w:id="5">
    <w:p w:rsidR="001C3527" w:rsidRPr="0028655F" w:rsidP="00E05C2F">
      <w:pPr>
        <w:pStyle w:val="FootnoteText"/>
      </w:pPr>
      <w:r w:rsidRPr="001378BF">
        <w:rPr>
          <w:rStyle w:val="FootnoteReference"/>
        </w:rPr>
        <w:footnoteRef/>
      </w:r>
      <w:r w:rsidRPr="001378BF">
        <w:t xml:space="preserve"> 4</w:t>
      </w:r>
      <w:r w:rsidRPr="00E05C2F">
        <w:t xml:space="preserve">7 U.S.C. § 399b(b)(2).  In addition, section 73.503, including the prohibitions against NCE licensees broadcasting commercial announcements on behalf of for-profit entities, </w:t>
      </w:r>
      <w:r w:rsidRPr="00E05C2F" w:rsidR="0069192B">
        <w:t>ha</w:t>
      </w:r>
      <w:r w:rsidR="0069192B">
        <w:t>s</w:t>
      </w:r>
      <w:r w:rsidRPr="00E05C2F" w:rsidR="0069192B">
        <w:t xml:space="preserve"> </w:t>
      </w:r>
      <w:r w:rsidRPr="00E05C2F">
        <w:t xml:space="preserve">been incorporated into the rules applicable the LPFM service.  47 CFR § 73.801.  </w:t>
      </w:r>
      <w:r w:rsidRPr="0028655F">
        <w:t xml:space="preserve">  </w:t>
      </w:r>
    </w:p>
  </w:footnote>
  <w:footnote w:id="6">
    <w:p w:rsidR="001C3527" w:rsidRPr="0028655F" w:rsidP="00E05C2F">
      <w:pPr>
        <w:pStyle w:val="FootnoteText"/>
        <w:rPr>
          <w:i/>
        </w:rPr>
      </w:pPr>
      <w:r w:rsidRPr="00E05C2F">
        <w:rPr>
          <w:rStyle w:val="FootnoteReference"/>
        </w:rPr>
        <w:footnoteRef/>
      </w:r>
      <w:r w:rsidRPr="00E05C2F">
        <w:t xml:space="preserve"> </w:t>
      </w:r>
      <w:r w:rsidRPr="00E05C2F">
        <w:rPr>
          <w:i/>
        </w:rPr>
        <w:t>Syner Foundation, Inc.</w:t>
      </w:r>
      <w:r w:rsidRPr="00E05C2F">
        <w:t>,</w:t>
      </w:r>
      <w:r w:rsidRPr="00E05C2F">
        <w:rPr>
          <w:i/>
        </w:rPr>
        <w:t xml:space="preserve"> </w:t>
      </w:r>
      <w:r w:rsidRPr="00E05C2F">
        <w:t>Order and Consent Decree, 30 FCC Rcd 1780, 1780, p</w:t>
      </w:r>
      <w:r w:rsidRPr="0028655F">
        <w:t>ara. 1 (EB 2015)</w:t>
      </w:r>
      <w:r w:rsidRPr="0028655F">
        <w:rPr>
          <w:i/>
        </w:rPr>
        <w:t>.</w:t>
      </w:r>
    </w:p>
  </w:footnote>
  <w:footnote w:id="7">
    <w:p w:rsidR="001C3527" w:rsidRPr="00E44C44" w:rsidP="00E05C2F">
      <w:pPr>
        <w:spacing w:after="120"/>
        <w:rPr>
          <w:sz w:val="20"/>
        </w:rPr>
      </w:pPr>
      <w:r w:rsidRPr="00E05C2F">
        <w:rPr>
          <w:rStyle w:val="FootnoteReference"/>
        </w:rPr>
        <w:footnoteRef/>
      </w:r>
      <w:r w:rsidRPr="00E05C2F">
        <w:rPr>
          <w:sz w:val="20"/>
        </w:rPr>
        <w:t xml:space="preserve"> 47 U.S.C. § 399b(a);</w:t>
      </w:r>
      <w:r w:rsidRPr="00E05C2F">
        <w:rPr>
          <w:i/>
          <w:iCs/>
          <w:sz w:val="20"/>
        </w:rPr>
        <w:t xml:space="preserve"> </w:t>
      </w:r>
      <w:r w:rsidRPr="00E05C2F">
        <w:rPr>
          <w:sz w:val="20"/>
        </w:rPr>
        <w:t xml:space="preserve">Noncommercial Educational Broadcasting Service; Clarification of Underwriting Guidelines, 51 Fed. Reg. 21800 (June 16, 1986), </w:t>
      </w:r>
      <w:r w:rsidRPr="00E05C2F">
        <w:rPr>
          <w:i/>
          <w:sz w:val="20"/>
        </w:rPr>
        <w:t>republished</w:t>
      </w:r>
      <w:r w:rsidRPr="00E05C2F">
        <w:rPr>
          <w:sz w:val="20"/>
        </w:rPr>
        <w:t xml:space="preserve">, </w:t>
      </w:r>
      <w:r w:rsidRPr="0028655F">
        <w:rPr>
          <w:i/>
          <w:sz w:val="20"/>
        </w:rPr>
        <w:t>Commission Policy Concerning the Noncommercial Nature of Educational Broadcasting Stations</w:t>
      </w:r>
      <w:r w:rsidRPr="001B7E01">
        <w:rPr>
          <w:sz w:val="20"/>
        </w:rPr>
        <w:t>, Public Notice, 7 FCC Rcd 827 (1992)</w:t>
      </w:r>
      <w:r w:rsidRPr="001B7E01">
        <w:rPr>
          <w:i/>
          <w:sz w:val="20"/>
        </w:rPr>
        <w:t xml:space="preserve"> </w:t>
      </w:r>
      <w:r w:rsidRPr="009734EE">
        <w:rPr>
          <w:sz w:val="20"/>
        </w:rPr>
        <w:t>(</w:t>
      </w:r>
      <w:r w:rsidRPr="00E44C44">
        <w:rPr>
          <w:i/>
          <w:sz w:val="20"/>
        </w:rPr>
        <w:t>Enhanced Underwriting Policy</w:t>
      </w:r>
      <w:r w:rsidRPr="00E44C44">
        <w:rPr>
          <w:sz w:val="20"/>
        </w:rPr>
        <w:t>).</w:t>
      </w:r>
    </w:p>
  </w:footnote>
  <w:footnote w:id="8">
    <w:p w:rsidR="001C3527" w:rsidRPr="00561629" w:rsidP="00E05C2F">
      <w:pPr>
        <w:pStyle w:val="FootnoteText"/>
      </w:pPr>
      <w:r w:rsidRPr="00E05C2F">
        <w:rPr>
          <w:rStyle w:val="FootnoteReference"/>
        </w:rPr>
        <w:footnoteRef/>
      </w:r>
      <w:r w:rsidRPr="00E05C2F">
        <w:t xml:space="preserve"> </w:t>
      </w:r>
      <w:r w:rsidRPr="00E05C2F">
        <w:rPr>
          <w:i/>
        </w:rPr>
        <w:t>Enhanced Underwriting Policy</w:t>
      </w:r>
      <w:r w:rsidRPr="00E05C2F">
        <w:t>,</w:t>
      </w:r>
      <w:r w:rsidRPr="00E05C2F">
        <w:rPr>
          <w:i/>
          <w:iCs/>
        </w:rPr>
        <w:t xml:space="preserve"> </w:t>
      </w:r>
      <w:r w:rsidRPr="00E05C2F">
        <w:t xml:space="preserve">7 FCC Rcd </w:t>
      </w:r>
      <w:r w:rsidRPr="0028655F">
        <w:rPr>
          <w:iCs/>
        </w:rPr>
        <w:t xml:space="preserve">at 827; </w:t>
      </w:r>
      <w:r w:rsidRPr="0028655F">
        <w:rPr>
          <w:i/>
          <w:iCs/>
        </w:rPr>
        <w:t>Hispanic Broadcast Sy</w:t>
      </w:r>
      <w:r w:rsidR="00564BFF">
        <w:rPr>
          <w:i/>
          <w:iCs/>
        </w:rPr>
        <w:t>stem</w:t>
      </w:r>
      <w:r w:rsidRPr="0028655F">
        <w:rPr>
          <w:i/>
          <w:iCs/>
        </w:rPr>
        <w:t>, Inc.</w:t>
      </w:r>
      <w:r w:rsidRPr="001B7E01">
        <w:rPr>
          <w:iCs/>
        </w:rPr>
        <w:t>,</w:t>
      </w:r>
      <w:r w:rsidRPr="001B7E01">
        <w:rPr>
          <w:i/>
          <w:iCs/>
        </w:rPr>
        <w:t xml:space="preserve"> </w:t>
      </w:r>
      <w:r w:rsidRPr="009734EE">
        <w:rPr>
          <w:iCs/>
        </w:rPr>
        <w:t xml:space="preserve">Notice of Apparent Liability for Forfeiture, 20 FCC Rcd 2411, 2415, para. 9 (EB 2005), </w:t>
      </w:r>
      <w:r w:rsidRPr="00E44C44">
        <w:rPr>
          <w:i/>
          <w:iCs/>
        </w:rPr>
        <w:t>af</w:t>
      </w:r>
      <w:r w:rsidRPr="005E5A57">
        <w:rPr>
          <w:i/>
          <w:iCs/>
        </w:rPr>
        <w:t>f’d</w:t>
      </w:r>
      <w:r w:rsidRPr="005E5A57">
        <w:t xml:space="preserve"> </w:t>
      </w:r>
      <w:r w:rsidRPr="005E5A57">
        <w:rPr>
          <w:i/>
        </w:rPr>
        <w:t>with reduced forfeiture</w:t>
      </w:r>
      <w:r w:rsidRPr="00D315AB">
        <w:t xml:space="preserve">, </w:t>
      </w:r>
      <w:r w:rsidRPr="00D315AB">
        <w:rPr>
          <w:iCs/>
        </w:rPr>
        <w:t>Forfeiture Order, 20 FCC Rcd 12008</w:t>
      </w:r>
      <w:r w:rsidRPr="00D315AB">
        <w:t xml:space="preserve"> (EB 2005)</w:t>
      </w:r>
      <w:r w:rsidRPr="00D315AB">
        <w:rPr>
          <w:iCs/>
        </w:rPr>
        <w:t xml:space="preserve">; </w:t>
      </w:r>
      <w:r w:rsidRPr="00D315AB">
        <w:rPr>
          <w:i/>
        </w:rPr>
        <w:t>Xavier University</w:t>
      </w:r>
      <w:r w:rsidRPr="007A6D93">
        <w:t>, Memorandum Opinion and Order, 5 FCC Rcd 4920, 4920-21, paras. 3, 6 (1990) (</w:t>
      </w:r>
      <w:r w:rsidRPr="007A6D93">
        <w:rPr>
          <w:i/>
        </w:rPr>
        <w:t>Xavier</w:t>
      </w:r>
      <w:r w:rsidRPr="00561629">
        <w:t>).</w:t>
      </w:r>
    </w:p>
  </w:footnote>
  <w:footnote w:id="9">
    <w:p w:rsidR="001C3527" w:rsidRPr="0028655F" w:rsidP="00E05C2F">
      <w:pPr>
        <w:pStyle w:val="FootnoteText"/>
      </w:pPr>
      <w:r w:rsidRPr="00E05C2F">
        <w:rPr>
          <w:rStyle w:val="FootnoteReference"/>
        </w:rPr>
        <w:footnoteRef/>
      </w:r>
      <w:r w:rsidRPr="00E05C2F">
        <w:t xml:space="preserve"> </w:t>
      </w:r>
      <w:r w:rsidRPr="00E05C2F">
        <w:rPr>
          <w:i/>
        </w:rPr>
        <w:t>Enhanced Underwriting Policy</w:t>
      </w:r>
      <w:r w:rsidRPr="00E05C2F">
        <w:t xml:space="preserve">; </w:t>
      </w:r>
      <w:r w:rsidRPr="00E05C2F">
        <w:rPr>
          <w:i/>
        </w:rPr>
        <w:t xml:space="preserve">cf. </w:t>
      </w:r>
      <w:r w:rsidRPr="00E05C2F">
        <w:rPr>
          <w:i/>
          <w:iCs/>
        </w:rPr>
        <w:t>Board of Education of New York (WNYE-TV)</w:t>
      </w:r>
      <w:r w:rsidRPr="0028655F">
        <w:t>, Letter of Caution, 7 FCC Rcd 6864 (MMB 1992).</w:t>
      </w:r>
    </w:p>
  </w:footnote>
  <w:footnote w:id="10">
    <w:p w:rsidR="001C3527" w:rsidRPr="001B7E01" w:rsidP="00E05C2F">
      <w:pPr>
        <w:pStyle w:val="FootnoteText"/>
      </w:pPr>
      <w:r w:rsidRPr="00E05C2F">
        <w:rPr>
          <w:rStyle w:val="FootnoteReference"/>
        </w:rPr>
        <w:footnoteRef/>
      </w:r>
      <w:r w:rsidRPr="00E05C2F">
        <w:t xml:space="preserve"> </w:t>
      </w:r>
      <w:r w:rsidRPr="00E05C2F">
        <w:rPr>
          <w:i/>
        </w:rPr>
        <w:t>Xavier</w:t>
      </w:r>
      <w:r w:rsidRPr="00E05C2F">
        <w:t>,</w:t>
      </w:r>
      <w:r w:rsidRPr="00E05C2F">
        <w:rPr>
          <w:i/>
        </w:rPr>
        <w:t xml:space="preserve"> </w:t>
      </w:r>
      <w:r w:rsidRPr="00E05C2F">
        <w:t xml:space="preserve">5 FCC Rcd at 4921, para. 6 (citing </w:t>
      </w:r>
      <w:r w:rsidRPr="0028655F">
        <w:rPr>
          <w:i/>
        </w:rPr>
        <w:t>Commission Policy Concerning the Noncommercial Nature of Educational Broadcasting Stations</w:t>
      </w:r>
      <w:r w:rsidRPr="0028655F">
        <w:t>, Memorandum Opinion and Order, 90 FCC 2d 895, 911 (1982) (subsequent histo</w:t>
      </w:r>
      <w:r w:rsidRPr="001B7E01">
        <w:t>ry omitted)).</w:t>
      </w:r>
    </w:p>
  </w:footnote>
  <w:footnote w:id="11">
    <w:p w:rsidR="001C3527" w:rsidRPr="00E05C2F" w:rsidP="0028655F">
      <w:pPr>
        <w:pStyle w:val="BodyText"/>
        <w:keepLines/>
        <w:spacing w:after="120" w:line="240" w:lineRule="auto"/>
        <w:jc w:val="left"/>
        <w:rPr>
          <w:sz w:val="20"/>
        </w:rPr>
      </w:pPr>
      <w:r w:rsidRPr="00E05C2F">
        <w:rPr>
          <w:rStyle w:val="FootnoteReference"/>
        </w:rPr>
        <w:footnoteRef/>
      </w:r>
      <w:r w:rsidRPr="00E05C2F">
        <w:rPr>
          <w:i/>
          <w:sz w:val="20"/>
        </w:rPr>
        <w:t xml:space="preserve"> Id.</w:t>
      </w:r>
    </w:p>
  </w:footnote>
  <w:footnote w:id="12">
    <w:p w:rsidR="001C3527" w:rsidRPr="00E05C2F" w:rsidP="00E44C44">
      <w:pPr>
        <w:pStyle w:val="FootnoteText"/>
      </w:pPr>
      <w:r w:rsidRPr="00E05C2F">
        <w:rPr>
          <w:rStyle w:val="FootnoteReference"/>
        </w:rPr>
        <w:footnoteRef/>
      </w:r>
      <w:r w:rsidRPr="00E05C2F">
        <w:t xml:space="preserve"> </w:t>
      </w:r>
      <w:r w:rsidRPr="00E05C2F">
        <w:rPr>
          <w:i/>
        </w:rPr>
        <w:t xml:space="preserve">See </w:t>
      </w:r>
      <w:r w:rsidRPr="00E05C2F">
        <w:t>47 CFR § 1.93(b).</w:t>
      </w:r>
    </w:p>
  </w:footnote>
  <w:footnote w:id="13">
    <w:p w:rsidR="001C3527" w:rsidRPr="00E05C2F" w:rsidP="005E5A57">
      <w:pPr>
        <w:pStyle w:val="FootnoteText"/>
      </w:pPr>
      <w:r w:rsidRPr="00E05C2F">
        <w:rPr>
          <w:rStyle w:val="FootnoteReference"/>
        </w:rPr>
        <w:footnoteRef/>
      </w:r>
      <w:r w:rsidRPr="00E05C2F">
        <w:t xml:space="preserve"> 47 U.S.C. § 154(i).</w:t>
      </w:r>
    </w:p>
  </w:footnote>
  <w:footnote w:id="14">
    <w:p w:rsidR="001C3527" w:rsidRPr="00E05C2F" w:rsidP="005E5A57">
      <w:pPr>
        <w:pStyle w:val="FootnoteText"/>
      </w:pPr>
      <w:r w:rsidRPr="00E05C2F">
        <w:rPr>
          <w:rStyle w:val="FootnoteReference"/>
        </w:rPr>
        <w:footnoteRef/>
      </w:r>
      <w:r w:rsidRPr="00E05C2F">
        <w:t xml:space="preserve"> 47 CFR §§ 0.61, 0.111, 0.283, 0.311.</w:t>
      </w:r>
    </w:p>
  </w:footnote>
  <w:footnote w:id="15">
    <w:p w:rsidR="005C64C4" w:rsidRPr="00AD2B0C" w:rsidP="00CF6BCF">
      <w:pPr>
        <w:pStyle w:val="FootnoteText"/>
      </w:pPr>
      <w:r w:rsidRPr="00AD2B0C">
        <w:rPr>
          <w:rStyle w:val="FootnoteReference"/>
        </w:rPr>
        <w:footnoteRef/>
      </w:r>
      <w:r w:rsidRPr="00AD2B0C">
        <w:t xml:space="preserve"> </w:t>
      </w:r>
      <w:r>
        <w:rPr>
          <w:i/>
        </w:rPr>
        <w:t>KFXY-LP, Mesa, AZ, Petition for Reconsideration, Informal Objections</w:t>
      </w:r>
      <w:r w:rsidRPr="002A20F3">
        <w:t xml:space="preserve">, </w:t>
      </w:r>
      <w:r>
        <w:t>Letter Order (MB-AD June 25, 2018) (Decision).</w:t>
      </w:r>
    </w:p>
  </w:footnote>
  <w:footnote w:id="16">
    <w:p w:rsidR="005C64C4" w:rsidP="00CF6BCF">
      <w:pPr>
        <w:pStyle w:val="FootnoteText"/>
        <w:widowControl w:val="0"/>
      </w:pPr>
      <w:r>
        <w:rPr>
          <w:rStyle w:val="FootnoteReference"/>
        </w:rPr>
        <w:footnoteRef/>
      </w:r>
      <w:r>
        <w:t xml:space="preserve"> </w:t>
      </w:r>
      <w:r w:rsidRPr="000D028E">
        <w:t>47 U.S.C. § 399b</w:t>
      </w:r>
      <w:r>
        <w:t xml:space="preserve">; 47 CFR </w:t>
      </w:r>
      <w:r w:rsidRPr="000D028E">
        <w:t>§</w:t>
      </w:r>
      <w:r>
        <w:t>§ 73.801, 73.</w:t>
      </w:r>
      <w:r w:rsidRPr="000D028E">
        <w:t>503</w:t>
      </w:r>
      <w:r>
        <w:t>(d)</w:t>
      </w:r>
      <w:r w:rsidRPr="000D028E">
        <w:t>.</w:t>
      </w:r>
    </w:p>
  </w:footnote>
  <w:footnote w:id="17">
    <w:p w:rsidR="005C64C4" w:rsidRPr="00523538" w:rsidP="00CF6BCF">
      <w:pPr>
        <w:pStyle w:val="FootnoteText"/>
        <w:widowControl w:val="0"/>
      </w:pPr>
      <w:r>
        <w:rPr>
          <w:rStyle w:val="FootnoteReference"/>
        </w:rPr>
        <w:footnoteRef/>
      </w:r>
      <w:r>
        <w:t xml:space="preserve"> 47 U.S.C. </w:t>
      </w:r>
      <w:r w:rsidRPr="0058223B">
        <w:rPr>
          <w:szCs w:val="22"/>
        </w:rPr>
        <w:t>§</w:t>
      </w:r>
      <w:r>
        <w:rPr>
          <w:szCs w:val="22"/>
        </w:rPr>
        <w:t xml:space="preserve"> 151 </w:t>
      </w:r>
      <w:r>
        <w:rPr>
          <w:i/>
          <w:szCs w:val="22"/>
        </w:rPr>
        <w:t>et seq</w:t>
      </w:r>
      <w:r w:rsidRPr="00501243">
        <w:rPr>
          <w:szCs w:val="22"/>
        </w:rPr>
        <w:t>.</w:t>
      </w:r>
    </w:p>
  </w:footnote>
  <w:footnote w:id="18">
    <w:p w:rsidR="005C64C4" w:rsidRPr="000D028E" w:rsidP="00CF6BCF">
      <w:pPr>
        <w:pStyle w:val="FootnoteText"/>
        <w:widowControl w:val="0"/>
      </w:pPr>
      <w:r w:rsidRPr="000D028E">
        <w:rPr>
          <w:rStyle w:val="FootnoteReference"/>
        </w:rPr>
        <w:footnoteRef/>
      </w:r>
      <w:r w:rsidRPr="000D028E">
        <w:t xml:space="preserve"> 47 U.S.C. § 399b;</w:t>
      </w:r>
      <w:r>
        <w:t xml:space="preserve"> 47 CFR </w:t>
      </w:r>
      <w:r w:rsidRPr="000D028E">
        <w:t>§</w:t>
      </w:r>
      <w:r>
        <w:t>§ 73.801, 73.</w:t>
      </w:r>
      <w:r w:rsidRPr="000D028E">
        <w:t>503</w:t>
      </w:r>
      <w:r>
        <w:t>(d)</w:t>
      </w:r>
      <w:r w:rsidRPr="000D028E">
        <w:t>.</w:t>
      </w:r>
    </w:p>
  </w:footnote>
  <w:footnote w:id="19">
    <w:p w:rsidR="005C64C4">
      <w:pPr>
        <w:pStyle w:val="FootnoteText"/>
      </w:pPr>
      <w:r>
        <w:rPr>
          <w:rStyle w:val="FootnoteReference"/>
        </w:rPr>
        <w:footnoteRef/>
      </w:r>
      <w:r>
        <w:t xml:space="preserve"> Decision at 1-2, nn.1-3.</w:t>
      </w:r>
    </w:p>
  </w:footnote>
  <w:footnote w:id="20">
    <w:p w:rsidR="005C64C4" w:rsidRPr="0037427C">
      <w:pPr>
        <w:pStyle w:val="FootnoteText"/>
      </w:pPr>
      <w:r>
        <w:rPr>
          <w:rStyle w:val="FootnoteReference"/>
        </w:rPr>
        <w:footnoteRef/>
      </w:r>
      <w:r>
        <w:t xml:space="preserve"> </w:t>
      </w:r>
      <w:r>
        <w:rPr>
          <w:i/>
        </w:rPr>
        <w:t>Id</w:t>
      </w:r>
      <w:r>
        <w:t>. at 2.</w:t>
      </w:r>
    </w:p>
  </w:footnote>
  <w:footnote w:id="21">
    <w:p w:rsidR="005C64C4" w:rsidRPr="00AD2B0C" w:rsidP="00CF6BCF">
      <w:pPr>
        <w:pStyle w:val="FootnoteText"/>
      </w:pPr>
      <w:r w:rsidRPr="00AD2B0C">
        <w:rPr>
          <w:rStyle w:val="FootnoteReference"/>
        </w:rPr>
        <w:footnoteRef/>
      </w:r>
      <w:r w:rsidRPr="00AD2B0C">
        <w:t xml:space="preserve"> STEM’s original governing board</w:t>
      </w:r>
      <w:r>
        <w:t xml:space="preserve"> </w:t>
      </w:r>
      <w:r w:rsidRPr="00AD2B0C">
        <w:t xml:space="preserve">consisted mostly of the family of STEM’s original President, Christopher Shon White (White).  That family gave up their control of STEM because White moved from Arizona to Texas for business shortly after the station was first licensed and the entire family moved along with him.  Existing volunteers assumed control without notifying the Commission.  </w:t>
      </w:r>
      <w:r w:rsidRPr="0037427C">
        <w:rPr>
          <w:i/>
        </w:rPr>
        <w:t>Id</w:t>
      </w:r>
      <w:r>
        <w:t xml:space="preserve">. </w:t>
      </w:r>
      <w:r w:rsidRPr="0037427C">
        <w:t>at</w:t>
      </w:r>
      <w:r w:rsidRPr="00AD2B0C">
        <w:t xml:space="preserve"> 3-4.  </w:t>
      </w:r>
      <w:r w:rsidRPr="00BE0D45">
        <w:t xml:space="preserve">The Decision noted that the transfer occurred no later than January 2016 (when new officers took office) but that the exact date was not specified.  </w:t>
      </w:r>
      <w:r>
        <w:rPr>
          <w:i/>
        </w:rPr>
        <w:t xml:space="preserve">Id.  </w:t>
      </w:r>
      <w:r w:rsidRPr="00BE0D45">
        <w:t xml:space="preserve">On reconsideration STEM clarifies that the old board moved out of the area in November 2015, </w:t>
      </w:r>
      <w:r w:rsidRPr="00BE0D45">
        <w:rPr>
          <w:i/>
        </w:rPr>
        <w:t xml:space="preserve">i.e., </w:t>
      </w:r>
      <w:r w:rsidRPr="00BE0D45">
        <w:t xml:space="preserve">five months after grant of the license.  </w:t>
      </w:r>
      <w:r w:rsidRPr="00BE0D45">
        <w:rPr>
          <w:i/>
        </w:rPr>
        <w:t xml:space="preserve">See </w:t>
      </w:r>
      <w:r w:rsidRPr="00BE0D45">
        <w:t>Petition, Exh. D.</w:t>
      </w:r>
    </w:p>
  </w:footnote>
  <w:footnote w:id="22">
    <w:p w:rsidR="005C64C4" w:rsidRPr="00AD2B0C" w:rsidP="006F6A45">
      <w:pPr>
        <w:pStyle w:val="FootnoteText"/>
      </w:pPr>
      <w:r w:rsidRPr="00AD2B0C">
        <w:rPr>
          <w:rStyle w:val="FootnoteReference"/>
        </w:rPr>
        <w:footnoteRef/>
      </w:r>
      <w:r w:rsidRPr="00AD2B0C">
        <w:t xml:space="preserve"> Decision at 3-4 </w:t>
      </w:r>
      <w:r>
        <w:t>(</w:t>
      </w:r>
      <w:r w:rsidRPr="00AD2B0C">
        <w:t>citing 47 CFR § 73.865(c)</w:t>
      </w:r>
      <w:r>
        <w:t>)</w:t>
      </w:r>
      <w:r w:rsidRPr="00AD2B0C">
        <w:t xml:space="preserve">.  The holding period deters speculation and ensures that the public will receive benefits which were the basis for the license grant.  </w:t>
      </w:r>
      <w:r w:rsidRPr="00AD2B0C">
        <w:rPr>
          <w:i/>
        </w:rPr>
        <w:t xml:space="preserve">Id. </w:t>
      </w:r>
      <w:r w:rsidRPr="00AD2B0C">
        <w:t>at 3, n.17</w:t>
      </w:r>
      <w:r>
        <w:t xml:space="preserve"> (</w:t>
      </w:r>
      <w:r w:rsidRPr="00AD2B0C">
        <w:t xml:space="preserve">citing </w:t>
      </w:r>
      <w:r w:rsidRPr="00AD2B0C">
        <w:rPr>
          <w:i/>
        </w:rPr>
        <w:t>Creation of a Low Power Radio Service</w:t>
      </w:r>
      <w:r w:rsidRPr="00AD2B0C">
        <w:t xml:space="preserve">, </w:t>
      </w:r>
      <w:r>
        <w:t xml:space="preserve">MM </w:t>
      </w:r>
      <w:r w:rsidRPr="00BD4596">
        <w:t xml:space="preserve">Docket No. </w:t>
      </w:r>
      <w:r>
        <w:t>99-25</w:t>
      </w:r>
      <w:r w:rsidRPr="00BD4596">
        <w:t xml:space="preserve">, </w:t>
      </w:r>
      <w:r w:rsidRPr="00AD2B0C">
        <w:t>Third Report and Order and Second Further Notice of Proposed Rulemaking, 22 FCC Rcd 21912, 21920, para. 17 (2007) (</w:t>
      </w:r>
      <w:r w:rsidRPr="00AD2B0C">
        <w:rPr>
          <w:i/>
        </w:rPr>
        <w:t>Third LPFM Order</w:t>
      </w:r>
      <w:r w:rsidRPr="00AD2B0C">
        <w:t>)</w:t>
      </w:r>
      <w:r>
        <w:t>)</w:t>
      </w:r>
      <w:r w:rsidRPr="00AD2B0C">
        <w:t>.  When an LPFM permit is granted from among mutually exclusive applicants pursuant to a point system, the holding period also maintain</w:t>
      </w:r>
      <w:r>
        <w:t>s</w:t>
      </w:r>
      <w:r w:rsidRPr="00AD2B0C">
        <w:t xml:space="preserve"> the integrity of the comparative process.  </w:t>
      </w:r>
    </w:p>
  </w:footnote>
  <w:footnote w:id="23">
    <w:p w:rsidR="005C64C4" w:rsidRPr="00AD2B0C" w:rsidP="006F6A45">
      <w:pPr>
        <w:pStyle w:val="FootnoteText"/>
      </w:pPr>
      <w:r w:rsidRPr="00AD2B0C">
        <w:rPr>
          <w:rStyle w:val="FootnoteReference"/>
        </w:rPr>
        <w:footnoteRef/>
      </w:r>
      <w:r w:rsidRPr="00AD2B0C">
        <w:t xml:space="preserve"> </w:t>
      </w:r>
      <w:r>
        <w:t>Decision</w:t>
      </w:r>
      <w:r w:rsidRPr="00AD2B0C">
        <w:rPr>
          <w:i/>
        </w:rPr>
        <w:t xml:space="preserve"> </w:t>
      </w:r>
      <w:r w:rsidRPr="00AD2B0C">
        <w:t xml:space="preserve">at 3.  Gradual LPFM governing board changes do not require approval.  Sudden LPFM board changes are generally treated as insubstantial because LPFM licensees are often volunteer organizations that commonly experience turnover of board members in the regular course of business.  Such transfers require approval which licensees can obtain in a simplified manner, </w:t>
      </w:r>
      <w:r w:rsidRPr="00AD2B0C">
        <w:rPr>
          <w:i/>
        </w:rPr>
        <w:t>i.e.,</w:t>
      </w:r>
      <w:r w:rsidRPr="00AD2B0C">
        <w:t xml:space="preserve"> by filing FCC Form 316 (a “short form”) rather than FCC Form 315 (a “long form”).  </w:t>
      </w:r>
      <w:r w:rsidRPr="00AD2B0C">
        <w:rPr>
          <w:i/>
        </w:rPr>
        <w:t xml:space="preserve">See </w:t>
      </w:r>
      <w:r w:rsidRPr="00AD2B0C">
        <w:t xml:space="preserve">47 CFR § 73.865(e).  Commission review of a transfer application ensures compliance with anti-trafficking safeguards and confirms the licensee’s continued eligibility.  </w:t>
      </w:r>
    </w:p>
  </w:footnote>
  <w:footnote w:id="24">
    <w:p w:rsidR="005C64C4">
      <w:pPr>
        <w:pStyle w:val="FootnoteText"/>
      </w:pPr>
      <w:r>
        <w:rPr>
          <w:rStyle w:val="FootnoteReference"/>
        </w:rPr>
        <w:footnoteRef/>
      </w:r>
      <w:r>
        <w:t xml:space="preserve"> Decision at 3-4.</w:t>
      </w:r>
    </w:p>
  </w:footnote>
  <w:footnote w:id="25">
    <w:p w:rsidR="005C64C4" w:rsidRPr="00607F20">
      <w:pPr>
        <w:pStyle w:val="FootnoteText"/>
      </w:pPr>
      <w:r>
        <w:rPr>
          <w:rStyle w:val="FootnoteReference"/>
        </w:rPr>
        <w:footnoteRef/>
      </w:r>
      <w:r>
        <w:t xml:space="preserve"> </w:t>
      </w:r>
      <w:r>
        <w:rPr>
          <w:i/>
        </w:rPr>
        <w:t>Id</w:t>
      </w:r>
      <w:r>
        <w:t xml:space="preserve">. at 4. </w:t>
      </w:r>
    </w:p>
  </w:footnote>
  <w:footnote w:id="26">
    <w:p w:rsidR="005C64C4" w:rsidRPr="00607F20">
      <w:pPr>
        <w:pStyle w:val="FootnoteText"/>
      </w:pPr>
      <w:r>
        <w:rPr>
          <w:rStyle w:val="FootnoteReference"/>
        </w:rPr>
        <w:footnoteRef/>
      </w:r>
      <w:r>
        <w:t xml:space="preserve"> </w:t>
      </w:r>
      <w:r>
        <w:rPr>
          <w:i/>
        </w:rPr>
        <w:t>Id</w:t>
      </w:r>
      <w:r>
        <w:t xml:space="preserve">. at 5.  </w:t>
      </w:r>
    </w:p>
  </w:footnote>
  <w:footnote w:id="27">
    <w:p w:rsidR="005C64C4" w:rsidRPr="00AD2B0C" w:rsidP="006F6A45">
      <w:pPr>
        <w:pStyle w:val="FootnoteText"/>
      </w:pPr>
      <w:r w:rsidRPr="00AD2B0C">
        <w:rPr>
          <w:rStyle w:val="FootnoteReference"/>
        </w:rPr>
        <w:footnoteRef/>
      </w:r>
      <w:r w:rsidRPr="00AD2B0C">
        <w:t xml:space="preserve"> Petition at 1-3.  STEM also disputes the Bureau’s characterization of the old board as “abandoning” the Station.  </w:t>
      </w:r>
      <w:r w:rsidRPr="00AD2B0C">
        <w:rPr>
          <w:i/>
        </w:rPr>
        <w:t xml:space="preserve">Id. </w:t>
      </w:r>
      <w:r w:rsidRPr="00AD2B0C">
        <w:t>at 5.</w:t>
      </w:r>
    </w:p>
  </w:footnote>
  <w:footnote w:id="28">
    <w:p w:rsidR="005C64C4" w:rsidRPr="000D028E" w:rsidP="00DB06FB">
      <w:pPr>
        <w:pStyle w:val="FootnoteText"/>
        <w:widowControl w:val="0"/>
      </w:pPr>
      <w:r w:rsidRPr="000D028E">
        <w:rPr>
          <w:rStyle w:val="FootnoteReference"/>
        </w:rPr>
        <w:footnoteRef/>
      </w:r>
      <w:r w:rsidRPr="000D028E">
        <w:t xml:space="preserve"> 47 U.S.C. § 399b(a).</w:t>
      </w:r>
    </w:p>
  </w:footnote>
  <w:footnote w:id="29">
    <w:p w:rsidR="005C64C4" w:rsidRPr="000D028E" w:rsidP="00F62A41">
      <w:pPr>
        <w:pStyle w:val="FootnoteText"/>
        <w:widowControl w:val="0"/>
      </w:pPr>
      <w:r w:rsidRPr="000D028E">
        <w:rPr>
          <w:rStyle w:val="FootnoteReference"/>
        </w:rPr>
        <w:footnoteRef/>
      </w:r>
      <w:r w:rsidRPr="000D028E">
        <w:t xml:space="preserve"> 47 U.S.C. § 399</w:t>
      </w:r>
      <w:r>
        <w:t>B</w:t>
      </w:r>
      <w:r w:rsidRPr="000D028E">
        <w:t>(b)(2).</w:t>
      </w:r>
    </w:p>
  </w:footnote>
  <w:footnote w:id="30">
    <w:p w:rsidR="005C64C4" w:rsidRPr="000D028E" w:rsidP="00F62A41">
      <w:pPr>
        <w:pStyle w:val="FootnoteText"/>
        <w:widowControl w:val="0"/>
        <w:rPr>
          <w:rStyle w:val="FootnoteReference"/>
        </w:rPr>
      </w:pPr>
      <w:r w:rsidRPr="000D028E">
        <w:rPr>
          <w:rStyle w:val="FootnoteReference"/>
        </w:rPr>
        <w:footnoteRef/>
      </w:r>
      <w:r w:rsidRPr="000D028E">
        <w:rPr>
          <w:rStyle w:val="FootnoteReference"/>
        </w:rPr>
        <w:t xml:space="preserve"> </w:t>
      </w:r>
      <w:r>
        <w:t xml:space="preserve">Noncommercial Educational Broadcasting Service; </w:t>
      </w:r>
      <w:r w:rsidRPr="00E94BED">
        <w:rPr>
          <w:snapToGrid w:val="0"/>
        </w:rPr>
        <w:t>Clarification</w:t>
      </w:r>
      <w:r>
        <w:t xml:space="preserve"> of Underwriting Guidelines, 51 Fed. Reg. 21800</w:t>
      </w:r>
      <w:r w:rsidRPr="000D028E">
        <w:t xml:space="preserve"> (</w:t>
      </w:r>
      <w:r>
        <w:t xml:space="preserve">June 16, </w:t>
      </w:r>
      <w:r w:rsidRPr="000D028E">
        <w:t xml:space="preserve">1986), </w:t>
      </w:r>
      <w:r w:rsidRPr="002104A4">
        <w:rPr>
          <w:i/>
        </w:rPr>
        <w:t>republished</w:t>
      </w:r>
      <w:r w:rsidRPr="000D028E">
        <w:t xml:space="preserve">, </w:t>
      </w:r>
      <w:r w:rsidRPr="00B2001B">
        <w:rPr>
          <w:i/>
        </w:rPr>
        <w:t>Commission Policy Concerning the Noncommercial Nature of Educational Broadcasting Stations</w:t>
      </w:r>
      <w:r>
        <w:t xml:space="preserve">, Public Notice, </w:t>
      </w:r>
      <w:r w:rsidRPr="000D028E">
        <w:t>7 FCC Rcd 827 (1992)</w:t>
      </w:r>
      <w:r>
        <w:t>.</w:t>
      </w:r>
    </w:p>
  </w:footnote>
  <w:footnote w:id="31">
    <w:p w:rsidR="005C64C4" w:rsidRPr="00AD49F6" w:rsidP="00F62A41">
      <w:pPr>
        <w:pStyle w:val="FootnoteText"/>
        <w:widowControl w:val="0"/>
        <w:rPr>
          <w:rStyle w:val="FootnoteReference"/>
        </w:rPr>
      </w:pPr>
      <w:r w:rsidRPr="000D028E">
        <w:rPr>
          <w:rStyle w:val="FootnoteReference"/>
        </w:rPr>
        <w:footnoteRef/>
      </w:r>
      <w:r w:rsidRPr="000D028E">
        <w:rPr>
          <w:rStyle w:val="FootnoteReference"/>
        </w:rPr>
        <w:t xml:space="preserve"> </w:t>
      </w:r>
      <w:r>
        <w:rPr>
          <w:i/>
        </w:rPr>
        <w:t>Id</w:t>
      </w:r>
      <w:r w:rsidRPr="00B63DB0">
        <w:t>.</w:t>
      </w:r>
      <w:r>
        <w:t xml:space="preserve">; </w:t>
      </w:r>
      <w:r>
        <w:rPr>
          <w:i/>
        </w:rPr>
        <w:t xml:space="preserve">see </w:t>
      </w:r>
      <w:r w:rsidRPr="00A81FBC">
        <w:rPr>
          <w:i/>
        </w:rPr>
        <w:t xml:space="preserve">Xavier </w:t>
      </w:r>
      <w:r w:rsidRPr="00775D83">
        <w:rPr>
          <w:i/>
        </w:rPr>
        <w:t>Univ</w:t>
      </w:r>
      <w:r>
        <w:rPr>
          <w:i/>
        </w:rPr>
        <w:t>ersity</w:t>
      </w:r>
      <w:r w:rsidRPr="00A81FBC">
        <w:rPr>
          <w:i/>
        </w:rPr>
        <w:t xml:space="preserve">, </w:t>
      </w:r>
      <w:r w:rsidRPr="002F22EE">
        <w:t>Memorandum Opinion and Order, 5 FCC Rcd 4920, 4921, para. 6 (199</w:t>
      </w:r>
      <w:r>
        <w:t>0</w:t>
      </w:r>
      <w:r w:rsidRPr="002F22EE">
        <w:t xml:space="preserve">) </w:t>
      </w:r>
      <w:r w:rsidRPr="00025895">
        <w:t xml:space="preserve">(citing </w:t>
      </w:r>
      <w:r>
        <w:rPr>
          <w:i/>
        </w:rPr>
        <w:t xml:space="preserve">Commission Policy Concerning the </w:t>
      </w:r>
      <w:r w:rsidRPr="00D55714">
        <w:rPr>
          <w:i/>
        </w:rPr>
        <w:t>Noncommercial</w:t>
      </w:r>
      <w:r>
        <w:rPr>
          <w:i/>
        </w:rPr>
        <w:t xml:space="preserve"> Nature of Educational Broadcast Stations</w:t>
      </w:r>
      <w:r w:rsidRPr="008464C8">
        <w:t>,</w:t>
      </w:r>
      <w:r>
        <w:rPr>
          <w:i/>
        </w:rPr>
        <w:t xml:space="preserve"> </w:t>
      </w:r>
      <w:r>
        <w:t xml:space="preserve">BC </w:t>
      </w:r>
      <w:r w:rsidRPr="00BD4596">
        <w:t>Docket N</w:t>
      </w:r>
      <w:r>
        <w:t>o. 21136</w:t>
      </w:r>
      <w:r w:rsidRPr="00BD4596">
        <w:t xml:space="preserve">, </w:t>
      </w:r>
      <w:r>
        <w:t>Memorandum Opinion and Order, 90 FCC 2d 895 (1982) (subsequent history omitted)</w:t>
      </w:r>
      <w:r w:rsidRPr="00025895">
        <w:t>)</w:t>
      </w:r>
      <w:r>
        <w:t>.</w:t>
      </w:r>
    </w:p>
  </w:footnote>
  <w:footnote w:id="32">
    <w:p w:rsidR="005C64C4" w:rsidRPr="00AD49F6" w:rsidP="00E94BED">
      <w:pPr>
        <w:pStyle w:val="FootnoteText"/>
        <w:widowControl w:val="0"/>
        <w:rPr>
          <w:rStyle w:val="FootnoteReference"/>
          <w:vertAlign w:val="baseline"/>
        </w:rPr>
      </w:pPr>
      <w:r w:rsidRPr="00AD49F6">
        <w:rPr>
          <w:rStyle w:val="FootnoteReference"/>
        </w:rPr>
        <w:footnoteRef/>
      </w:r>
      <w:r w:rsidRPr="00AD49F6">
        <w:rPr>
          <w:rStyle w:val="FootnoteReference"/>
        </w:rPr>
        <w:t xml:space="preserve"> </w:t>
      </w:r>
      <w:r>
        <w:rPr>
          <w:iCs/>
        </w:rPr>
        <w:t xml:space="preserve">Letter from </w:t>
      </w:r>
      <w:r w:rsidRPr="00B71C9A">
        <w:rPr>
          <w:iCs/>
        </w:rPr>
        <w:t xml:space="preserve">John S. Neely, Esq., </w:t>
      </w:r>
      <w:r w:rsidRPr="00E94BED">
        <w:rPr>
          <w:snapToGrid w:val="0"/>
        </w:rPr>
        <w:t>Miller</w:t>
      </w:r>
      <w:r w:rsidRPr="00B71C9A">
        <w:rPr>
          <w:iCs/>
        </w:rPr>
        <w:t xml:space="preserve"> and Neely, P. C., counsel to 1TV.com, Inc., </w:t>
      </w:r>
      <w:r>
        <w:rPr>
          <w:iCs/>
        </w:rPr>
        <w:t>to Secretary, FCC at 1-4, Attachs. (Aug. 14, 2017)</w:t>
      </w:r>
      <w:r w:rsidRPr="00DF6EC6">
        <w:t xml:space="preserve"> </w:t>
      </w:r>
      <w:r>
        <w:t>(on file in EB-IHD-17-00025521)</w:t>
      </w:r>
      <w:r w:rsidRPr="00AD49F6">
        <w:t>.</w:t>
      </w:r>
    </w:p>
  </w:footnote>
  <w:footnote w:id="33">
    <w:p w:rsidR="005C64C4" w:rsidRPr="008D5FA2" w:rsidP="00A111B6">
      <w:pPr>
        <w:pStyle w:val="FootnoteText"/>
        <w:widowControl w:val="0"/>
        <w:rPr>
          <w:rStyle w:val="FootnoteReference"/>
          <w:vertAlign w:val="baseline"/>
        </w:rPr>
      </w:pPr>
      <w:r w:rsidRPr="00AD49F6">
        <w:rPr>
          <w:rStyle w:val="FootnoteReference"/>
        </w:rPr>
        <w:footnoteRef/>
      </w:r>
      <w:r>
        <w:rPr>
          <w:i/>
        </w:rPr>
        <w:t xml:space="preserve"> </w:t>
      </w:r>
      <w:r w:rsidRPr="00A111B6">
        <w:t xml:space="preserve">Letter of Inquiry from </w:t>
      </w:r>
      <w:r>
        <w:t>Matthew L. Conaty</w:t>
      </w:r>
      <w:r w:rsidRPr="00A111B6">
        <w:t xml:space="preserve">, </w:t>
      </w:r>
      <w:r>
        <w:t xml:space="preserve">Deputy </w:t>
      </w:r>
      <w:r w:rsidRPr="00A111B6">
        <w:t xml:space="preserve">Chief, </w:t>
      </w:r>
      <w:r>
        <w:t>Investigations and Hearings</w:t>
      </w:r>
      <w:r w:rsidRPr="00A111B6">
        <w:t xml:space="preserve"> Division, FCC Enforcement Bureau, to </w:t>
      </w:r>
      <w:r>
        <w:t xml:space="preserve">Ryan Greig, </w:t>
      </w:r>
      <w:r w:rsidRPr="00E94BED">
        <w:rPr>
          <w:snapToGrid w:val="0"/>
        </w:rPr>
        <w:t>President</w:t>
      </w:r>
      <w:r>
        <w:t>, San Tan Educational Media</w:t>
      </w:r>
      <w:r w:rsidRPr="00A111B6">
        <w:t xml:space="preserve"> at </w:t>
      </w:r>
      <w:r>
        <w:t>4-5</w:t>
      </w:r>
      <w:r w:rsidRPr="00A111B6">
        <w:t>, Question</w:t>
      </w:r>
      <w:r>
        <w:t>s</w:t>
      </w:r>
      <w:r w:rsidRPr="00A111B6">
        <w:t xml:space="preserve"> </w:t>
      </w:r>
      <w:r>
        <w:t>1-5</w:t>
      </w:r>
      <w:r w:rsidRPr="00A111B6">
        <w:t xml:space="preserve"> (</w:t>
      </w:r>
      <w:r>
        <w:t>Dec</w:t>
      </w:r>
      <w:r w:rsidRPr="00A111B6">
        <w:t xml:space="preserve">. </w:t>
      </w:r>
      <w:r>
        <w:t>8</w:t>
      </w:r>
      <w:r w:rsidRPr="00A111B6">
        <w:t>, 20</w:t>
      </w:r>
      <w:r>
        <w:t>17</w:t>
      </w:r>
      <w:r w:rsidRPr="00A111B6">
        <w:t xml:space="preserve">) (on file in </w:t>
      </w:r>
      <w:r>
        <w:t>EB-IHD-17-00025521</w:t>
      </w:r>
      <w:r w:rsidRPr="00A111B6">
        <w:t>).</w:t>
      </w:r>
    </w:p>
  </w:footnote>
  <w:footnote w:id="34">
    <w:p w:rsidR="005C64C4" w:rsidRPr="00A111B6" w:rsidP="00A111B6">
      <w:pPr>
        <w:pStyle w:val="FootnoteText"/>
        <w:widowControl w:val="0"/>
        <w:rPr>
          <w:sz w:val="22"/>
          <w:szCs w:val="22"/>
        </w:rPr>
      </w:pPr>
      <w:r>
        <w:rPr>
          <w:rStyle w:val="FootnoteReference"/>
        </w:rPr>
        <w:footnoteRef/>
      </w:r>
      <w:r>
        <w:rPr>
          <w:rStyle w:val="FootnoteReference"/>
        </w:rPr>
        <w:t xml:space="preserve"> </w:t>
      </w:r>
      <w:r w:rsidRPr="001620C4">
        <w:rPr>
          <w:rFonts w:cs="Arial"/>
          <w:szCs w:val="16"/>
        </w:rPr>
        <w:t>Response</w:t>
      </w:r>
      <w:r>
        <w:rPr>
          <w:rFonts w:cs="Arial"/>
          <w:szCs w:val="16"/>
        </w:rPr>
        <w:t xml:space="preserve"> to Letter of Inquiry,</w:t>
      </w:r>
      <w:r w:rsidRPr="001620C4">
        <w:rPr>
          <w:rFonts w:cs="Arial"/>
          <w:szCs w:val="16"/>
        </w:rPr>
        <w:t xml:space="preserve"> from San Tan Educational Media, to Investigations and Hearings Division, </w:t>
      </w:r>
      <w:r>
        <w:rPr>
          <w:rFonts w:cs="Arial"/>
          <w:szCs w:val="16"/>
        </w:rPr>
        <w:t xml:space="preserve">FCC </w:t>
      </w:r>
      <w:r w:rsidRPr="001620C4">
        <w:rPr>
          <w:rFonts w:cs="Arial"/>
          <w:szCs w:val="16"/>
        </w:rPr>
        <w:t>Enforcement Bureau</w:t>
      </w:r>
      <w:r>
        <w:rPr>
          <w:rFonts w:cs="Arial"/>
          <w:szCs w:val="16"/>
        </w:rPr>
        <w:t xml:space="preserve"> </w:t>
      </w:r>
      <w:r w:rsidRPr="001620C4">
        <w:rPr>
          <w:rFonts w:cs="Arial"/>
          <w:szCs w:val="16"/>
        </w:rPr>
        <w:t>(Dec. 15, 2017) (on file in EB-IHD-17-00025521)</w:t>
      </w:r>
      <w:r>
        <w:rPr>
          <w:rFonts w:cs="Arial"/>
          <w:szCs w:val="16"/>
        </w:rPr>
        <w:t xml:space="preserve"> (LOI Response)</w:t>
      </w:r>
      <w:r w:rsidRPr="001620C4">
        <w:rPr>
          <w:rFonts w:cs="Arial"/>
          <w:szCs w:val="16"/>
        </w:rPr>
        <w:t xml:space="preserve">.  </w:t>
      </w:r>
      <w:r>
        <w:rPr>
          <w:rFonts w:cs="Arial"/>
          <w:szCs w:val="16"/>
        </w:rPr>
        <w:t xml:space="preserve">STEM requested </w:t>
      </w:r>
      <w:r>
        <w:rPr>
          <w:snapToGrid w:val="0"/>
          <w:szCs w:val="22"/>
        </w:rPr>
        <w:t xml:space="preserve">confidential treatment of certain portions of its LOI Response, including </w:t>
      </w:r>
      <w:r w:rsidRPr="007F51F3">
        <w:rPr>
          <w:snapToGrid w:val="0"/>
          <w:szCs w:val="22"/>
        </w:rPr>
        <w:t>the E-mail Attach</w:t>
      </w:r>
      <w:r w:rsidRPr="0060639B">
        <w:rPr>
          <w:snapToGrid w:val="0"/>
          <w:szCs w:val="22"/>
        </w:rPr>
        <w:t>.</w:t>
      </w:r>
      <w:r>
        <w:rPr>
          <w:snapToGrid w:val="0"/>
          <w:szCs w:val="22"/>
        </w:rPr>
        <w:t xml:space="preserve">  </w:t>
      </w:r>
      <w:r w:rsidRPr="00A111B6">
        <w:rPr>
          <w:snapToGrid w:val="0"/>
        </w:rPr>
        <w:t xml:space="preserve">LOI Response at 15, Response to Question 5.  </w:t>
      </w:r>
      <w:r w:rsidRPr="00E52D8C">
        <w:rPr>
          <w:snapToGrid w:val="0"/>
        </w:rPr>
        <w:t xml:space="preserve">This Order and Consent Decree do not disclose material identified as confidential by STEM, so we defer ruling on the request unless and until necessary.  </w:t>
      </w:r>
      <w:r w:rsidRPr="006F6A45">
        <w:rPr>
          <w:snapToGrid w:val="0"/>
        </w:rPr>
        <w:t>47 CFR § 0.459(d)(3) (the Commission may defer acting on requests for confidential treatment of materials submitted to the Commission until a request for inspection has been made pursuant to § 0.460 or § 0.461.  Such materials will be accorded confidential treatment until the Commission acts on the confidentiality request and all subsequent appeal and stay proceedings ha</w:t>
      </w:r>
      <w:r w:rsidRPr="00DB06FB">
        <w:rPr>
          <w:snapToGrid w:val="0"/>
        </w:rPr>
        <w:t xml:space="preserve">ve been exhausted).  </w:t>
      </w:r>
      <w:r w:rsidRPr="00DB06FB">
        <w:rPr>
          <w:i/>
          <w:snapToGrid w:val="0"/>
        </w:rPr>
        <w:t>See, e.g., Radio License Holding CBC, LLC</w:t>
      </w:r>
      <w:r w:rsidRPr="00DB06FB">
        <w:rPr>
          <w:snapToGrid w:val="0"/>
        </w:rPr>
        <w:t>, Order and Consent Decree, 31 FCC Rcd 3, 8, para. 5 &amp; n.16 (EB 2016).</w:t>
      </w:r>
    </w:p>
  </w:footnote>
  <w:footnote w:id="35">
    <w:p w:rsidR="005C64C4" w:rsidRPr="00DD117D" w:rsidP="00A111B6">
      <w:pPr>
        <w:pStyle w:val="FootnoteText"/>
        <w:widowControl w:val="0"/>
      </w:pPr>
      <w:r>
        <w:rPr>
          <w:rStyle w:val="FootnoteReference"/>
        </w:rPr>
        <w:footnoteRef/>
      </w:r>
      <w:r>
        <w:t xml:space="preserve"> </w:t>
      </w:r>
      <w:r w:rsidRPr="00A111B6">
        <w:t xml:space="preserve">LOI Response, </w:t>
      </w:r>
      <w:r w:rsidRPr="007F51F3">
        <w:t>E-mail Attach</w:t>
      </w:r>
      <w:r w:rsidRPr="0060639B">
        <w:t>.</w:t>
      </w:r>
    </w:p>
  </w:footnote>
  <w:footnote w:id="36">
    <w:p w:rsidR="005C64C4">
      <w:pPr>
        <w:pStyle w:val="FootnoteText"/>
      </w:pPr>
      <w:r>
        <w:rPr>
          <w:rStyle w:val="FootnoteReference"/>
        </w:rPr>
        <w:footnoteRef/>
      </w:r>
      <w:r>
        <w:t xml:space="preserve"> </w:t>
      </w:r>
      <w:r w:rsidRPr="007F51F3">
        <w:rPr>
          <w:rFonts w:cs="Arial"/>
          <w:szCs w:val="16"/>
        </w:rPr>
        <w:t>E-mail from Ryan Greig, President, San Tan Educational Media, to Christopher Sova, Deputy Division Chief, Investigations and Hearings Division, FCC Enforcement Bureau, and Tom Hutton, Deputy Division Chief, Audio Division, FCC Media Bureau (Mar. 19, 2019, 1:05 MST)</w:t>
      </w:r>
      <w:r>
        <w:rPr>
          <w:rFonts w:cs="Arial"/>
          <w:szCs w:val="16"/>
        </w:rPr>
        <w:t xml:space="preserve"> (includes attached profit and loss statements pertaining to </w:t>
      </w:r>
      <w:r w:rsidRPr="00B53D9C">
        <w:rPr>
          <w:rFonts w:cs="Arial"/>
          <w:szCs w:val="16"/>
        </w:rPr>
        <w:t xml:space="preserve">STEM’s </w:t>
      </w:r>
      <w:r w:rsidRPr="007F51F3">
        <w:rPr>
          <w:rFonts w:cs="Arial"/>
          <w:szCs w:val="16"/>
        </w:rPr>
        <w:t xml:space="preserve">2016-2018 </w:t>
      </w:r>
      <w:r w:rsidRPr="00B53D9C">
        <w:rPr>
          <w:rFonts w:cs="Arial"/>
          <w:szCs w:val="16"/>
        </w:rPr>
        <w:t>revenues</w:t>
      </w:r>
      <w:r>
        <w:rPr>
          <w:rFonts w:cs="Arial"/>
          <w:szCs w:val="16"/>
        </w:rPr>
        <w:t xml:space="preserve">) (March 19, 2019 E-mail); </w:t>
      </w:r>
      <w:r w:rsidRPr="003B741C">
        <w:rPr>
          <w:rFonts w:cs="Arial"/>
          <w:szCs w:val="16"/>
        </w:rPr>
        <w:t xml:space="preserve">E-mail from Ryan Greig, President, San Tan Educational Media, to </w:t>
      </w:r>
      <w:r>
        <w:rPr>
          <w:rFonts w:cs="Arial"/>
          <w:szCs w:val="16"/>
        </w:rPr>
        <w:t>Melissa Marshall</w:t>
      </w:r>
      <w:r w:rsidRPr="003B741C">
        <w:rPr>
          <w:rFonts w:cs="Arial"/>
          <w:szCs w:val="16"/>
        </w:rPr>
        <w:t xml:space="preserve">, </w:t>
      </w:r>
      <w:r>
        <w:rPr>
          <w:rFonts w:cs="Arial"/>
          <w:szCs w:val="16"/>
        </w:rPr>
        <w:t>Attorney Advisor</w:t>
      </w:r>
      <w:r w:rsidRPr="003B741C">
        <w:rPr>
          <w:rFonts w:cs="Arial"/>
          <w:szCs w:val="16"/>
        </w:rPr>
        <w:t>, Investigations and Hearings Division, FCC Enforcement Bureau,</w:t>
      </w:r>
      <w:r>
        <w:rPr>
          <w:rFonts w:cs="Arial"/>
          <w:szCs w:val="16"/>
        </w:rPr>
        <w:t xml:space="preserve"> et al., at Attach.</w:t>
      </w:r>
      <w:r w:rsidRPr="003B741C">
        <w:rPr>
          <w:rFonts w:cs="Arial"/>
          <w:szCs w:val="16"/>
        </w:rPr>
        <w:t xml:space="preserve"> (Mar. </w:t>
      </w:r>
      <w:r>
        <w:rPr>
          <w:rFonts w:cs="Arial"/>
          <w:szCs w:val="16"/>
        </w:rPr>
        <w:t>20</w:t>
      </w:r>
      <w:r w:rsidRPr="003B741C">
        <w:rPr>
          <w:rFonts w:cs="Arial"/>
          <w:szCs w:val="16"/>
        </w:rPr>
        <w:t xml:space="preserve">, 2019, </w:t>
      </w:r>
      <w:r>
        <w:rPr>
          <w:rFonts w:cs="Arial"/>
          <w:szCs w:val="16"/>
        </w:rPr>
        <w:t>13</w:t>
      </w:r>
      <w:r w:rsidRPr="003B741C">
        <w:rPr>
          <w:rFonts w:cs="Arial"/>
          <w:szCs w:val="16"/>
        </w:rPr>
        <w:t>:</w:t>
      </w:r>
      <w:r>
        <w:rPr>
          <w:rFonts w:cs="Arial"/>
          <w:szCs w:val="16"/>
        </w:rPr>
        <w:t>37</w:t>
      </w:r>
      <w:r w:rsidRPr="003B741C">
        <w:rPr>
          <w:rFonts w:cs="Arial"/>
          <w:szCs w:val="16"/>
        </w:rPr>
        <w:t xml:space="preserve"> MST)</w:t>
      </w:r>
      <w:r>
        <w:rPr>
          <w:rFonts w:cs="Arial"/>
          <w:szCs w:val="16"/>
        </w:rPr>
        <w:t xml:space="preserve"> (includes signed declaration from Ryan Greig, President of San Tan Educational Media, that financial information in March 19, 2019 E-mail is complete and accurate to the best of his knowledge and belief). </w:t>
      </w:r>
    </w:p>
  </w:footnote>
  <w:footnote w:id="37">
    <w:p w:rsidR="005C64C4" w:rsidRPr="00AD2B0C" w:rsidP="00A111B6">
      <w:pPr>
        <w:pStyle w:val="FootnoteText"/>
      </w:pPr>
      <w:r w:rsidRPr="00AD2B0C">
        <w:rPr>
          <w:rStyle w:val="FootnoteReference"/>
        </w:rPr>
        <w:footnoteRef/>
      </w:r>
      <w:r w:rsidRPr="00AD2B0C">
        <w:t xml:space="preserve"> The Station went silent on November 11, 2017 and received authority to remain off-air.  </w:t>
      </w:r>
      <w:r>
        <w:t xml:space="preserve">Decision at 1, n.1.  </w:t>
      </w:r>
      <w:r w:rsidRPr="00AD2B0C">
        <w:t xml:space="preserve">A </w:t>
      </w:r>
      <w:r>
        <w:t xml:space="preserve">broadcast </w:t>
      </w:r>
      <w:r w:rsidRPr="00AD2B0C">
        <w:t xml:space="preserve">station’s license expires automatically upon </w:t>
      </w:r>
      <w:r>
        <w:t>12</w:t>
      </w:r>
      <w:r w:rsidRPr="00AD2B0C">
        <w:t xml:space="preserve"> consecutive months of silence, in this case at 12:01 a.m. on November 12, 2018.  47 U.S.C. § 312(g).  However, the Act allows the Commission to extend or reinstate the license in limited circumstances, including one present here:  when the licensee “prevails in an administrative or judicial appeal.”  </w:t>
      </w:r>
      <w:r w:rsidRPr="00AD2B0C">
        <w:rPr>
          <w:i/>
        </w:rPr>
        <w:t xml:space="preserve">Id.  </w:t>
      </w:r>
      <w:r w:rsidRPr="00AD2B0C">
        <w:t xml:space="preserve">Upon </w:t>
      </w:r>
      <w:r>
        <w:t>the Effective Date</w:t>
      </w:r>
      <w:r w:rsidRPr="00AD2B0C">
        <w:t xml:space="preserve">, we </w:t>
      </w:r>
      <w:r>
        <w:t>will</w:t>
      </w:r>
      <w:r w:rsidRPr="00AD2B0C">
        <w:t xml:space="preserve"> provide STEM with the amount of time that remained on its silence “clock” when </w:t>
      </w:r>
      <w:r>
        <w:t>MB</w:t>
      </w:r>
      <w:r w:rsidRPr="00AD2B0C">
        <w:t xml:space="preserve"> cancelled the Station’s operating authority.  That remaining period (between June 25, 2018 and November 12, 2018) equals four months, </w:t>
      </w:r>
      <w:r>
        <w:t xml:space="preserve">eighteen </w:t>
      </w:r>
      <w:r w:rsidRPr="00AD2B0C">
        <w:t xml:space="preserve">days.  </w:t>
      </w:r>
    </w:p>
  </w:footnote>
  <w:footnote w:id="38">
    <w:p w:rsidR="005C64C4" w:rsidRPr="00AD2B0C" w:rsidP="00A111B6">
      <w:pPr>
        <w:pStyle w:val="FootnoteText"/>
      </w:pPr>
      <w:r w:rsidRPr="00AD2B0C">
        <w:rPr>
          <w:rStyle w:val="FootnoteReference"/>
        </w:rPr>
        <w:footnoteRef/>
      </w:r>
      <w:r w:rsidRPr="00AD2B0C">
        <w:t xml:space="preserve"> </w:t>
      </w:r>
      <w:r>
        <w:t xml:space="preserve">STEM received authorization from MB to move to a new site and to construct </w:t>
      </w:r>
      <w:r w:rsidRPr="009959AC">
        <w:t xml:space="preserve">a 30-meter (95.1-foot) </w:t>
      </w:r>
      <w:r>
        <w:t xml:space="preserve">broadcast </w:t>
      </w:r>
      <w:r w:rsidRPr="009959AC">
        <w:t>tower with an antenna center of radiation at 29 meters (98.4 feet)</w:t>
      </w:r>
      <w:r>
        <w:t xml:space="preserve">.  </w:t>
      </w:r>
      <w:r w:rsidRPr="00AD2B0C">
        <w:t>File No. BPL-20170206ACD</w:t>
      </w:r>
      <w:r>
        <w:t>, at 2</w:t>
      </w:r>
      <w:r w:rsidRPr="00AD2B0C">
        <w:t xml:space="preserve"> (granted Feb. 16, 2017) (February Permit). </w:t>
      </w:r>
      <w:r>
        <w:t xml:space="preserve"> STEM </w:t>
      </w:r>
      <w:r>
        <w:t xml:space="preserve">actually </w:t>
      </w:r>
      <w:r w:rsidRPr="009959AC">
        <w:t>constructed</w:t>
      </w:r>
      <w:r w:rsidRPr="009959AC">
        <w:t xml:space="preserve"> a 24-meter (79.35-foot) tower with a center of radiation for the two-bay antenna of 22.5 meters (73.8 feet)</w:t>
      </w:r>
      <w:r>
        <w:t xml:space="preserve">.  </w:t>
      </w:r>
      <w:r w:rsidRPr="001E7772">
        <w:t>The four</w:t>
      </w:r>
      <w:r>
        <w:t>-</w:t>
      </w:r>
      <w:r w:rsidRPr="001E7772">
        <w:t>month</w:t>
      </w:r>
      <w:r>
        <w:t xml:space="preserve"> period of operation at variance from the FCC February Permit began with S</w:t>
      </w:r>
      <w:r w:rsidRPr="001E7772">
        <w:t>TEM’s filing</w:t>
      </w:r>
      <w:r>
        <w:t xml:space="preserve"> of </w:t>
      </w:r>
      <w:r w:rsidRPr="001E7772">
        <w:t xml:space="preserve">the License Application on </w:t>
      </w:r>
      <w:r w:rsidRPr="001E7772">
        <w:t>July 10, 2017</w:t>
      </w:r>
      <w:r>
        <w:t>,</w:t>
      </w:r>
      <w:r w:rsidRPr="001E7772">
        <w:t xml:space="preserve"> </w:t>
      </w:r>
      <w:r>
        <w:t>and</w:t>
      </w:r>
      <w:r>
        <w:t xml:space="preserve"> continued </w:t>
      </w:r>
      <w:r w:rsidRPr="001E7772">
        <w:t xml:space="preserve">until the Station went silent on November 19, 2017.  </w:t>
      </w:r>
      <w:r w:rsidRPr="0026661C">
        <w:t xml:space="preserve">Objectors submitted information </w:t>
      </w:r>
      <w:r>
        <w:t xml:space="preserve">also </w:t>
      </w:r>
      <w:r w:rsidRPr="0026661C">
        <w:t>reflecting that the constructed facilities were beyond the scope of a permit received from local authorities</w:t>
      </w:r>
      <w:r>
        <w:t xml:space="preserve"> specifying construction of an “amateur radio” tower.</w:t>
      </w:r>
    </w:p>
  </w:footnote>
  <w:footnote w:id="39">
    <w:p w:rsidR="005C64C4" w:rsidRPr="00AD2B0C" w:rsidP="00A111B6">
      <w:pPr>
        <w:pStyle w:val="FootnoteText"/>
      </w:pPr>
      <w:r w:rsidRPr="00AD2B0C">
        <w:rPr>
          <w:rStyle w:val="FootnoteReference"/>
        </w:rPr>
        <w:footnoteRef/>
      </w:r>
      <w:r w:rsidRPr="00AD2B0C">
        <w:t xml:space="preserve"> </w:t>
      </w:r>
      <w:r w:rsidRPr="009959AC">
        <w:t xml:space="preserve">License Application, </w:t>
      </w:r>
      <w:r>
        <w:t xml:space="preserve">Section II-Legal, </w:t>
      </w:r>
      <w:r w:rsidRPr="009959AC">
        <w:t>Question</w:t>
      </w:r>
      <w:r>
        <w:t xml:space="preserve"> </w:t>
      </w:r>
      <w:r w:rsidRPr="009959AC">
        <w:t xml:space="preserve">1, </w:t>
      </w:r>
      <w:r>
        <w:t xml:space="preserve">Section </w:t>
      </w:r>
      <w:r w:rsidRPr="009959AC">
        <w:t>III</w:t>
      </w:r>
      <w:r>
        <w:t xml:space="preserve">-Application to Cover a Construction Permit, Question </w:t>
      </w:r>
      <w:r w:rsidRPr="009959AC">
        <w:t xml:space="preserve">2.  </w:t>
      </w:r>
    </w:p>
  </w:footnote>
  <w:footnote w:id="40">
    <w:p w:rsidR="005C64C4" w:rsidP="00A111B6">
      <w:pPr>
        <w:pStyle w:val="FootnoteText"/>
        <w:widowControl w:val="0"/>
        <w:rPr>
          <w:lang w:bidi="x-none"/>
        </w:rPr>
      </w:pPr>
      <w:r>
        <w:rPr>
          <w:rStyle w:val="FootnoteReference"/>
        </w:rPr>
        <w:footnoteRef/>
      </w:r>
      <w:r>
        <w:t xml:space="preserve"> </w:t>
      </w:r>
      <w:r>
        <w:rPr>
          <w:i/>
        </w:rPr>
        <w:t>See</w:t>
      </w:r>
      <w:r>
        <w:t xml:space="preserve"> 47 CFR § 1.16.</w:t>
      </w:r>
    </w:p>
  </w:footnote>
  <w:footnote w:id="41">
    <w:p w:rsidR="005C64C4" w:rsidP="00CF5DCC">
      <w:pPr>
        <w:pStyle w:val="FootnoteText"/>
      </w:pPr>
      <w:r>
        <w:rPr>
          <w:rStyle w:val="FootnoteReference"/>
        </w:rPr>
        <w:footnoteRef/>
      </w:r>
      <w:r>
        <w:t xml:space="preserve"> Payments made using the Commission’s Fee Filer system do not require the submission of an FCC Form 159.</w:t>
      </w:r>
    </w:p>
  </w:footnote>
  <w:footnote w:id="42">
    <w:p w:rsidR="005C64C4" w:rsidP="00CF5DCC">
      <w:pPr>
        <w:pStyle w:val="FootnoteText"/>
        <w:rPr>
          <w:sz w:val="22"/>
          <w:szCs w:val="22"/>
        </w:rPr>
      </w:pPr>
      <w:r>
        <w:rPr>
          <w:rStyle w:val="FootnoteReference"/>
        </w:rPr>
        <w:footnoteRef/>
      </w:r>
      <w:r>
        <w:t xml:space="preserve"> For questions regarding payment procedures, please contact the Financial Operations Group Help Desk by phone at 1-877-480-3201 (option #6), or by e-mail at </w:t>
      </w:r>
      <w:hyperlink r:id="rId1" w:history="1">
        <w:r>
          <w:rPr>
            <w:rStyle w:val="Hyperlink"/>
          </w:rPr>
          <w:t>ARINQUIRIES@fcc.gov</w:t>
        </w:r>
      </w:hyperlink>
      <w:r>
        <w:t>.</w:t>
      </w:r>
    </w:p>
  </w:footnote>
  <w:footnote w:id="43">
    <w:p w:rsidR="005C64C4" w:rsidP="00CF5DCC">
      <w:pPr>
        <w:pStyle w:val="FootnoteText"/>
      </w:pPr>
      <w:r>
        <w:rPr>
          <w:rStyle w:val="FootnoteReference"/>
        </w:rPr>
        <w:footnoteRef/>
      </w:r>
      <w:r>
        <w:t xml:space="preserve"> Instructions for completing the form may be obtained at </w:t>
      </w:r>
      <w:hyperlink r:id="rId2" w:history="1">
        <w:r>
          <w:rPr>
            <w:rStyle w:val="Hyperlink"/>
          </w:rPr>
          <w:t>http://www.fcc.gov/Forms/Form159/159.pdf</w:t>
        </w:r>
      </w:hyperlink>
      <w:r>
        <w:t xml:space="preserve">. </w:t>
      </w:r>
    </w:p>
  </w:footnote>
  <w:footnote w:id="44">
    <w:p w:rsidR="005C64C4" w:rsidRPr="000D028E" w:rsidP="00A111B6">
      <w:pPr>
        <w:pStyle w:val="FootnoteText"/>
        <w:widowControl w:val="0"/>
      </w:pPr>
      <w:r w:rsidRPr="000D028E">
        <w:rPr>
          <w:rStyle w:val="FootnoteReference"/>
        </w:rPr>
        <w:footnoteRef/>
      </w:r>
      <w:r w:rsidRPr="000D028E">
        <w:t xml:space="preserve"> </w:t>
      </w:r>
      <w:r>
        <w:rPr>
          <w:i/>
        </w:rPr>
        <w:t>See</w:t>
      </w:r>
      <w:r w:rsidRPr="00B63DB0">
        <w:rPr>
          <w:i/>
        </w:rPr>
        <w:t xml:space="preserve"> </w:t>
      </w:r>
      <w:r w:rsidRPr="000D028E">
        <w:t>5 U.S.C. § 504; 47 CFR §§ 1.150</w:t>
      </w:r>
      <w:r>
        <w:t>1–1.530</w:t>
      </w:r>
      <w:r w:rsidRPr="000D028E">
        <w:t>.</w:t>
      </w:r>
    </w:p>
  </w:footnote>
  <w:footnote w:id="45">
    <w:p w:rsidR="005C64C4" w:rsidP="00A111B6">
      <w:pPr>
        <w:pStyle w:val="FootnoteText"/>
        <w:widowControl w:val="0"/>
      </w:pPr>
      <w:r>
        <w:rPr>
          <w:rStyle w:val="FootnoteReference"/>
        </w:rPr>
        <w:footnoteRef/>
      </w:r>
      <w:r>
        <w:t xml:space="preserve"> Such certification or affidavit shall include language that STEM has satisfied its obligations under </w:t>
      </w:r>
      <w:r w:rsidRPr="004D4F3D">
        <w:t>Paragraph</w:t>
      </w:r>
      <w:r>
        <w:t xml:space="preserve">s </w:t>
      </w:r>
      <w:r w:rsidRPr="00FB6971">
        <w:t>15</w:t>
      </w:r>
      <w:r>
        <w:t xml:space="preserve"> and</w:t>
      </w:r>
      <w:r w:rsidRPr="004D4F3D">
        <w:t xml:space="preserve"> </w:t>
      </w:r>
      <w:r w:rsidRPr="00FB6971">
        <w:t>16</w:t>
      </w:r>
      <w:r>
        <w:t xml:space="preserve"> </w:t>
      </w:r>
      <w:r w:rsidRPr="0093371E">
        <w:t>“to the best of its knowledge.”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527" w:rsidP="00810B6F">
    <w:pPr>
      <w:pStyle w:val="Header"/>
      <w:rPr>
        <w:b w:val="0"/>
      </w:rPr>
    </w:pPr>
    <w:r>
      <w:tab/>
      <w:t>Federal Communications Commission</w:t>
    </w:r>
    <w:r>
      <w:tab/>
      <w:t>DA 19-638</w:t>
    </w:r>
  </w:p>
  <w:p w:rsidR="001C352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1C352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527"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AE4F5E">
      <w:tab/>
      <w:t>Federal Communications Commission</w:t>
    </w:r>
    <w:r w:rsidR="00AE4F5E">
      <w:tab/>
    </w:r>
    <w:r w:rsidR="00AE4F5E">
      <w:rPr>
        <w:spacing w:val="-2"/>
      </w:rPr>
      <w:t>DA 19-638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A4D05422"/>
    <w:lvl w:ilvl="0">
      <w:start w:val="1"/>
      <w:numFmt w:val="lowerLetter"/>
      <w:lvlText w:val="(%1)"/>
      <w:lvlJc w:val="left"/>
      <w:pPr>
        <w:tabs>
          <w:tab w:val="num" w:pos="3960"/>
        </w:tabs>
        <w:ind w:left="3960" w:hanging="432"/>
      </w:pPr>
      <w:rPr>
        <w:rFonts w:cs="Times New Roman" w:hint="default"/>
        <w:b w:val="0"/>
        <w:i w:val="0"/>
        <w:sz w:val="22"/>
        <w:szCs w:val="22"/>
      </w:rPr>
    </w:lvl>
    <w:lvl w:ilvl="1">
      <w:start w:val="1"/>
      <w:numFmt w:val="lowerLetter"/>
      <w:lvlText w:val="%2."/>
      <w:lvlJc w:val="left"/>
      <w:pPr>
        <w:tabs>
          <w:tab w:val="num" w:pos="4176"/>
        </w:tabs>
        <w:ind w:left="4176" w:hanging="360"/>
      </w:pPr>
      <w:rPr>
        <w:rFonts w:cs="Times New Roman"/>
      </w:rPr>
    </w:lvl>
    <w:lvl w:ilvl="2" w:tentative="1">
      <w:start w:val="1"/>
      <w:numFmt w:val="lowerRoman"/>
      <w:lvlText w:val="%3."/>
      <w:lvlJc w:val="right"/>
      <w:pPr>
        <w:tabs>
          <w:tab w:val="num" w:pos="4896"/>
        </w:tabs>
        <w:ind w:left="4896" w:hanging="180"/>
      </w:pPr>
      <w:rPr>
        <w:rFonts w:cs="Times New Roman"/>
      </w:rPr>
    </w:lvl>
    <w:lvl w:ilvl="3" w:tentative="1">
      <w:start w:val="1"/>
      <w:numFmt w:val="decimal"/>
      <w:lvlText w:val="%4."/>
      <w:lvlJc w:val="left"/>
      <w:pPr>
        <w:tabs>
          <w:tab w:val="num" w:pos="5616"/>
        </w:tabs>
        <w:ind w:left="5616" w:hanging="360"/>
      </w:pPr>
      <w:rPr>
        <w:rFonts w:cs="Times New Roman"/>
      </w:rPr>
    </w:lvl>
    <w:lvl w:ilvl="4" w:tentative="1">
      <w:start w:val="1"/>
      <w:numFmt w:val="lowerLetter"/>
      <w:lvlText w:val="%5."/>
      <w:lvlJc w:val="left"/>
      <w:pPr>
        <w:tabs>
          <w:tab w:val="num" w:pos="6336"/>
        </w:tabs>
        <w:ind w:left="6336" w:hanging="360"/>
      </w:pPr>
      <w:rPr>
        <w:rFonts w:cs="Times New Roman"/>
      </w:rPr>
    </w:lvl>
    <w:lvl w:ilvl="5" w:tentative="1">
      <w:start w:val="1"/>
      <w:numFmt w:val="lowerRoman"/>
      <w:lvlText w:val="%6."/>
      <w:lvlJc w:val="right"/>
      <w:pPr>
        <w:tabs>
          <w:tab w:val="num" w:pos="7056"/>
        </w:tabs>
        <w:ind w:left="7056" w:hanging="180"/>
      </w:pPr>
      <w:rPr>
        <w:rFonts w:cs="Times New Roman"/>
      </w:rPr>
    </w:lvl>
    <w:lvl w:ilvl="6" w:tentative="1">
      <w:start w:val="1"/>
      <w:numFmt w:val="decimal"/>
      <w:lvlText w:val="%7."/>
      <w:lvlJc w:val="left"/>
      <w:pPr>
        <w:tabs>
          <w:tab w:val="num" w:pos="7776"/>
        </w:tabs>
        <w:ind w:left="7776" w:hanging="360"/>
      </w:pPr>
      <w:rPr>
        <w:rFonts w:cs="Times New Roman"/>
      </w:rPr>
    </w:lvl>
    <w:lvl w:ilvl="7" w:tentative="1">
      <w:start w:val="1"/>
      <w:numFmt w:val="lowerLetter"/>
      <w:lvlText w:val="%8."/>
      <w:lvlJc w:val="left"/>
      <w:pPr>
        <w:tabs>
          <w:tab w:val="num" w:pos="8496"/>
        </w:tabs>
        <w:ind w:left="8496" w:hanging="360"/>
      </w:pPr>
      <w:rPr>
        <w:rFonts w:cs="Times New Roman"/>
      </w:rPr>
    </w:lvl>
    <w:lvl w:ilvl="8" w:tentative="1">
      <w:start w:val="1"/>
      <w:numFmt w:val="lowerRoman"/>
      <w:lvlText w:val="%9."/>
      <w:lvlJc w:val="right"/>
      <w:pPr>
        <w:tabs>
          <w:tab w:val="num" w:pos="9216"/>
        </w:tabs>
        <w:ind w:left="9216"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A6F62ED"/>
    <w:multiLevelType w:val="multilevel"/>
    <w:tmpl w:val="58AC472E"/>
    <w:styleLink w:val="Style1"/>
    <w:lvl w:ilvl="0">
      <w:start w:val="1"/>
      <w:numFmt w:val="lowerLetter"/>
      <w:lvlText w:val="%1."/>
      <w:lvlJc w:val="left"/>
      <w:pPr>
        <w:tabs>
          <w:tab w:val="num" w:pos="1800"/>
        </w:tabs>
        <w:ind w:left="180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3A905854"/>
    <w:multiLevelType w:val="hybridMultilevel"/>
    <w:tmpl w:val="65D63FE6"/>
    <w:lvl w:ilvl="0">
      <w:start w:val="1"/>
      <w:numFmt w:val="lowerLetter"/>
      <w:lvlText w:val="(%1)"/>
      <w:lvlJc w:val="left"/>
      <w:pPr>
        <w:tabs>
          <w:tab w:val="num" w:pos="1152"/>
        </w:tabs>
        <w:ind w:left="1152" w:hanging="432"/>
      </w:pPr>
      <w:rPr>
        <w:rFonts w:ascii="Times New Roman" w:hAnsi="Times New Roman" w:cs="Times New Roman" w:hint="default"/>
        <w:b w:val="0"/>
        <w:i w:val="0"/>
        <w:sz w:val="22"/>
        <w:szCs w:val="22"/>
      </w:rPr>
    </w:lvl>
    <w:lvl w:ilvl="1">
      <w:start w:val="1"/>
      <w:numFmt w:val="lowerLetter"/>
      <w:lvlText w:val="%2."/>
      <w:lvlJc w:val="left"/>
      <w:pPr>
        <w:tabs>
          <w:tab w:val="num" w:pos="1368"/>
        </w:tabs>
        <w:ind w:left="1368" w:hanging="360"/>
      </w:pPr>
      <w:rPr>
        <w:rFonts w:cs="Times New Roman"/>
      </w:rPr>
    </w:lvl>
    <w:lvl w:ilvl="2" w:tentative="1">
      <w:start w:val="1"/>
      <w:numFmt w:val="lowerRoman"/>
      <w:lvlText w:val="%3."/>
      <w:lvlJc w:val="right"/>
      <w:pPr>
        <w:tabs>
          <w:tab w:val="num" w:pos="2088"/>
        </w:tabs>
        <w:ind w:left="2088" w:hanging="180"/>
      </w:pPr>
      <w:rPr>
        <w:rFonts w:cs="Times New Roman"/>
      </w:rPr>
    </w:lvl>
    <w:lvl w:ilvl="3" w:tentative="1">
      <w:start w:val="1"/>
      <w:numFmt w:val="decimal"/>
      <w:lvlText w:val="%4."/>
      <w:lvlJc w:val="left"/>
      <w:pPr>
        <w:tabs>
          <w:tab w:val="num" w:pos="2808"/>
        </w:tabs>
        <w:ind w:left="2808" w:hanging="360"/>
      </w:pPr>
      <w:rPr>
        <w:rFonts w:cs="Times New Roman"/>
      </w:rPr>
    </w:lvl>
    <w:lvl w:ilvl="4" w:tentative="1">
      <w:start w:val="1"/>
      <w:numFmt w:val="lowerLetter"/>
      <w:lvlText w:val="%5."/>
      <w:lvlJc w:val="left"/>
      <w:pPr>
        <w:tabs>
          <w:tab w:val="num" w:pos="3528"/>
        </w:tabs>
        <w:ind w:left="3528" w:hanging="360"/>
      </w:pPr>
      <w:rPr>
        <w:rFonts w:cs="Times New Roman"/>
      </w:rPr>
    </w:lvl>
    <w:lvl w:ilvl="5" w:tentative="1">
      <w:start w:val="1"/>
      <w:numFmt w:val="lowerRoman"/>
      <w:lvlText w:val="%6."/>
      <w:lvlJc w:val="right"/>
      <w:pPr>
        <w:tabs>
          <w:tab w:val="num" w:pos="4248"/>
        </w:tabs>
        <w:ind w:left="4248" w:hanging="180"/>
      </w:pPr>
      <w:rPr>
        <w:rFonts w:cs="Times New Roman"/>
      </w:rPr>
    </w:lvl>
    <w:lvl w:ilvl="6" w:tentative="1">
      <w:start w:val="1"/>
      <w:numFmt w:val="decimal"/>
      <w:lvlText w:val="%7."/>
      <w:lvlJc w:val="left"/>
      <w:pPr>
        <w:tabs>
          <w:tab w:val="num" w:pos="4968"/>
        </w:tabs>
        <w:ind w:left="4968" w:hanging="360"/>
      </w:pPr>
      <w:rPr>
        <w:rFonts w:cs="Times New Roman"/>
      </w:rPr>
    </w:lvl>
    <w:lvl w:ilvl="7" w:tentative="1">
      <w:start w:val="1"/>
      <w:numFmt w:val="lowerLetter"/>
      <w:lvlText w:val="%8."/>
      <w:lvlJc w:val="left"/>
      <w:pPr>
        <w:tabs>
          <w:tab w:val="num" w:pos="5688"/>
        </w:tabs>
        <w:ind w:left="5688" w:hanging="360"/>
      </w:pPr>
      <w:rPr>
        <w:rFonts w:cs="Times New Roman"/>
      </w:rPr>
    </w:lvl>
    <w:lvl w:ilvl="8" w:tentative="1">
      <w:start w:val="1"/>
      <w:numFmt w:val="lowerRoman"/>
      <w:lvlText w:val="%9."/>
      <w:lvlJc w:val="right"/>
      <w:pPr>
        <w:tabs>
          <w:tab w:val="num" w:pos="6408"/>
        </w:tabs>
        <w:ind w:left="6408" w:hanging="180"/>
      </w:pPr>
      <w:rPr>
        <w:rFonts w:cs="Times New Roman"/>
      </w:rPr>
    </w:lvl>
  </w:abstractNum>
  <w:abstractNum w:abstractNumId="7">
    <w:nsid w:val="3D0F1B3D"/>
    <w:multiLevelType w:val="singleLevel"/>
    <w:tmpl w:val="43A0A846"/>
    <w:lvl w:ilvl="0">
      <w:start w:val="1"/>
      <w:numFmt w:val="decimal"/>
      <w:lvlText w:val="%1."/>
      <w:lvlJc w:val="left"/>
      <w:pPr>
        <w:tabs>
          <w:tab w:val="num" w:pos="900"/>
        </w:tabs>
        <w:ind w:left="-180" w:firstLine="720"/>
      </w:pPr>
      <w:rPr>
        <w:rFonts w:ascii="Times New Roman" w:hAnsi="Times New Roman" w:hint="default"/>
        <w:b w:val="0"/>
        <w:i w:val="0"/>
        <w:caps w:val="0"/>
        <w:strike w:val="0"/>
        <w:dstrike w:val="0"/>
        <w:vanish w:val="0"/>
        <w:sz w:val="22"/>
        <w:szCs w:val="22"/>
        <w:u w:val="none"/>
        <w:vertAlign w:val="baseline"/>
      </w:rPr>
    </w:lvl>
  </w:abstractNum>
  <w:abstractNum w:abstractNumId="8">
    <w:nsid w:val="4DD827A9"/>
    <w:multiLevelType w:val="multilevel"/>
    <w:tmpl w:val="1BEEDF12"/>
    <w:styleLink w:val="StyleNumberedLeft101Hanging03"/>
    <w:lvl w:ilvl="0">
      <w:start w:val="1"/>
      <w:numFmt w:val="lowerLetter"/>
      <w:lvlText w:val="(%1)"/>
      <w:lvlJc w:val="left"/>
      <w:pPr>
        <w:tabs>
          <w:tab w:val="num" w:pos="3960"/>
        </w:tabs>
        <w:ind w:left="3960" w:hanging="432"/>
      </w:pPr>
      <w:rPr>
        <w:rFonts w:hint="default"/>
        <w:kern w:val="28"/>
        <w:sz w:val="22"/>
      </w:rPr>
    </w:lvl>
    <w:lvl w:ilvl="1">
      <w:start w:val="1"/>
      <w:numFmt w:val="lowerLetter"/>
      <w:lvlText w:val="%2."/>
      <w:lvlJc w:val="left"/>
      <w:pPr>
        <w:tabs>
          <w:tab w:val="num" w:pos="4176"/>
        </w:tabs>
        <w:ind w:left="4176" w:hanging="360"/>
      </w:pPr>
      <w:rPr>
        <w:rFonts w:cs="Times New Roman" w:hint="default"/>
      </w:rPr>
    </w:lvl>
    <w:lvl w:ilvl="2">
      <w:start w:val="1"/>
      <w:numFmt w:val="lowerRoman"/>
      <w:lvlText w:val="%3."/>
      <w:lvlJc w:val="right"/>
      <w:pPr>
        <w:tabs>
          <w:tab w:val="num" w:pos="4896"/>
        </w:tabs>
        <w:ind w:left="4896" w:hanging="180"/>
      </w:pPr>
      <w:rPr>
        <w:rFonts w:cs="Times New Roman" w:hint="default"/>
      </w:rPr>
    </w:lvl>
    <w:lvl w:ilvl="3">
      <w:start w:val="1"/>
      <w:numFmt w:val="decimal"/>
      <w:lvlText w:val="%4."/>
      <w:lvlJc w:val="left"/>
      <w:pPr>
        <w:tabs>
          <w:tab w:val="num" w:pos="5616"/>
        </w:tabs>
        <w:ind w:left="5616" w:hanging="360"/>
      </w:pPr>
      <w:rPr>
        <w:rFonts w:cs="Times New Roman" w:hint="default"/>
      </w:rPr>
    </w:lvl>
    <w:lvl w:ilvl="4">
      <w:start w:val="1"/>
      <w:numFmt w:val="lowerLetter"/>
      <w:lvlText w:val="%5."/>
      <w:lvlJc w:val="left"/>
      <w:pPr>
        <w:tabs>
          <w:tab w:val="num" w:pos="6336"/>
        </w:tabs>
        <w:ind w:left="6336" w:hanging="360"/>
      </w:pPr>
      <w:rPr>
        <w:rFonts w:cs="Times New Roman" w:hint="default"/>
      </w:rPr>
    </w:lvl>
    <w:lvl w:ilvl="5">
      <w:start w:val="1"/>
      <w:numFmt w:val="lowerRoman"/>
      <w:lvlText w:val="%6."/>
      <w:lvlJc w:val="right"/>
      <w:pPr>
        <w:tabs>
          <w:tab w:val="num" w:pos="7056"/>
        </w:tabs>
        <w:ind w:left="7056" w:hanging="180"/>
      </w:pPr>
      <w:rPr>
        <w:rFonts w:cs="Times New Roman" w:hint="default"/>
      </w:rPr>
    </w:lvl>
    <w:lvl w:ilvl="6">
      <w:start w:val="1"/>
      <w:numFmt w:val="decimal"/>
      <w:lvlText w:val="%7."/>
      <w:lvlJc w:val="left"/>
      <w:pPr>
        <w:tabs>
          <w:tab w:val="num" w:pos="7776"/>
        </w:tabs>
        <w:ind w:left="7776" w:hanging="360"/>
      </w:pPr>
      <w:rPr>
        <w:rFonts w:cs="Times New Roman" w:hint="default"/>
      </w:rPr>
    </w:lvl>
    <w:lvl w:ilvl="7">
      <w:start w:val="1"/>
      <w:numFmt w:val="lowerLetter"/>
      <w:lvlText w:val="%8."/>
      <w:lvlJc w:val="left"/>
      <w:pPr>
        <w:tabs>
          <w:tab w:val="num" w:pos="8496"/>
        </w:tabs>
        <w:ind w:left="8496" w:hanging="360"/>
      </w:pPr>
      <w:rPr>
        <w:rFonts w:cs="Times New Roman" w:hint="default"/>
      </w:rPr>
    </w:lvl>
    <w:lvl w:ilvl="8">
      <w:start w:val="1"/>
      <w:numFmt w:val="lowerRoman"/>
      <w:lvlText w:val="%9."/>
      <w:lvlJc w:val="right"/>
      <w:pPr>
        <w:tabs>
          <w:tab w:val="num" w:pos="9216"/>
        </w:tabs>
        <w:ind w:left="9216" w:hanging="180"/>
      </w:pPr>
      <w:rPr>
        <w:rFonts w:cs="Times New Roman"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CC16EA0"/>
    <w:multiLevelType w:val="hybridMultilevel"/>
    <w:tmpl w:val="58BC862C"/>
    <w:lvl w:ilvl="0">
      <w:start w:val="1"/>
      <w:numFmt w:val="lowerLetter"/>
      <w:lvlText w:val="(%1)"/>
      <w:lvlJc w:val="left"/>
      <w:pPr>
        <w:tabs>
          <w:tab w:val="num" w:pos="1872"/>
        </w:tabs>
        <w:ind w:left="1872" w:hanging="432"/>
      </w:pPr>
      <w:rPr>
        <w:rFonts w:ascii="Times New Roman" w:hAnsi="Times New Roman" w:cs="Times New Roman"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4">
    <w:nsid w:val="751C7F3B"/>
    <w:multiLevelType w:val="hybridMultilevel"/>
    <w:tmpl w:val="65D63FE6"/>
    <w:lvl w:ilvl="0">
      <w:start w:val="1"/>
      <w:numFmt w:val="lowerLetter"/>
      <w:lvlText w:val="(%1)"/>
      <w:lvlJc w:val="left"/>
      <w:pPr>
        <w:tabs>
          <w:tab w:val="num" w:pos="2952"/>
        </w:tabs>
        <w:ind w:left="2952" w:hanging="432"/>
      </w:pPr>
      <w:rPr>
        <w:rFonts w:ascii="Times New Roman" w:hAnsi="Times New Roman" w:cs="Times New Roman" w:hint="default"/>
        <w:b w:val="0"/>
        <w:i w:val="0"/>
        <w:sz w:val="22"/>
        <w:szCs w:val="22"/>
      </w:rPr>
    </w:lvl>
    <w:lvl w:ilvl="1">
      <w:start w:val="1"/>
      <w:numFmt w:val="lowerLetter"/>
      <w:lvlText w:val="%2."/>
      <w:lvlJc w:val="left"/>
      <w:pPr>
        <w:tabs>
          <w:tab w:val="num" w:pos="3168"/>
        </w:tabs>
        <w:ind w:left="3168" w:hanging="360"/>
      </w:pPr>
      <w:rPr>
        <w:rFonts w:cs="Times New Roman"/>
      </w:rPr>
    </w:lvl>
    <w:lvl w:ilvl="2" w:tentative="1">
      <w:start w:val="1"/>
      <w:numFmt w:val="lowerRoman"/>
      <w:lvlText w:val="%3."/>
      <w:lvlJc w:val="right"/>
      <w:pPr>
        <w:tabs>
          <w:tab w:val="num" w:pos="3888"/>
        </w:tabs>
        <w:ind w:left="3888" w:hanging="180"/>
      </w:pPr>
      <w:rPr>
        <w:rFonts w:cs="Times New Roman"/>
      </w:rPr>
    </w:lvl>
    <w:lvl w:ilvl="3" w:tentative="1">
      <w:start w:val="1"/>
      <w:numFmt w:val="decimal"/>
      <w:lvlText w:val="%4."/>
      <w:lvlJc w:val="left"/>
      <w:pPr>
        <w:tabs>
          <w:tab w:val="num" w:pos="4608"/>
        </w:tabs>
        <w:ind w:left="4608" w:hanging="360"/>
      </w:pPr>
      <w:rPr>
        <w:rFonts w:cs="Times New Roman"/>
      </w:rPr>
    </w:lvl>
    <w:lvl w:ilvl="4" w:tentative="1">
      <w:start w:val="1"/>
      <w:numFmt w:val="lowerLetter"/>
      <w:lvlText w:val="%5."/>
      <w:lvlJc w:val="left"/>
      <w:pPr>
        <w:tabs>
          <w:tab w:val="num" w:pos="5328"/>
        </w:tabs>
        <w:ind w:left="5328" w:hanging="360"/>
      </w:pPr>
      <w:rPr>
        <w:rFonts w:cs="Times New Roman"/>
      </w:rPr>
    </w:lvl>
    <w:lvl w:ilvl="5" w:tentative="1">
      <w:start w:val="1"/>
      <w:numFmt w:val="lowerRoman"/>
      <w:lvlText w:val="%6."/>
      <w:lvlJc w:val="right"/>
      <w:pPr>
        <w:tabs>
          <w:tab w:val="num" w:pos="6048"/>
        </w:tabs>
        <w:ind w:left="6048" w:hanging="180"/>
      </w:pPr>
      <w:rPr>
        <w:rFonts w:cs="Times New Roman"/>
      </w:rPr>
    </w:lvl>
    <w:lvl w:ilvl="6" w:tentative="1">
      <w:start w:val="1"/>
      <w:numFmt w:val="decimal"/>
      <w:lvlText w:val="%7."/>
      <w:lvlJc w:val="left"/>
      <w:pPr>
        <w:tabs>
          <w:tab w:val="num" w:pos="6768"/>
        </w:tabs>
        <w:ind w:left="6768" w:hanging="360"/>
      </w:pPr>
      <w:rPr>
        <w:rFonts w:cs="Times New Roman"/>
      </w:rPr>
    </w:lvl>
    <w:lvl w:ilvl="7" w:tentative="1">
      <w:start w:val="1"/>
      <w:numFmt w:val="lowerLetter"/>
      <w:lvlText w:val="%8."/>
      <w:lvlJc w:val="left"/>
      <w:pPr>
        <w:tabs>
          <w:tab w:val="num" w:pos="7488"/>
        </w:tabs>
        <w:ind w:left="7488" w:hanging="360"/>
      </w:pPr>
      <w:rPr>
        <w:rFonts w:cs="Times New Roman"/>
      </w:rPr>
    </w:lvl>
    <w:lvl w:ilvl="8" w:tentative="1">
      <w:start w:val="1"/>
      <w:numFmt w:val="lowerRoman"/>
      <w:lvlText w:val="%9."/>
      <w:lvlJc w:val="right"/>
      <w:pPr>
        <w:tabs>
          <w:tab w:val="num" w:pos="8208"/>
        </w:tabs>
        <w:ind w:left="8208" w:hanging="180"/>
      </w:pPr>
      <w:rPr>
        <w:rFonts w:cs="Times New Roman"/>
      </w:rPr>
    </w:lvl>
  </w:abstractNum>
  <w:num w:numId="1">
    <w:abstractNumId w:val="11"/>
  </w:num>
  <w:num w:numId="2">
    <w:abstractNumId w:val="4"/>
  </w:num>
  <w:num w:numId="3">
    <w:abstractNumId w:val="7"/>
  </w:num>
  <w:num w:numId="4">
    <w:abstractNumId w:val="11"/>
    <w:lvlOverride w:ilvl="0">
      <w:startOverride w:val="1"/>
    </w:lvlOverride>
  </w:num>
  <w:num w:numId="5">
    <w:abstractNumId w:val="13"/>
  </w:num>
  <w:num w:numId="6">
    <w:abstractNumId w:val="1"/>
  </w:num>
  <w:num w:numId="7">
    <w:abstractNumId w:val="5"/>
  </w:num>
  <w:num w:numId="8">
    <w:abstractNumId w:val="14"/>
  </w:num>
  <w:num w:numId="9">
    <w:abstractNumId w:val="12"/>
  </w:num>
  <w:num w:numId="10">
    <w:abstractNumId w:val="6"/>
  </w:num>
  <w:num w:numId="11">
    <w:abstractNumId w:val="8"/>
  </w:num>
  <w:num w:numId="12">
    <w:abstractNumId w:val="10"/>
  </w:num>
  <w:num w:numId="13">
    <w:abstractNumId w:val="2"/>
  </w:num>
  <w:num w:numId="14">
    <w:abstractNumId w:val="9"/>
  </w:num>
  <w:num w:numId="15">
    <w:abstractNumId w:val="3"/>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05"/>
    <w:rsid w:val="0000020B"/>
    <w:rsid w:val="00001013"/>
    <w:rsid w:val="000024A8"/>
    <w:rsid w:val="00003843"/>
    <w:rsid w:val="00004336"/>
    <w:rsid w:val="00004BBB"/>
    <w:rsid w:val="00005C06"/>
    <w:rsid w:val="00010603"/>
    <w:rsid w:val="0001120D"/>
    <w:rsid w:val="00012270"/>
    <w:rsid w:val="000131D3"/>
    <w:rsid w:val="0001414F"/>
    <w:rsid w:val="00014BC5"/>
    <w:rsid w:val="0001622C"/>
    <w:rsid w:val="0001728D"/>
    <w:rsid w:val="00021234"/>
    <w:rsid w:val="000230D1"/>
    <w:rsid w:val="00024DFB"/>
    <w:rsid w:val="00025895"/>
    <w:rsid w:val="00030B90"/>
    <w:rsid w:val="00032225"/>
    <w:rsid w:val="00032D71"/>
    <w:rsid w:val="00032E12"/>
    <w:rsid w:val="00035A50"/>
    <w:rsid w:val="00036039"/>
    <w:rsid w:val="0003621A"/>
    <w:rsid w:val="000366D4"/>
    <w:rsid w:val="0003673C"/>
    <w:rsid w:val="00036974"/>
    <w:rsid w:val="0003703E"/>
    <w:rsid w:val="00037F90"/>
    <w:rsid w:val="00041395"/>
    <w:rsid w:val="00041800"/>
    <w:rsid w:val="00041878"/>
    <w:rsid w:val="00043FDA"/>
    <w:rsid w:val="00050CAC"/>
    <w:rsid w:val="000518AE"/>
    <w:rsid w:val="0005382C"/>
    <w:rsid w:val="000538D6"/>
    <w:rsid w:val="0005436A"/>
    <w:rsid w:val="0005607C"/>
    <w:rsid w:val="00056B41"/>
    <w:rsid w:val="00056B93"/>
    <w:rsid w:val="00060E0E"/>
    <w:rsid w:val="0006239E"/>
    <w:rsid w:val="000628E7"/>
    <w:rsid w:val="00063063"/>
    <w:rsid w:val="000647EF"/>
    <w:rsid w:val="00066099"/>
    <w:rsid w:val="000709DA"/>
    <w:rsid w:val="0007257B"/>
    <w:rsid w:val="000750B4"/>
    <w:rsid w:val="0008280A"/>
    <w:rsid w:val="000850AA"/>
    <w:rsid w:val="00085532"/>
    <w:rsid w:val="00086A78"/>
    <w:rsid w:val="000875BF"/>
    <w:rsid w:val="00090B84"/>
    <w:rsid w:val="000939D8"/>
    <w:rsid w:val="0009431F"/>
    <w:rsid w:val="00094AC0"/>
    <w:rsid w:val="0009502C"/>
    <w:rsid w:val="00095890"/>
    <w:rsid w:val="00095C23"/>
    <w:rsid w:val="00096D8C"/>
    <w:rsid w:val="000974ED"/>
    <w:rsid w:val="000A0898"/>
    <w:rsid w:val="000A0EFD"/>
    <w:rsid w:val="000A39D2"/>
    <w:rsid w:val="000A475F"/>
    <w:rsid w:val="000A7525"/>
    <w:rsid w:val="000B030B"/>
    <w:rsid w:val="000C088B"/>
    <w:rsid w:val="000C0B65"/>
    <w:rsid w:val="000C0BDD"/>
    <w:rsid w:val="000C199E"/>
    <w:rsid w:val="000C3F73"/>
    <w:rsid w:val="000C76F9"/>
    <w:rsid w:val="000C7B81"/>
    <w:rsid w:val="000D028E"/>
    <w:rsid w:val="000D061A"/>
    <w:rsid w:val="000D1528"/>
    <w:rsid w:val="000D411F"/>
    <w:rsid w:val="000D5F1D"/>
    <w:rsid w:val="000E05FE"/>
    <w:rsid w:val="000E0790"/>
    <w:rsid w:val="000E07BD"/>
    <w:rsid w:val="000E1AE1"/>
    <w:rsid w:val="000E3D42"/>
    <w:rsid w:val="000E41CD"/>
    <w:rsid w:val="000E5C6D"/>
    <w:rsid w:val="000E7B7A"/>
    <w:rsid w:val="000F06AC"/>
    <w:rsid w:val="000F16BD"/>
    <w:rsid w:val="0010308D"/>
    <w:rsid w:val="00103EA0"/>
    <w:rsid w:val="001053ED"/>
    <w:rsid w:val="001058E6"/>
    <w:rsid w:val="00107420"/>
    <w:rsid w:val="00115976"/>
    <w:rsid w:val="00117233"/>
    <w:rsid w:val="00117C40"/>
    <w:rsid w:val="00120ACE"/>
    <w:rsid w:val="00122BD5"/>
    <w:rsid w:val="0012612A"/>
    <w:rsid w:val="00127879"/>
    <w:rsid w:val="00130354"/>
    <w:rsid w:val="00130CD0"/>
    <w:rsid w:val="001315AB"/>
    <w:rsid w:val="00133419"/>
    <w:rsid w:val="00133F79"/>
    <w:rsid w:val="00134263"/>
    <w:rsid w:val="00134B85"/>
    <w:rsid w:val="00135721"/>
    <w:rsid w:val="00135DB0"/>
    <w:rsid w:val="001378BF"/>
    <w:rsid w:val="00140768"/>
    <w:rsid w:val="00140A8B"/>
    <w:rsid w:val="001412D8"/>
    <w:rsid w:val="00141F27"/>
    <w:rsid w:val="00142210"/>
    <w:rsid w:val="00142731"/>
    <w:rsid w:val="001467CC"/>
    <w:rsid w:val="00147B48"/>
    <w:rsid w:val="00150260"/>
    <w:rsid w:val="00153448"/>
    <w:rsid w:val="00153B48"/>
    <w:rsid w:val="00154BEB"/>
    <w:rsid w:val="00154DF5"/>
    <w:rsid w:val="0015510B"/>
    <w:rsid w:val="00155713"/>
    <w:rsid w:val="001566DF"/>
    <w:rsid w:val="00160887"/>
    <w:rsid w:val="001620C4"/>
    <w:rsid w:val="00170608"/>
    <w:rsid w:val="00172BE2"/>
    <w:rsid w:val="00173982"/>
    <w:rsid w:val="00175AA8"/>
    <w:rsid w:val="00181B1B"/>
    <w:rsid w:val="00181BE3"/>
    <w:rsid w:val="00183FE3"/>
    <w:rsid w:val="00184B49"/>
    <w:rsid w:val="00186C72"/>
    <w:rsid w:val="00186D45"/>
    <w:rsid w:val="00191672"/>
    <w:rsid w:val="00191CAD"/>
    <w:rsid w:val="00194094"/>
    <w:rsid w:val="00194A66"/>
    <w:rsid w:val="001961CB"/>
    <w:rsid w:val="00196C95"/>
    <w:rsid w:val="00196F68"/>
    <w:rsid w:val="001A0AD0"/>
    <w:rsid w:val="001A2EC0"/>
    <w:rsid w:val="001A502E"/>
    <w:rsid w:val="001B042A"/>
    <w:rsid w:val="001B4F4F"/>
    <w:rsid w:val="001B7E01"/>
    <w:rsid w:val="001C0594"/>
    <w:rsid w:val="001C0BBC"/>
    <w:rsid w:val="001C1547"/>
    <w:rsid w:val="001C1A61"/>
    <w:rsid w:val="001C2DB1"/>
    <w:rsid w:val="001C3527"/>
    <w:rsid w:val="001C43A5"/>
    <w:rsid w:val="001D1685"/>
    <w:rsid w:val="001D2346"/>
    <w:rsid w:val="001D457C"/>
    <w:rsid w:val="001D45A1"/>
    <w:rsid w:val="001D6BCF"/>
    <w:rsid w:val="001D706C"/>
    <w:rsid w:val="001D7616"/>
    <w:rsid w:val="001E01CA"/>
    <w:rsid w:val="001E073B"/>
    <w:rsid w:val="001E1C42"/>
    <w:rsid w:val="001E248C"/>
    <w:rsid w:val="001E34EC"/>
    <w:rsid w:val="001E7772"/>
    <w:rsid w:val="001F186F"/>
    <w:rsid w:val="00200732"/>
    <w:rsid w:val="002015BC"/>
    <w:rsid w:val="0020273C"/>
    <w:rsid w:val="002033C4"/>
    <w:rsid w:val="00205991"/>
    <w:rsid w:val="00205C8A"/>
    <w:rsid w:val="002065AC"/>
    <w:rsid w:val="00206805"/>
    <w:rsid w:val="0020764A"/>
    <w:rsid w:val="002104A4"/>
    <w:rsid w:val="0021074D"/>
    <w:rsid w:val="00211C68"/>
    <w:rsid w:val="002126A4"/>
    <w:rsid w:val="0022291F"/>
    <w:rsid w:val="0023066E"/>
    <w:rsid w:val="0023315F"/>
    <w:rsid w:val="00234A79"/>
    <w:rsid w:val="002461D9"/>
    <w:rsid w:val="002465F9"/>
    <w:rsid w:val="00246787"/>
    <w:rsid w:val="00250859"/>
    <w:rsid w:val="00252957"/>
    <w:rsid w:val="002529D2"/>
    <w:rsid w:val="00253A4F"/>
    <w:rsid w:val="00253E00"/>
    <w:rsid w:val="0025749B"/>
    <w:rsid w:val="00260BE6"/>
    <w:rsid w:val="00263CBB"/>
    <w:rsid w:val="00265E42"/>
    <w:rsid w:val="0026661C"/>
    <w:rsid w:val="002712F5"/>
    <w:rsid w:val="00275CF5"/>
    <w:rsid w:val="00276D8F"/>
    <w:rsid w:val="00277D40"/>
    <w:rsid w:val="00280A09"/>
    <w:rsid w:val="00280C2B"/>
    <w:rsid w:val="0028301F"/>
    <w:rsid w:val="00285017"/>
    <w:rsid w:val="00285402"/>
    <w:rsid w:val="00285A69"/>
    <w:rsid w:val="0028655F"/>
    <w:rsid w:val="00286CB7"/>
    <w:rsid w:val="00290CEF"/>
    <w:rsid w:val="00292736"/>
    <w:rsid w:val="00293CB2"/>
    <w:rsid w:val="002945C4"/>
    <w:rsid w:val="002A1BD2"/>
    <w:rsid w:val="002A20F3"/>
    <w:rsid w:val="002A2D2E"/>
    <w:rsid w:val="002B0E69"/>
    <w:rsid w:val="002B0ED8"/>
    <w:rsid w:val="002B1A25"/>
    <w:rsid w:val="002B1D1C"/>
    <w:rsid w:val="002B1E36"/>
    <w:rsid w:val="002B39F1"/>
    <w:rsid w:val="002B48AA"/>
    <w:rsid w:val="002B684D"/>
    <w:rsid w:val="002C00E8"/>
    <w:rsid w:val="002C0E39"/>
    <w:rsid w:val="002C1741"/>
    <w:rsid w:val="002C481B"/>
    <w:rsid w:val="002C4ADD"/>
    <w:rsid w:val="002D1DB3"/>
    <w:rsid w:val="002D41A8"/>
    <w:rsid w:val="002D5E20"/>
    <w:rsid w:val="002D608F"/>
    <w:rsid w:val="002D7628"/>
    <w:rsid w:val="002E09D9"/>
    <w:rsid w:val="002E23BE"/>
    <w:rsid w:val="002E28BF"/>
    <w:rsid w:val="002E3A6A"/>
    <w:rsid w:val="002E490C"/>
    <w:rsid w:val="002E5218"/>
    <w:rsid w:val="002E6191"/>
    <w:rsid w:val="002E7850"/>
    <w:rsid w:val="002F0352"/>
    <w:rsid w:val="002F18E9"/>
    <w:rsid w:val="002F1F80"/>
    <w:rsid w:val="002F22EE"/>
    <w:rsid w:val="002F46EE"/>
    <w:rsid w:val="002F4EA0"/>
    <w:rsid w:val="002F516F"/>
    <w:rsid w:val="002F5501"/>
    <w:rsid w:val="002F554D"/>
    <w:rsid w:val="002F7899"/>
    <w:rsid w:val="00302F43"/>
    <w:rsid w:val="00302FBA"/>
    <w:rsid w:val="0030759B"/>
    <w:rsid w:val="003100A2"/>
    <w:rsid w:val="00310791"/>
    <w:rsid w:val="003124C0"/>
    <w:rsid w:val="0031266E"/>
    <w:rsid w:val="00312CF8"/>
    <w:rsid w:val="00315CFD"/>
    <w:rsid w:val="003163A8"/>
    <w:rsid w:val="00317F64"/>
    <w:rsid w:val="003238A6"/>
    <w:rsid w:val="0032526A"/>
    <w:rsid w:val="00327AA8"/>
    <w:rsid w:val="00331336"/>
    <w:rsid w:val="00335657"/>
    <w:rsid w:val="003405C8"/>
    <w:rsid w:val="00343749"/>
    <w:rsid w:val="00347363"/>
    <w:rsid w:val="00347F43"/>
    <w:rsid w:val="003518F7"/>
    <w:rsid w:val="003521C8"/>
    <w:rsid w:val="00352833"/>
    <w:rsid w:val="003537AD"/>
    <w:rsid w:val="00353BEB"/>
    <w:rsid w:val="003546B1"/>
    <w:rsid w:val="0035586D"/>
    <w:rsid w:val="00355880"/>
    <w:rsid w:val="003563B5"/>
    <w:rsid w:val="003578C6"/>
    <w:rsid w:val="00360121"/>
    <w:rsid w:val="003617DB"/>
    <w:rsid w:val="00363CDB"/>
    <w:rsid w:val="00364591"/>
    <w:rsid w:val="003660ED"/>
    <w:rsid w:val="003664B2"/>
    <w:rsid w:val="0037080D"/>
    <w:rsid w:val="00372DB9"/>
    <w:rsid w:val="0037353C"/>
    <w:rsid w:val="0037427C"/>
    <w:rsid w:val="003746EB"/>
    <w:rsid w:val="003758C8"/>
    <w:rsid w:val="00381283"/>
    <w:rsid w:val="0038345B"/>
    <w:rsid w:val="003849ED"/>
    <w:rsid w:val="003850EE"/>
    <w:rsid w:val="00387537"/>
    <w:rsid w:val="00387BE8"/>
    <w:rsid w:val="00390364"/>
    <w:rsid w:val="003910DB"/>
    <w:rsid w:val="00391793"/>
    <w:rsid w:val="00391E58"/>
    <w:rsid w:val="00395C5C"/>
    <w:rsid w:val="00397405"/>
    <w:rsid w:val="00397A5B"/>
    <w:rsid w:val="003A0C37"/>
    <w:rsid w:val="003A45A3"/>
    <w:rsid w:val="003A6E39"/>
    <w:rsid w:val="003B0550"/>
    <w:rsid w:val="003B06F1"/>
    <w:rsid w:val="003B1746"/>
    <w:rsid w:val="003B2A7E"/>
    <w:rsid w:val="003B379E"/>
    <w:rsid w:val="003B3F02"/>
    <w:rsid w:val="003B650E"/>
    <w:rsid w:val="003B694F"/>
    <w:rsid w:val="003B741C"/>
    <w:rsid w:val="003C2854"/>
    <w:rsid w:val="003C3228"/>
    <w:rsid w:val="003C3B5A"/>
    <w:rsid w:val="003C5B7A"/>
    <w:rsid w:val="003C6B9B"/>
    <w:rsid w:val="003C78DD"/>
    <w:rsid w:val="003D093C"/>
    <w:rsid w:val="003D3836"/>
    <w:rsid w:val="003D414D"/>
    <w:rsid w:val="003D551F"/>
    <w:rsid w:val="003E0F9F"/>
    <w:rsid w:val="003E1E72"/>
    <w:rsid w:val="003E3DE5"/>
    <w:rsid w:val="003E5021"/>
    <w:rsid w:val="003E582C"/>
    <w:rsid w:val="003E5E91"/>
    <w:rsid w:val="003E67F4"/>
    <w:rsid w:val="003E6EC3"/>
    <w:rsid w:val="003F171C"/>
    <w:rsid w:val="003F6250"/>
    <w:rsid w:val="003F6CF4"/>
    <w:rsid w:val="004021F7"/>
    <w:rsid w:val="00403154"/>
    <w:rsid w:val="00403F11"/>
    <w:rsid w:val="00404A28"/>
    <w:rsid w:val="0040568D"/>
    <w:rsid w:val="00406122"/>
    <w:rsid w:val="0041111B"/>
    <w:rsid w:val="00412FC5"/>
    <w:rsid w:val="00414138"/>
    <w:rsid w:val="0041660B"/>
    <w:rsid w:val="00416F6F"/>
    <w:rsid w:val="004176AE"/>
    <w:rsid w:val="004205F2"/>
    <w:rsid w:val="00422276"/>
    <w:rsid w:val="004242F1"/>
    <w:rsid w:val="0042692F"/>
    <w:rsid w:val="00436388"/>
    <w:rsid w:val="00436C17"/>
    <w:rsid w:val="004370B5"/>
    <w:rsid w:val="004375A9"/>
    <w:rsid w:val="00437BAD"/>
    <w:rsid w:val="004415EC"/>
    <w:rsid w:val="00444141"/>
    <w:rsid w:val="00445A00"/>
    <w:rsid w:val="00445F31"/>
    <w:rsid w:val="00446F78"/>
    <w:rsid w:val="0044735A"/>
    <w:rsid w:val="004478CE"/>
    <w:rsid w:val="00451B0F"/>
    <w:rsid w:val="00453F25"/>
    <w:rsid w:val="00454C90"/>
    <w:rsid w:val="00454E7E"/>
    <w:rsid w:val="004554EE"/>
    <w:rsid w:val="00455657"/>
    <w:rsid w:val="00455BE1"/>
    <w:rsid w:val="00456756"/>
    <w:rsid w:val="00457BFD"/>
    <w:rsid w:val="004648FD"/>
    <w:rsid w:val="00464D86"/>
    <w:rsid w:val="00465A46"/>
    <w:rsid w:val="00465DED"/>
    <w:rsid w:val="004666D7"/>
    <w:rsid w:val="004670D8"/>
    <w:rsid w:val="004674A9"/>
    <w:rsid w:val="0047130B"/>
    <w:rsid w:val="00472C37"/>
    <w:rsid w:val="0047346B"/>
    <w:rsid w:val="0047495C"/>
    <w:rsid w:val="00475657"/>
    <w:rsid w:val="00475EF1"/>
    <w:rsid w:val="00476DA9"/>
    <w:rsid w:val="00477F76"/>
    <w:rsid w:val="004801D0"/>
    <w:rsid w:val="00481001"/>
    <w:rsid w:val="00482FDC"/>
    <w:rsid w:val="004830C4"/>
    <w:rsid w:val="00484DC0"/>
    <w:rsid w:val="00485AF6"/>
    <w:rsid w:val="0048626C"/>
    <w:rsid w:val="00490406"/>
    <w:rsid w:val="00490D6E"/>
    <w:rsid w:val="004916FB"/>
    <w:rsid w:val="00493866"/>
    <w:rsid w:val="00493DF8"/>
    <w:rsid w:val="00495143"/>
    <w:rsid w:val="004957EC"/>
    <w:rsid w:val="00495A81"/>
    <w:rsid w:val="004A0ADC"/>
    <w:rsid w:val="004A7F1B"/>
    <w:rsid w:val="004B0DF4"/>
    <w:rsid w:val="004B2CF1"/>
    <w:rsid w:val="004B342F"/>
    <w:rsid w:val="004B4868"/>
    <w:rsid w:val="004B4C3E"/>
    <w:rsid w:val="004B5EA9"/>
    <w:rsid w:val="004B73DF"/>
    <w:rsid w:val="004B7E67"/>
    <w:rsid w:val="004B7E9F"/>
    <w:rsid w:val="004C0B92"/>
    <w:rsid w:val="004C0EEB"/>
    <w:rsid w:val="004C1BA8"/>
    <w:rsid w:val="004C2DCD"/>
    <w:rsid w:val="004C2EE3"/>
    <w:rsid w:val="004C4A41"/>
    <w:rsid w:val="004C63DB"/>
    <w:rsid w:val="004C7563"/>
    <w:rsid w:val="004C7A62"/>
    <w:rsid w:val="004D23A6"/>
    <w:rsid w:val="004D324F"/>
    <w:rsid w:val="004D4892"/>
    <w:rsid w:val="004D4F3D"/>
    <w:rsid w:val="004D51B8"/>
    <w:rsid w:val="004E0BD0"/>
    <w:rsid w:val="004E183F"/>
    <w:rsid w:val="004E4A22"/>
    <w:rsid w:val="004E55CB"/>
    <w:rsid w:val="004E6D82"/>
    <w:rsid w:val="004E7066"/>
    <w:rsid w:val="004F1694"/>
    <w:rsid w:val="004F1748"/>
    <w:rsid w:val="004F1ECA"/>
    <w:rsid w:val="004F292B"/>
    <w:rsid w:val="004F3169"/>
    <w:rsid w:val="004F3A56"/>
    <w:rsid w:val="004F5C7E"/>
    <w:rsid w:val="004F7DC0"/>
    <w:rsid w:val="00500EE0"/>
    <w:rsid w:val="00501230"/>
    <w:rsid w:val="00501243"/>
    <w:rsid w:val="005021B3"/>
    <w:rsid w:val="00503553"/>
    <w:rsid w:val="00503EDB"/>
    <w:rsid w:val="00504C0F"/>
    <w:rsid w:val="00510156"/>
    <w:rsid w:val="00511968"/>
    <w:rsid w:val="00513895"/>
    <w:rsid w:val="00514D99"/>
    <w:rsid w:val="0051520F"/>
    <w:rsid w:val="005163FB"/>
    <w:rsid w:val="00521131"/>
    <w:rsid w:val="005227AA"/>
    <w:rsid w:val="005232F7"/>
    <w:rsid w:val="00523538"/>
    <w:rsid w:val="00525B1B"/>
    <w:rsid w:val="00527293"/>
    <w:rsid w:val="00531A38"/>
    <w:rsid w:val="00532228"/>
    <w:rsid w:val="00533011"/>
    <w:rsid w:val="00536F1F"/>
    <w:rsid w:val="005401F9"/>
    <w:rsid w:val="005405B9"/>
    <w:rsid w:val="00540DAC"/>
    <w:rsid w:val="00541374"/>
    <w:rsid w:val="00541F80"/>
    <w:rsid w:val="00543307"/>
    <w:rsid w:val="005440C0"/>
    <w:rsid w:val="00546A02"/>
    <w:rsid w:val="00546ED6"/>
    <w:rsid w:val="005473CA"/>
    <w:rsid w:val="005515D0"/>
    <w:rsid w:val="005519C6"/>
    <w:rsid w:val="00553B08"/>
    <w:rsid w:val="00554818"/>
    <w:rsid w:val="00554EAE"/>
    <w:rsid w:val="005557F3"/>
    <w:rsid w:val="00555D65"/>
    <w:rsid w:val="0055614C"/>
    <w:rsid w:val="005561FB"/>
    <w:rsid w:val="00561629"/>
    <w:rsid w:val="00561BE3"/>
    <w:rsid w:val="00562B43"/>
    <w:rsid w:val="00564031"/>
    <w:rsid w:val="00564BFF"/>
    <w:rsid w:val="00564E01"/>
    <w:rsid w:val="00564E7A"/>
    <w:rsid w:val="0056605A"/>
    <w:rsid w:val="00566D06"/>
    <w:rsid w:val="00571087"/>
    <w:rsid w:val="00572067"/>
    <w:rsid w:val="005724DA"/>
    <w:rsid w:val="00574CF9"/>
    <w:rsid w:val="00574EDE"/>
    <w:rsid w:val="00581797"/>
    <w:rsid w:val="0058223B"/>
    <w:rsid w:val="0058400B"/>
    <w:rsid w:val="00587D0D"/>
    <w:rsid w:val="00590BA6"/>
    <w:rsid w:val="00591D94"/>
    <w:rsid w:val="00597B97"/>
    <w:rsid w:val="005A01CB"/>
    <w:rsid w:val="005A04B7"/>
    <w:rsid w:val="005A09BC"/>
    <w:rsid w:val="005A497F"/>
    <w:rsid w:val="005A5CAA"/>
    <w:rsid w:val="005A696D"/>
    <w:rsid w:val="005A72AC"/>
    <w:rsid w:val="005B04D3"/>
    <w:rsid w:val="005B6D1C"/>
    <w:rsid w:val="005B7AA7"/>
    <w:rsid w:val="005B7E87"/>
    <w:rsid w:val="005C019A"/>
    <w:rsid w:val="005C42C4"/>
    <w:rsid w:val="005C4821"/>
    <w:rsid w:val="005C5572"/>
    <w:rsid w:val="005C579B"/>
    <w:rsid w:val="005C61CA"/>
    <w:rsid w:val="005C64C4"/>
    <w:rsid w:val="005D19D0"/>
    <w:rsid w:val="005D5A38"/>
    <w:rsid w:val="005D6126"/>
    <w:rsid w:val="005E0418"/>
    <w:rsid w:val="005E1365"/>
    <w:rsid w:val="005E14C2"/>
    <w:rsid w:val="005E18A8"/>
    <w:rsid w:val="005E38AF"/>
    <w:rsid w:val="005E5A57"/>
    <w:rsid w:val="005E5ADA"/>
    <w:rsid w:val="005E60CB"/>
    <w:rsid w:val="005E63DF"/>
    <w:rsid w:val="005E723B"/>
    <w:rsid w:val="005E7619"/>
    <w:rsid w:val="005E78C0"/>
    <w:rsid w:val="005E7B98"/>
    <w:rsid w:val="005F129B"/>
    <w:rsid w:val="005F3414"/>
    <w:rsid w:val="005F369B"/>
    <w:rsid w:val="005F3793"/>
    <w:rsid w:val="005F461C"/>
    <w:rsid w:val="005F47D5"/>
    <w:rsid w:val="005F47F4"/>
    <w:rsid w:val="005F4AD7"/>
    <w:rsid w:val="005F585D"/>
    <w:rsid w:val="005F66E7"/>
    <w:rsid w:val="005F7138"/>
    <w:rsid w:val="00600157"/>
    <w:rsid w:val="006002EB"/>
    <w:rsid w:val="00600400"/>
    <w:rsid w:val="00604A50"/>
    <w:rsid w:val="0060639B"/>
    <w:rsid w:val="00607BA5"/>
    <w:rsid w:val="00607F20"/>
    <w:rsid w:val="0061180A"/>
    <w:rsid w:val="006129F1"/>
    <w:rsid w:val="00613ADB"/>
    <w:rsid w:val="00613F43"/>
    <w:rsid w:val="006158D4"/>
    <w:rsid w:val="00615A30"/>
    <w:rsid w:val="0061624E"/>
    <w:rsid w:val="00617FCB"/>
    <w:rsid w:val="00620615"/>
    <w:rsid w:val="00621657"/>
    <w:rsid w:val="006217C9"/>
    <w:rsid w:val="00623A84"/>
    <w:rsid w:val="0062594A"/>
    <w:rsid w:val="006269E0"/>
    <w:rsid w:val="00626EB6"/>
    <w:rsid w:val="00631A0F"/>
    <w:rsid w:val="00632BFB"/>
    <w:rsid w:val="0063304F"/>
    <w:rsid w:val="006342BC"/>
    <w:rsid w:val="00635ECA"/>
    <w:rsid w:val="006407C6"/>
    <w:rsid w:val="00641147"/>
    <w:rsid w:val="00642386"/>
    <w:rsid w:val="00644000"/>
    <w:rsid w:val="006469C2"/>
    <w:rsid w:val="00650C3B"/>
    <w:rsid w:val="00650F97"/>
    <w:rsid w:val="00655D03"/>
    <w:rsid w:val="00656FB9"/>
    <w:rsid w:val="006576E4"/>
    <w:rsid w:val="006611D7"/>
    <w:rsid w:val="0066255E"/>
    <w:rsid w:val="00662B12"/>
    <w:rsid w:val="00662D6A"/>
    <w:rsid w:val="00663883"/>
    <w:rsid w:val="00664C37"/>
    <w:rsid w:val="00666E71"/>
    <w:rsid w:val="00667842"/>
    <w:rsid w:val="006711FF"/>
    <w:rsid w:val="00672005"/>
    <w:rsid w:val="006737A7"/>
    <w:rsid w:val="00674595"/>
    <w:rsid w:val="00676A6D"/>
    <w:rsid w:val="006810A8"/>
    <w:rsid w:val="006813D8"/>
    <w:rsid w:val="00683388"/>
    <w:rsid w:val="00683F84"/>
    <w:rsid w:val="0068646B"/>
    <w:rsid w:val="006864CC"/>
    <w:rsid w:val="006877C8"/>
    <w:rsid w:val="006909B6"/>
    <w:rsid w:val="0069192B"/>
    <w:rsid w:val="00691CA9"/>
    <w:rsid w:val="00694767"/>
    <w:rsid w:val="00696432"/>
    <w:rsid w:val="006964EC"/>
    <w:rsid w:val="00696627"/>
    <w:rsid w:val="00696F61"/>
    <w:rsid w:val="006A02A0"/>
    <w:rsid w:val="006A11E1"/>
    <w:rsid w:val="006A2A28"/>
    <w:rsid w:val="006A2B65"/>
    <w:rsid w:val="006A58B5"/>
    <w:rsid w:val="006A6A81"/>
    <w:rsid w:val="006A7DB0"/>
    <w:rsid w:val="006B3328"/>
    <w:rsid w:val="006B38D6"/>
    <w:rsid w:val="006C3ECC"/>
    <w:rsid w:val="006C4F00"/>
    <w:rsid w:val="006C7E09"/>
    <w:rsid w:val="006D0BCB"/>
    <w:rsid w:val="006D0C35"/>
    <w:rsid w:val="006D1B87"/>
    <w:rsid w:val="006D4713"/>
    <w:rsid w:val="006D6616"/>
    <w:rsid w:val="006D7F5F"/>
    <w:rsid w:val="006E23F1"/>
    <w:rsid w:val="006E2A54"/>
    <w:rsid w:val="006E2CF7"/>
    <w:rsid w:val="006E3201"/>
    <w:rsid w:val="006E320A"/>
    <w:rsid w:val="006E4D64"/>
    <w:rsid w:val="006E68D4"/>
    <w:rsid w:val="006E6EC1"/>
    <w:rsid w:val="006F01C5"/>
    <w:rsid w:val="006F0A92"/>
    <w:rsid w:val="006F0DE9"/>
    <w:rsid w:val="006F19AC"/>
    <w:rsid w:val="006F567D"/>
    <w:rsid w:val="006F6979"/>
    <w:rsid w:val="006F6A45"/>
    <w:rsid w:val="006F7393"/>
    <w:rsid w:val="006F74F6"/>
    <w:rsid w:val="00700533"/>
    <w:rsid w:val="00700B05"/>
    <w:rsid w:val="00700ED7"/>
    <w:rsid w:val="007011C1"/>
    <w:rsid w:val="0070224F"/>
    <w:rsid w:val="00704964"/>
    <w:rsid w:val="0070603A"/>
    <w:rsid w:val="00706C41"/>
    <w:rsid w:val="007101F0"/>
    <w:rsid w:val="00710B68"/>
    <w:rsid w:val="007115F7"/>
    <w:rsid w:val="00711753"/>
    <w:rsid w:val="00713532"/>
    <w:rsid w:val="007147E5"/>
    <w:rsid w:val="00714E13"/>
    <w:rsid w:val="0071687C"/>
    <w:rsid w:val="007169B8"/>
    <w:rsid w:val="007200CD"/>
    <w:rsid w:val="00720158"/>
    <w:rsid w:val="00722435"/>
    <w:rsid w:val="007238E5"/>
    <w:rsid w:val="00723C59"/>
    <w:rsid w:val="007240E7"/>
    <w:rsid w:val="00724A41"/>
    <w:rsid w:val="00727BA2"/>
    <w:rsid w:val="00730AA1"/>
    <w:rsid w:val="007311E9"/>
    <w:rsid w:val="00731594"/>
    <w:rsid w:val="007322CA"/>
    <w:rsid w:val="0073384A"/>
    <w:rsid w:val="007347C6"/>
    <w:rsid w:val="0073665E"/>
    <w:rsid w:val="00740587"/>
    <w:rsid w:val="00741796"/>
    <w:rsid w:val="00742257"/>
    <w:rsid w:val="007435EB"/>
    <w:rsid w:val="00743BB1"/>
    <w:rsid w:val="007445B5"/>
    <w:rsid w:val="00746B06"/>
    <w:rsid w:val="007542A5"/>
    <w:rsid w:val="00754EA0"/>
    <w:rsid w:val="00755C0C"/>
    <w:rsid w:val="00762AFC"/>
    <w:rsid w:val="0076371D"/>
    <w:rsid w:val="00764644"/>
    <w:rsid w:val="00764AD0"/>
    <w:rsid w:val="0077169D"/>
    <w:rsid w:val="00773DF7"/>
    <w:rsid w:val="00774056"/>
    <w:rsid w:val="00774078"/>
    <w:rsid w:val="007751D8"/>
    <w:rsid w:val="00775938"/>
    <w:rsid w:val="00775D83"/>
    <w:rsid w:val="00777990"/>
    <w:rsid w:val="00777A05"/>
    <w:rsid w:val="00780EB9"/>
    <w:rsid w:val="00781426"/>
    <w:rsid w:val="0078182C"/>
    <w:rsid w:val="00781A3D"/>
    <w:rsid w:val="00782B6D"/>
    <w:rsid w:val="00785689"/>
    <w:rsid w:val="00785C8F"/>
    <w:rsid w:val="007861F8"/>
    <w:rsid w:val="00787058"/>
    <w:rsid w:val="007873FD"/>
    <w:rsid w:val="00790688"/>
    <w:rsid w:val="00790F22"/>
    <w:rsid w:val="00791405"/>
    <w:rsid w:val="00792430"/>
    <w:rsid w:val="007938C4"/>
    <w:rsid w:val="00794B6F"/>
    <w:rsid w:val="007950FC"/>
    <w:rsid w:val="007961A8"/>
    <w:rsid w:val="007971B9"/>
    <w:rsid w:val="0079739D"/>
    <w:rsid w:val="0079754B"/>
    <w:rsid w:val="007A0F6C"/>
    <w:rsid w:val="007A1229"/>
    <w:rsid w:val="007A1E6D"/>
    <w:rsid w:val="007A2ECC"/>
    <w:rsid w:val="007A4D68"/>
    <w:rsid w:val="007A5137"/>
    <w:rsid w:val="007A6D93"/>
    <w:rsid w:val="007A7F47"/>
    <w:rsid w:val="007B055F"/>
    <w:rsid w:val="007B06EC"/>
    <w:rsid w:val="007B0EB2"/>
    <w:rsid w:val="007B1ACD"/>
    <w:rsid w:val="007B2267"/>
    <w:rsid w:val="007B3882"/>
    <w:rsid w:val="007B4B9E"/>
    <w:rsid w:val="007B5589"/>
    <w:rsid w:val="007B57F4"/>
    <w:rsid w:val="007B6044"/>
    <w:rsid w:val="007B74ED"/>
    <w:rsid w:val="007B7621"/>
    <w:rsid w:val="007B76F5"/>
    <w:rsid w:val="007B7F01"/>
    <w:rsid w:val="007C0B71"/>
    <w:rsid w:val="007C15FA"/>
    <w:rsid w:val="007C28FB"/>
    <w:rsid w:val="007C4377"/>
    <w:rsid w:val="007C6BC9"/>
    <w:rsid w:val="007D376A"/>
    <w:rsid w:val="007D428F"/>
    <w:rsid w:val="007D4AE5"/>
    <w:rsid w:val="007D6A77"/>
    <w:rsid w:val="007D6C9D"/>
    <w:rsid w:val="007E028A"/>
    <w:rsid w:val="007E30DB"/>
    <w:rsid w:val="007E5BF8"/>
    <w:rsid w:val="007E691A"/>
    <w:rsid w:val="007E72A9"/>
    <w:rsid w:val="007F51F3"/>
    <w:rsid w:val="007F585A"/>
    <w:rsid w:val="007F6A02"/>
    <w:rsid w:val="00801502"/>
    <w:rsid w:val="00801A23"/>
    <w:rsid w:val="00801FB8"/>
    <w:rsid w:val="0080248D"/>
    <w:rsid w:val="00803B7D"/>
    <w:rsid w:val="00810B6F"/>
    <w:rsid w:val="00812EC1"/>
    <w:rsid w:val="008136E2"/>
    <w:rsid w:val="008136F0"/>
    <w:rsid w:val="008138C1"/>
    <w:rsid w:val="00814066"/>
    <w:rsid w:val="00814A74"/>
    <w:rsid w:val="00814D1C"/>
    <w:rsid w:val="008172CF"/>
    <w:rsid w:val="00822A80"/>
    <w:rsid w:val="00822CE0"/>
    <w:rsid w:val="00824143"/>
    <w:rsid w:val="00824401"/>
    <w:rsid w:val="0082495A"/>
    <w:rsid w:val="0082561B"/>
    <w:rsid w:val="00827067"/>
    <w:rsid w:val="00827232"/>
    <w:rsid w:val="00830F30"/>
    <w:rsid w:val="00831E0C"/>
    <w:rsid w:val="008327F2"/>
    <w:rsid w:val="00832C23"/>
    <w:rsid w:val="0083370E"/>
    <w:rsid w:val="008353E0"/>
    <w:rsid w:val="00835FE6"/>
    <w:rsid w:val="008401AD"/>
    <w:rsid w:val="00840E27"/>
    <w:rsid w:val="0084125E"/>
    <w:rsid w:val="00841AB1"/>
    <w:rsid w:val="008420DE"/>
    <w:rsid w:val="00843DE5"/>
    <w:rsid w:val="008464C8"/>
    <w:rsid w:val="00846D9D"/>
    <w:rsid w:val="00851881"/>
    <w:rsid w:val="00852A91"/>
    <w:rsid w:val="008533E9"/>
    <w:rsid w:val="008534B9"/>
    <w:rsid w:val="0085360E"/>
    <w:rsid w:val="00857C79"/>
    <w:rsid w:val="00860847"/>
    <w:rsid w:val="00862009"/>
    <w:rsid w:val="00862D94"/>
    <w:rsid w:val="00863666"/>
    <w:rsid w:val="0086418A"/>
    <w:rsid w:val="0086466D"/>
    <w:rsid w:val="00864747"/>
    <w:rsid w:val="00866992"/>
    <w:rsid w:val="00870407"/>
    <w:rsid w:val="00872C36"/>
    <w:rsid w:val="00874176"/>
    <w:rsid w:val="00874822"/>
    <w:rsid w:val="00875502"/>
    <w:rsid w:val="0087573E"/>
    <w:rsid w:val="0087792A"/>
    <w:rsid w:val="008814DB"/>
    <w:rsid w:val="00881E58"/>
    <w:rsid w:val="008823B5"/>
    <w:rsid w:val="00882749"/>
    <w:rsid w:val="00882D23"/>
    <w:rsid w:val="00883BAD"/>
    <w:rsid w:val="0088480E"/>
    <w:rsid w:val="00887CC9"/>
    <w:rsid w:val="00891BF2"/>
    <w:rsid w:val="00892924"/>
    <w:rsid w:val="008930B7"/>
    <w:rsid w:val="008955AC"/>
    <w:rsid w:val="00895E69"/>
    <w:rsid w:val="008A0898"/>
    <w:rsid w:val="008A2AA0"/>
    <w:rsid w:val="008A3686"/>
    <w:rsid w:val="008A371C"/>
    <w:rsid w:val="008A5391"/>
    <w:rsid w:val="008A5FC7"/>
    <w:rsid w:val="008A7635"/>
    <w:rsid w:val="008B0BB3"/>
    <w:rsid w:val="008B3D15"/>
    <w:rsid w:val="008B5BB7"/>
    <w:rsid w:val="008C0177"/>
    <w:rsid w:val="008C1CC9"/>
    <w:rsid w:val="008C2198"/>
    <w:rsid w:val="008C2489"/>
    <w:rsid w:val="008C34CE"/>
    <w:rsid w:val="008C3736"/>
    <w:rsid w:val="008C3A8F"/>
    <w:rsid w:val="008C5103"/>
    <w:rsid w:val="008C5456"/>
    <w:rsid w:val="008C68F1"/>
    <w:rsid w:val="008D066B"/>
    <w:rsid w:val="008D3087"/>
    <w:rsid w:val="008D5FA2"/>
    <w:rsid w:val="008D6D0A"/>
    <w:rsid w:val="008E04FF"/>
    <w:rsid w:val="008E07EA"/>
    <w:rsid w:val="008E103D"/>
    <w:rsid w:val="008E131E"/>
    <w:rsid w:val="008E2305"/>
    <w:rsid w:val="008E275F"/>
    <w:rsid w:val="008E3C55"/>
    <w:rsid w:val="008E3D5B"/>
    <w:rsid w:val="008E3E68"/>
    <w:rsid w:val="008E40E4"/>
    <w:rsid w:val="008E5C7E"/>
    <w:rsid w:val="008E75A8"/>
    <w:rsid w:val="008F01C5"/>
    <w:rsid w:val="008F096C"/>
    <w:rsid w:val="008F0C4B"/>
    <w:rsid w:val="008F2329"/>
    <w:rsid w:val="008F35BC"/>
    <w:rsid w:val="008F4464"/>
    <w:rsid w:val="008F46C9"/>
    <w:rsid w:val="008F56E7"/>
    <w:rsid w:val="008F7440"/>
    <w:rsid w:val="00900135"/>
    <w:rsid w:val="00900B8D"/>
    <w:rsid w:val="00902230"/>
    <w:rsid w:val="00903887"/>
    <w:rsid w:val="00904180"/>
    <w:rsid w:val="00904EBA"/>
    <w:rsid w:val="0090545C"/>
    <w:rsid w:val="0090575C"/>
    <w:rsid w:val="009068E1"/>
    <w:rsid w:val="009110F7"/>
    <w:rsid w:val="00911BBD"/>
    <w:rsid w:val="00914408"/>
    <w:rsid w:val="009203CD"/>
    <w:rsid w:val="0092088E"/>
    <w:rsid w:val="00921803"/>
    <w:rsid w:val="00922786"/>
    <w:rsid w:val="00923FDB"/>
    <w:rsid w:val="00925303"/>
    <w:rsid w:val="00926411"/>
    <w:rsid w:val="00926503"/>
    <w:rsid w:val="00926AAF"/>
    <w:rsid w:val="00930CD0"/>
    <w:rsid w:val="009316DE"/>
    <w:rsid w:val="0093371E"/>
    <w:rsid w:val="00934480"/>
    <w:rsid w:val="00935FBA"/>
    <w:rsid w:val="0094006E"/>
    <w:rsid w:val="00941563"/>
    <w:rsid w:val="00941A4C"/>
    <w:rsid w:val="009439FF"/>
    <w:rsid w:val="009441FA"/>
    <w:rsid w:val="00946D55"/>
    <w:rsid w:val="00946E2C"/>
    <w:rsid w:val="00951FC6"/>
    <w:rsid w:val="00952B1F"/>
    <w:rsid w:val="00954A96"/>
    <w:rsid w:val="00954DE9"/>
    <w:rsid w:val="0095603D"/>
    <w:rsid w:val="00957886"/>
    <w:rsid w:val="009628C8"/>
    <w:rsid w:val="00962EDA"/>
    <w:rsid w:val="0096390D"/>
    <w:rsid w:val="00963E97"/>
    <w:rsid w:val="00964ACC"/>
    <w:rsid w:val="00965881"/>
    <w:rsid w:val="00966946"/>
    <w:rsid w:val="00970D25"/>
    <w:rsid w:val="009726D8"/>
    <w:rsid w:val="00972BC7"/>
    <w:rsid w:val="009734EE"/>
    <w:rsid w:val="00973892"/>
    <w:rsid w:val="00973B8A"/>
    <w:rsid w:val="00974604"/>
    <w:rsid w:val="00974E02"/>
    <w:rsid w:val="00975967"/>
    <w:rsid w:val="00975B43"/>
    <w:rsid w:val="00975D4C"/>
    <w:rsid w:val="00976E94"/>
    <w:rsid w:val="00980ED5"/>
    <w:rsid w:val="00985949"/>
    <w:rsid w:val="00986072"/>
    <w:rsid w:val="00986091"/>
    <w:rsid w:val="00987286"/>
    <w:rsid w:val="009903A5"/>
    <w:rsid w:val="009916A8"/>
    <w:rsid w:val="00991932"/>
    <w:rsid w:val="00992950"/>
    <w:rsid w:val="00992DC4"/>
    <w:rsid w:val="00993023"/>
    <w:rsid w:val="009930F3"/>
    <w:rsid w:val="00993252"/>
    <w:rsid w:val="00994E19"/>
    <w:rsid w:val="0099527E"/>
    <w:rsid w:val="009959AC"/>
    <w:rsid w:val="00996A73"/>
    <w:rsid w:val="009972DF"/>
    <w:rsid w:val="009A0095"/>
    <w:rsid w:val="009A26C3"/>
    <w:rsid w:val="009A2BE9"/>
    <w:rsid w:val="009A49C6"/>
    <w:rsid w:val="009A5663"/>
    <w:rsid w:val="009A7682"/>
    <w:rsid w:val="009A7896"/>
    <w:rsid w:val="009B1576"/>
    <w:rsid w:val="009B3FF7"/>
    <w:rsid w:val="009B4920"/>
    <w:rsid w:val="009B6C3F"/>
    <w:rsid w:val="009B6CCF"/>
    <w:rsid w:val="009B71E4"/>
    <w:rsid w:val="009B7595"/>
    <w:rsid w:val="009C0D3D"/>
    <w:rsid w:val="009C174B"/>
    <w:rsid w:val="009C2A0F"/>
    <w:rsid w:val="009C2CB4"/>
    <w:rsid w:val="009C37CA"/>
    <w:rsid w:val="009C3FBD"/>
    <w:rsid w:val="009C4D1C"/>
    <w:rsid w:val="009C4FBE"/>
    <w:rsid w:val="009C5741"/>
    <w:rsid w:val="009C5838"/>
    <w:rsid w:val="009C79D9"/>
    <w:rsid w:val="009D0FDA"/>
    <w:rsid w:val="009D0FE8"/>
    <w:rsid w:val="009D208E"/>
    <w:rsid w:val="009D224D"/>
    <w:rsid w:val="009D3043"/>
    <w:rsid w:val="009D38E3"/>
    <w:rsid w:val="009D3B51"/>
    <w:rsid w:val="009D3EF6"/>
    <w:rsid w:val="009D7308"/>
    <w:rsid w:val="009D78D5"/>
    <w:rsid w:val="009D7B0B"/>
    <w:rsid w:val="009E07ED"/>
    <w:rsid w:val="009E1DD2"/>
    <w:rsid w:val="009E3D03"/>
    <w:rsid w:val="009E46D1"/>
    <w:rsid w:val="009E7206"/>
    <w:rsid w:val="009F0B4E"/>
    <w:rsid w:val="009F1BBA"/>
    <w:rsid w:val="009F1C9B"/>
    <w:rsid w:val="009F21D4"/>
    <w:rsid w:val="009F3F7D"/>
    <w:rsid w:val="009F4D9A"/>
    <w:rsid w:val="009F5852"/>
    <w:rsid w:val="009F76DB"/>
    <w:rsid w:val="00A007A0"/>
    <w:rsid w:val="00A00C37"/>
    <w:rsid w:val="00A00EE9"/>
    <w:rsid w:val="00A027EB"/>
    <w:rsid w:val="00A03BD3"/>
    <w:rsid w:val="00A048F5"/>
    <w:rsid w:val="00A07513"/>
    <w:rsid w:val="00A10752"/>
    <w:rsid w:val="00A107A0"/>
    <w:rsid w:val="00A111B6"/>
    <w:rsid w:val="00A135FA"/>
    <w:rsid w:val="00A20964"/>
    <w:rsid w:val="00A22503"/>
    <w:rsid w:val="00A2260A"/>
    <w:rsid w:val="00A23F60"/>
    <w:rsid w:val="00A24C5F"/>
    <w:rsid w:val="00A24F70"/>
    <w:rsid w:val="00A25C31"/>
    <w:rsid w:val="00A26CF4"/>
    <w:rsid w:val="00A27941"/>
    <w:rsid w:val="00A27A5A"/>
    <w:rsid w:val="00A301C8"/>
    <w:rsid w:val="00A32548"/>
    <w:rsid w:val="00A32C3B"/>
    <w:rsid w:val="00A339F8"/>
    <w:rsid w:val="00A40062"/>
    <w:rsid w:val="00A40D9F"/>
    <w:rsid w:val="00A412A4"/>
    <w:rsid w:val="00A41A5E"/>
    <w:rsid w:val="00A41E86"/>
    <w:rsid w:val="00A45F4F"/>
    <w:rsid w:val="00A45FC2"/>
    <w:rsid w:val="00A55F1E"/>
    <w:rsid w:val="00A56B01"/>
    <w:rsid w:val="00A56D0A"/>
    <w:rsid w:val="00A600A9"/>
    <w:rsid w:val="00A60DA9"/>
    <w:rsid w:val="00A629D4"/>
    <w:rsid w:val="00A631EC"/>
    <w:rsid w:val="00A6359C"/>
    <w:rsid w:val="00A641B2"/>
    <w:rsid w:val="00A661CA"/>
    <w:rsid w:val="00A67145"/>
    <w:rsid w:val="00A709E7"/>
    <w:rsid w:val="00A71BB3"/>
    <w:rsid w:val="00A72819"/>
    <w:rsid w:val="00A75663"/>
    <w:rsid w:val="00A771D2"/>
    <w:rsid w:val="00A819F3"/>
    <w:rsid w:val="00A81FBC"/>
    <w:rsid w:val="00A865A2"/>
    <w:rsid w:val="00A91509"/>
    <w:rsid w:val="00A9262E"/>
    <w:rsid w:val="00A93827"/>
    <w:rsid w:val="00A95CC8"/>
    <w:rsid w:val="00A977A4"/>
    <w:rsid w:val="00A97B26"/>
    <w:rsid w:val="00A97FC8"/>
    <w:rsid w:val="00AA3CB5"/>
    <w:rsid w:val="00AA45EC"/>
    <w:rsid w:val="00AA4EF7"/>
    <w:rsid w:val="00AA55B7"/>
    <w:rsid w:val="00AA5B9E"/>
    <w:rsid w:val="00AA7790"/>
    <w:rsid w:val="00AB041F"/>
    <w:rsid w:val="00AB04D2"/>
    <w:rsid w:val="00AB2407"/>
    <w:rsid w:val="00AB25D6"/>
    <w:rsid w:val="00AB40FE"/>
    <w:rsid w:val="00AB449C"/>
    <w:rsid w:val="00AB4793"/>
    <w:rsid w:val="00AB53DF"/>
    <w:rsid w:val="00AB7E6E"/>
    <w:rsid w:val="00AC1182"/>
    <w:rsid w:val="00AC3F21"/>
    <w:rsid w:val="00AC5654"/>
    <w:rsid w:val="00AC6090"/>
    <w:rsid w:val="00AC7F3C"/>
    <w:rsid w:val="00AC7F73"/>
    <w:rsid w:val="00AD07A4"/>
    <w:rsid w:val="00AD2B0C"/>
    <w:rsid w:val="00AD327B"/>
    <w:rsid w:val="00AD49F6"/>
    <w:rsid w:val="00AD53AD"/>
    <w:rsid w:val="00AD6A0A"/>
    <w:rsid w:val="00AD6BAF"/>
    <w:rsid w:val="00AD7066"/>
    <w:rsid w:val="00AD75E8"/>
    <w:rsid w:val="00AE170F"/>
    <w:rsid w:val="00AE1EA3"/>
    <w:rsid w:val="00AE4F5E"/>
    <w:rsid w:val="00AE7A9E"/>
    <w:rsid w:val="00AE7D46"/>
    <w:rsid w:val="00AF066B"/>
    <w:rsid w:val="00AF2ECE"/>
    <w:rsid w:val="00AF32C3"/>
    <w:rsid w:val="00AF611A"/>
    <w:rsid w:val="00AF637A"/>
    <w:rsid w:val="00AF714B"/>
    <w:rsid w:val="00B03ED5"/>
    <w:rsid w:val="00B04EF2"/>
    <w:rsid w:val="00B07E5C"/>
    <w:rsid w:val="00B12326"/>
    <w:rsid w:val="00B13ACA"/>
    <w:rsid w:val="00B13FE5"/>
    <w:rsid w:val="00B1431C"/>
    <w:rsid w:val="00B17575"/>
    <w:rsid w:val="00B2001B"/>
    <w:rsid w:val="00B2025B"/>
    <w:rsid w:val="00B20974"/>
    <w:rsid w:val="00B22E37"/>
    <w:rsid w:val="00B23FD8"/>
    <w:rsid w:val="00B25B48"/>
    <w:rsid w:val="00B26160"/>
    <w:rsid w:val="00B30560"/>
    <w:rsid w:val="00B30AEC"/>
    <w:rsid w:val="00B32AC0"/>
    <w:rsid w:val="00B34BE7"/>
    <w:rsid w:val="00B4395D"/>
    <w:rsid w:val="00B45A72"/>
    <w:rsid w:val="00B4638C"/>
    <w:rsid w:val="00B4646A"/>
    <w:rsid w:val="00B4662E"/>
    <w:rsid w:val="00B47310"/>
    <w:rsid w:val="00B4765D"/>
    <w:rsid w:val="00B47F7B"/>
    <w:rsid w:val="00B47F8C"/>
    <w:rsid w:val="00B51CD7"/>
    <w:rsid w:val="00B52120"/>
    <w:rsid w:val="00B53D9C"/>
    <w:rsid w:val="00B55D11"/>
    <w:rsid w:val="00B57353"/>
    <w:rsid w:val="00B60806"/>
    <w:rsid w:val="00B62F21"/>
    <w:rsid w:val="00B634C2"/>
    <w:rsid w:val="00B63DB0"/>
    <w:rsid w:val="00B64AE6"/>
    <w:rsid w:val="00B71AFC"/>
    <w:rsid w:val="00B71C9A"/>
    <w:rsid w:val="00B7345C"/>
    <w:rsid w:val="00B74D19"/>
    <w:rsid w:val="00B759F2"/>
    <w:rsid w:val="00B75DED"/>
    <w:rsid w:val="00B76426"/>
    <w:rsid w:val="00B77751"/>
    <w:rsid w:val="00B80F3C"/>
    <w:rsid w:val="00B80F74"/>
    <w:rsid w:val="00B811F7"/>
    <w:rsid w:val="00B83BC8"/>
    <w:rsid w:val="00B83EBC"/>
    <w:rsid w:val="00B85785"/>
    <w:rsid w:val="00B87C68"/>
    <w:rsid w:val="00B91F73"/>
    <w:rsid w:val="00B94827"/>
    <w:rsid w:val="00B95921"/>
    <w:rsid w:val="00BA0037"/>
    <w:rsid w:val="00BA2B76"/>
    <w:rsid w:val="00BA43B4"/>
    <w:rsid w:val="00BA46E8"/>
    <w:rsid w:val="00BA49F1"/>
    <w:rsid w:val="00BA4DCC"/>
    <w:rsid w:val="00BA5DC6"/>
    <w:rsid w:val="00BA6196"/>
    <w:rsid w:val="00BA6EBD"/>
    <w:rsid w:val="00BA71DA"/>
    <w:rsid w:val="00BB0D6E"/>
    <w:rsid w:val="00BB10BB"/>
    <w:rsid w:val="00BB280F"/>
    <w:rsid w:val="00BB3EF0"/>
    <w:rsid w:val="00BB48C1"/>
    <w:rsid w:val="00BB5184"/>
    <w:rsid w:val="00BB5537"/>
    <w:rsid w:val="00BB611A"/>
    <w:rsid w:val="00BB664E"/>
    <w:rsid w:val="00BB6A4C"/>
    <w:rsid w:val="00BC0488"/>
    <w:rsid w:val="00BC0787"/>
    <w:rsid w:val="00BC1D6E"/>
    <w:rsid w:val="00BC3174"/>
    <w:rsid w:val="00BC4381"/>
    <w:rsid w:val="00BC4934"/>
    <w:rsid w:val="00BC4A62"/>
    <w:rsid w:val="00BC5638"/>
    <w:rsid w:val="00BC6D8C"/>
    <w:rsid w:val="00BD4596"/>
    <w:rsid w:val="00BD5728"/>
    <w:rsid w:val="00BD5D97"/>
    <w:rsid w:val="00BD6570"/>
    <w:rsid w:val="00BE0A96"/>
    <w:rsid w:val="00BE0D45"/>
    <w:rsid w:val="00BE245A"/>
    <w:rsid w:val="00BE29D2"/>
    <w:rsid w:val="00BE49EA"/>
    <w:rsid w:val="00BE5B7C"/>
    <w:rsid w:val="00BE66DD"/>
    <w:rsid w:val="00BE7AC2"/>
    <w:rsid w:val="00BE7D3F"/>
    <w:rsid w:val="00BF17D8"/>
    <w:rsid w:val="00BF2170"/>
    <w:rsid w:val="00BF4FD1"/>
    <w:rsid w:val="00BF59ED"/>
    <w:rsid w:val="00C00EB8"/>
    <w:rsid w:val="00C00F6C"/>
    <w:rsid w:val="00C0288D"/>
    <w:rsid w:val="00C034AC"/>
    <w:rsid w:val="00C1144A"/>
    <w:rsid w:val="00C12EB8"/>
    <w:rsid w:val="00C14AA6"/>
    <w:rsid w:val="00C1664A"/>
    <w:rsid w:val="00C213E4"/>
    <w:rsid w:val="00C21B43"/>
    <w:rsid w:val="00C21D0A"/>
    <w:rsid w:val="00C24772"/>
    <w:rsid w:val="00C2540D"/>
    <w:rsid w:val="00C26794"/>
    <w:rsid w:val="00C27481"/>
    <w:rsid w:val="00C3084C"/>
    <w:rsid w:val="00C33C25"/>
    <w:rsid w:val="00C34006"/>
    <w:rsid w:val="00C35BD2"/>
    <w:rsid w:val="00C35E24"/>
    <w:rsid w:val="00C36285"/>
    <w:rsid w:val="00C36B4C"/>
    <w:rsid w:val="00C371AD"/>
    <w:rsid w:val="00C37F3E"/>
    <w:rsid w:val="00C40E75"/>
    <w:rsid w:val="00C426B1"/>
    <w:rsid w:val="00C452C0"/>
    <w:rsid w:val="00C454C5"/>
    <w:rsid w:val="00C4669D"/>
    <w:rsid w:val="00C47F0C"/>
    <w:rsid w:val="00C507CE"/>
    <w:rsid w:val="00C5173F"/>
    <w:rsid w:val="00C544D5"/>
    <w:rsid w:val="00C56670"/>
    <w:rsid w:val="00C56A37"/>
    <w:rsid w:val="00C56FC5"/>
    <w:rsid w:val="00C5721F"/>
    <w:rsid w:val="00C57AFF"/>
    <w:rsid w:val="00C6080E"/>
    <w:rsid w:val="00C62C2D"/>
    <w:rsid w:val="00C64644"/>
    <w:rsid w:val="00C64C84"/>
    <w:rsid w:val="00C650BA"/>
    <w:rsid w:val="00C66160"/>
    <w:rsid w:val="00C721AC"/>
    <w:rsid w:val="00C72475"/>
    <w:rsid w:val="00C800E7"/>
    <w:rsid w:val="00C817CF"/>
    <w:rsid w:val="00C824D7"/>
    <w:rsid w:val="00C83DE2"/>
    <w:rsid w:val="00C845BB"/>
    <w:rsid w:val="00C85187"/>
    <w:rsid w:val="00C9053B"/>
    <w:rsid w:val="00C90D6A"/>
    <w:rsid w:val="00C92705"/>
    <w:rsid w:val="00C9480A"/>
    <w:rsid w:val="00C979B2"/>
    <w:rsid w:val="00CA247E"/>
    <w:rsid w:val="00CA2A2F"/>
    <w:rsid w:val="00CA3FCA"/>
    <w:rsid w:val="00CA550F"/>
    <w:rsid w:val="00CA6D21"/>
    <w:rsid w:val="00CA7410"/>
    <w:rsid w:val="00CB650C"/>
    <w:rsid w:val="00CB74F9"/>
    <w:rsid w:val="00CB79CF"/>
    <w:rsid w:val="00CB7EF2"/>
    <w:rsid w:val="00CC1091"/>
    <w:rsid w:val="00CC2580"/>
    <w:rsid w:val="00CC407A"/>
    <w:rsid w:val="00CC519B"/>
    <w:rsid w:val="00CC72B6"/>
    <w:rsid w:val="00CD01AA"/>
    <w:rsid w:val="00CD0A68"/>
    <w:rsid w:val="00CD203E"/>
    <w:rsid w:val="00CD25C1"/>
    <w:rsid w:val="00CD4F33"/>
    <w:rsid w:val="00CD5E4A"/>
    <w:rsid w:val="00CD61A2"/>
    <w:rsid w:val="00CE2050"/>
    <w:rsid w:val="00CE4228"/>
    <w:rsid w:val="00CF5DCC"/>
    <w:rsid w:val="00CF6BCF"/>
    <w:rsid w:val="00D00792"/>
    <w:rsid w:val="00D018A4"/>
    <w:rsid w:val="00D0218D"/>
    <w:rsid w:val="00D03911"/>
    <w:rsid w:val="00D04A01"/>
    <w:rsid w:val="00D06BF7"/>
    <w:rsid w:val="00D07F6B"/>
    <w:rsid w:val="00D105FF"/>
    <w:rsid w:val="00D10780"/>
    <w:rsid w:val="00D1272A"/>
    <w:rsid w:val="00D13B62"/>
    <w:rsid w:val="00D15C73"/>
    <w:rsid w:val="00D1677B"/>
    <w:rsid w:val="00D20094"/>
    <w:rsid w:val="00D2176E"/>
    <w:rsid w:val="00D21B8C"/>
    <w:rsid w:val="00D22A1D"/>
    <w:rsid w:val="00D23483"/>
    <w:rsid w:val="00D23F69"/>
    <w:rsid w:val="00D25FB5"/>
    <w:rsid w:val="00D315AB"/>
    <w:rsid w:val="00D31769"/>
    <w:rsid w:val="00D32CF3"/>
    <w:rsid w:val="00D34F2C"/>
    <w:rsid w:val="00D37236"/>
    <w:rsid w:val="00D373F0"/>
    <w:rsid w:val="00D37D90"/>
    <w:rsid w:val="00D37DAA"/>
    <w:rsid w:val="00D401AE"/>
    <w:rsid w:val="00D411A4"/>
    <w:rsid w:val="00D44223"/>
    <w:rsid w:val="00D4425A"/>
    <w:rsid w:val="00D450C7"/>
    <w:rsid w:val="00D466FE"/>
    <w:rsid w:val="00D470F3"/>
    <w:rsid w:val="00D50C49"/>
    <w:rsid w:val="00D521E9"/>
    <w:rsid w:val="00D550D6"/>
    <w:rsid w:val="00D55497"/>
    <w:rsid w:val="00D55714"/>
    <w:rsid w:val="00D56A75"/>
    <w:rsid w:val="00D609F9"/>
    <w:rsid w:val="00D618AC"/>
    <w:rsid w:val="00D6474B"/>
    <w:rsid w:val="00D7202D"/>
    <w:rsid w:val="00D73CE9"/>
    <w:rsid w:val="00D768E8"/>
    <w:rsid w:val="00D77234"/>
    <w:rsid w:val="00D80554"/>
    <w:rsid w:val="00D80C4C"/>
    <w:rsid w:val="00D84548"/>
    <w:rsid w:val="00D84C96"/>
    <w:rsid w:val="00D86554"/>
    <w:rsid w:val="00D86EF9"/>
    <w:rsid w:val="00D903D2"/>
    <w:rsid w:val="00D907CB"/>
    <w:rsid w:val="00D91302"/>
    <w:rsid w:val="00D91941"/>
    <w:rsid w:val="00D938B5"/>
    <w:rsid w:val="00D965B3"/>
    <w:rsid w:val="00D96687"/>
    <w:rsid w:val="00D96850"/>
    <w:rsid w:val="00D96A8E"/>
    <w:rsid w:val="00D96F9D"/>
    <w:rsid w:val="00D96FC3"/>
    <w:rsid w:val="00D978DE"/>
    <w:rsid w:val="00D97D7B"/>
    <w:rsid w:val="00DA096C"/>
    <w:rsid w:val="00DA21CD"/>
    <w:rsid w:val="00DA24D6"/>
    <w:rsid w:val="00DA2529"/>
    <w:rsid w:val="00DA2C66"/>
    <w:rsid w:val="00DA6FC3"/>
    <w:rsid w:val="00DA7E65"/>
    <w:rsid w:val="00DB06FB"/>
    <w:rsid w:val="00DB0CAD"/>
    <w:rsid w:val="00DB130A"/>
    <w:rsid w:val="00DB1584"/>
    <w:rsid w:val="00DB1AE7"/>
    <w:rsid w:val="00DB28F2"/>
    <w:rsid w:val="00DB2EBB"/>
    <w:rsid w:val="00DB3173"/>
    <w:rsid w:val="00DC0585"/>
    <w:rsid w:val="00DC0A0F"/>
    <w:rsid w:val="00DC10A1"/>
    <w:rsid w:val="00DC1CF6"/>
    <w:rsid w:val="00DC1EB6"/>
    <w:rsid w:val="00DC2DE1"/>
    <w:rsid w:val="00DC4F36"/>
    <w:rsid w:val="00DC655F"/>
    <w:rsid w:val="00DC7864"/>
    <w:rsid w:val="00DD037B"/>
    <w:rsid w:val="00DD0B59"/>
    <w:rsid w:val="00DD117D"/>
    <w:rsid w:val="00DD1D8E"/>
    <w:rsid w:val="00DD587E"/>
    <w:rsid w:val="00DD7D5F"/>
    <w:rsid w:val="00DD7EBD"/>
    <w:rsid w:val="00DE1026"/>
    <w:rsid w:val="00DE4A02"/>
    <w:rsid w:val="00DE4C74"/>
    <w:rsid w:val="00DE6232"/>
    <w:rsid w:val="00DE65CE"/>
    <w:rsid w:val="00DE6F9A"/>
    <w:rsid w:val="00DE7055"/>
    <w:rsid w:val="00DF0EF0"/>
    <w:rsid w:val="00DF1120"/>
    <w:rsid w:val="00DF24B9"/>
    <w:rsid w:val="00DF5CAF"/>
    <w:rsid w:val="00DF62B6"/>
    <w:rsid w:val="00DF6EC6"/>
    <w:rsid w:val="00E00A4E"/>
    <w:rsid w:val="00E014BC"/>
    <w:rsid w:val="00E0153D"/>
    <w:rsid w:val="00E02922"/>
    <w:rsid w:val="00E03337"/>
    <w:rsid w:val="00E052E3"/>
    <w:rsid w:val="00E05BAB"/>
    <w:rsid w:val="00E05C2F"/>
    <w:rsid w:val="00E07225"/>
    <w:rsid w:val="00E073B0"/>
    <w:rsid w:val="00E10C18"/>
    <w:rsid w:val="00E119D7"/>
    <w:rsid w:val="00E12B98"/>
    <w:rsid w:val="00E13C45"/>
    <w:rsid w:val="00E14FC2"/>
    <w:rsid w:val="00E167EE"/>
    <w:rsid w:val="00E17314"/>
    <w:rsid w:val="00E17F04"/>
    <w:rsid w:val="00E202DF"/>
    <w:rsid w:val="00E22112"/>
    <w:rsid w:val="00E227DC"/>
    <w:rsid w:val="00E22BDC"/>
    <w:rsid w:val="00E30223"/>
    <w:rsid w:val="00E32E1F"/>
    <w:rsid w:val="00E343A8"/>
    <w:rsid w:val="00E34E22"/>
    <w:rsid w:val="00E357DB"/>
    <w:rsid w:val="00E36F44"/>
    <w:rsid w:val="00E40768"/>
    <w:rsid w:val="00E41C13"/>
    <w:rsid w:val="00E43B0F"/>
    <w:rsid w:val="00E44C44"/>
    <w:rsid w:val="00E4529C"/>
    <w:rsid w:val="00E45E59"/>
    <w:rsid w:val="00E4720E"/>
    <w:rsid w:val="00E52D8C"/>
    <w:rsid w:val="00E53042"/>
    <w:rsid w:val="00E5409F"/>
    <w:rsid w:val="00E54A5A"/>
    <w:rsid w:val="00E559D1"/>
    <w:rsid w:val="00E56745"/>
    <w:rsid w:val="00E57094"/>
    <w:rsid w:val="00E57674"/>
    <w:rsid w:val="00E57D7A"/>
    <w:rsid w:val="00E6020E"/>
    <w:rsid w:val="00E626D8"/>
    <w:rsid w:val="00E64E1A"/>
    <w:rsid w:val="00E670BD"/>
    <w:rsid w:val="00E76515"/>
    <w:rsid w:val="00E80E35"/>
    <w:rsid w:val="00E82A90"/>
    <w:rsid w:val="00E871B7"/>
    <w:rsid w:val="00E87311"/>
    <w:rsid w:val="00E87626"/>
    <w:rsid w:val="00E942B3"/>
    <w:rsid w:val="00E94740"/>
    <w:rsid w:val="00E94BED"/>
    <w:rsid w:val="00E97FFD"/>
    <w:rsid w:val="00EA1667"/>
    <w:rsid w:val="00EA218D"/>
    <w:rsid w:val="00EA38E6"/>
    <w:rsid w:val="00EA3B14"/>
    <w:rsid w:val="00EA4B0C"/>
    <w:rsid w:val="00EA63E1"/>
    <w:rsid w:val="00EA6B6B"/>
    <w:rsid w:val="00EB1662"/>
    <w:rsid w:val="00EB1D47"/>
    <w:rsid w:val="00EB236E"/>
    <w:rsid w:val="00EB4F4C"/>
    <w:rsid w:val="00EB65FC"/>
    <w:rsid w:val="00EB6A7F"/>
    <w:rsid w:val="00EC37B3"/>
    <w:rsid w:val="00EC3988"/>
    <w:rsid w:val="00EC5118"/>
    <w:rsid w:val="00EC55B3"/>
    <w:rsid w:val="00EC6988"/>
    <w:rsid w:val="00EC71B3"/>
    <w:rsid w:val="00EC7DF7"/>
    <w:rsid w:val="00ED17DE"/>
    <w:rsid w:val="00ED2560"/>
    <w:rsid w:val="00ED59A3"/>
    <w:rsid w:val="00ED6A49"/>
    <w:rsid w:val="00ED6F32"/>
    <w:rsid w:val="00EE005A"/>
    <w:rsid w:val="00EE20A4"/>
    <w:rsid w:val="00EE6120"/>
    <w:rsid w:val="00EE6488"/>
    <w:rsid w:val="00EF1818"/>
    <w:rsid w:val="00EF1D9F"/>
    <w:rsid w:val="00EF4666"/>
    <w:rsid w:val="00EF6025"/>
    <w:rsid w:val="00EF69CF"/>
    <w:rsid w:val="00EF6B3C"/>
    <w:rsid w:val="00F021FA"/>
    <w:rsid w:val="00F026F5"/>
    <w:rsid w:val="00F05B52"/>
    <w:rsid w:val="00F05B83"/>
    <w:rsid w:val="00F105D7"/>
    <w:rsid w:val="00F1113C"/>
    <w:rsid w:val="00F11695"/>
    <w:rsid w:val="00F12129"/>
    <w:rsid w:val="00F17245"/>
    <w:rsid w:val="00F2093E"/>
    <w:rsid w:val="00F22A68"/>
    <w:rsid w:val="00F24AB4"/>
    <w:rsid w:val="00F25431"/>
    <w:rsid w:val="00F25765"/>
    <w:rsid w:val="00F2577F"/>
    <w:rsid w:val="00F30AEF"/>
    <w:rsid w:val="00F32047"/>
    <w:rsid w:val="00F33BB1"/>
    <w:rsid w:val="00F3415C"/>
    <w:rsid w:val="00F3449C"/>
    <w:rsid w:val="00F351AB"/>
    <w:rsid w:val="00F35AD8"/>
    <w:rsid w:val="00F35DD7"/>
    <w:rsid w:val="00F41B6E"/>
    <w:rsid w:val="00F428BC"/>
    <w:rsid w:val="00F44AC8"/>
    <w:rsid w:val="00F44D7A"/>
    <w:rsid w:val="00F526BC"/>
    <w:rsid w:val="00F53FFC"/>
    <w:rsid w:val="00F548B3"/>
    <w:rsid w:val="00F5698C"/>
    <w:rsid w:val="00F56CE2"/>
    <w:rsid w:val="00F577D2"/>
    <w:rsid w:val="00F60789"/>
    <w:rsid w:val="00F629ED"/>
    <w:rsid w:val="00F62A41"/>
    <w:rsid w:val="00F62E97"/>
    <w:rsid w:val="00F64209"/>
    <w:rsid w:val="00F64D14"/>
    <w:rsid w:val="00F6602D"/>
    <w:rsid w:val="00F67BC9"/>
    <w:rsid w:val="00F70FD0"/>
    <w:rsid w:val="00F72E0A"/>
    <w:rsid w:val="00F75128"/>
    <w:rsid w:val="00F752D5"/>
    <w:rsid w:val="00F75F64"/>
    <w:rsid w:val="00F8055D"/>
    <w:rsid w:val="00F80686"/>
    <w:rsid w:val="00F808A0"/>
    <w:rsid w:val="00F82976"/>
    <w:rsid w:val="00F8598D"/>
    <w:rsid w:val="00F85DD5"/>
    <w:rsid w:val="00F86E8E"/>
    <w:rsid w:val="00F87FE3"/>
    <w:rsid w:val="00F90266"/>
    <w:rsid w:val="00F90350"/>
    <w:rsid w:val="00F93BF5"/>
    <w:rsid w:val="00F94D03"/>
    <w:rsid w:val="00F96261"/>
    <w:rsid w:val="00F96773"/>
    <w:rsid w:val="00F97984"/>
    <w:rsid w:val="00FA2202"/>
    <w:rsid w:val="00FA5133"/>
    <w:rsid w:val="00FB0334"/>
    <w:rsid w:val="00FB0766"/>
    <w:rsid w:val="00FB5161"/>
    <w:rsid w:val="00FB6971"/>
    <w:rsid w:val="00FC0542"/>
    <w:rsid w:val="00FC13B2"/>
    <w:rsid w:val="00FC16EF"/>
    <w:rsid w:val="00FC37D2"/>
    <w:rsid w:val="00FC3E34"/>
    <w:rsid w:val="00FC43F5"/>
    <w:rsid w:val="00FC4933"/>
    <w:rsid w:val="00FC5D76"/>
    <w:rsid w:val="00FC7509"/>
    <w:rsid w:val="00FD5545"/>
    <w:rsid w:val="00FD6FEE"/>
    <w:rsid w:val="00FD7A1E"/>
    <w:rsid w:val="00FD7F58"/>
    <w:rsid w:val="00FE091D"/>
    <w:rsid w:val="00FE0C4D"/>
    <w:rsid w:val="00FE0EF6"/>
    <w:rsid w:val="00FE4733"/>
    <w:rsid w:val="00FE50AD"/>
    <w:rsid w:val="00FE6FB4"/>
    <w:rsid w:val="00FF2CA5"/>
    <w:rsid w:val="00FF38C3"/>
    <w:rsid w:val="00FF3D34"/>
    <w:rsid w:val="00FF43C6"/>
    <w:rsid w:val="00FF56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0DD6111-4962-47FD-9207-179A7CA6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CD"/>
    <w:pPr>
      <w:widowControl w:val="0"/>
    </w:pPr>
    <w:rPr>
      <w:snapToGrid w:val="0"/>
      <w:kern w:val="28"/>
      <w:sz w:val="22"/>
    </w:rPr>
  </w:style>
  <w:style w:type="paragraph" w:styleId="Heading1">
    <w:name w:val="heading 1"/>
    <w:basedOn w:val="Normal"/>
    <w:next w:val="ParaNum"/>
    <w:link w:val="Heading1Char"/>
    <w:qFormat/>
    <w:rsid w:val="004C2DC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2DCD"/>
    <w:pPr>
      <w:keepNext/>
      <w:numPr>
        <w:ilvl w:val="1"/>
        <w:numId w:val="2"/>
      </w:numPr>
      <w:spacing w:after="120"/>
      <w:outlineLvl w:val="1"/>
    </w:pPr>
    <w:rPr>
      <w:b/>
    </w:rPr>
  </w:style>
  <w:style w:type="paragraph" w:styleId="Heading3">
    <w:name w:val="heading 3"/>
    <w:basedOn w:val="Normal"/>
    <w:next w:val="ParaNum"/>
    <w:qFormat/>
    <w:rsid w:val="004C2DCD"/>
    <w:pPr>
      <w:keepNext/>
      <w:numPr>
        <w:ilvl w:val="2"/>
        <w:numId w:val="2"/>
      </w:numPr>
      <w:tabs>
        <w:tab w:val="left" w:pos="2160"/>
      </w:tabs>
      <w:spacing w:after="120"/>
      <w:outlineLvl w:val="2"/>
    </w:pPr>
    <w:rPr>
      <w:b/>
    </w:rPr>
  </w:style>
  <w:style w:type="paragraph" w:styleId="Heading4">
    <w:name w:val="heading 4"/>
    <w:basedOn w:val="Normal"/>
    <w:next w:val="ParaNum"/>
    <w:qFormat/>
    <w:rsid w:val="004C2DCD"/>
    <w:pPr>
      <w:keepNext/>
      <w:numPr>
        <w:ilvl w:val="3"/>
        <w:numId w:val="2"/>
      </w:numPr>
      <w:tabs>
        <w:tab w:val="left" w:pos="2880"/>
      </w:tabs>
      <w:spacing w:after="120"/>
      <w:outlineLvl w:val="3"/>
    </w:pPr>
    <w:rPr>
      <w:b/>
    </w:rPr>
  </w:style>
  <w:style w:type="paragraph" w:styleId="Heading5">
    <w:name w:val="heading 5"/>
    <w:basedOn w:val="Normal"/>
    <w:next w:val="ParaNum"/>
    <w:qFormat/>
    <w:rsid w:val="004C2DC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C2DCD"/>
    <w:pPr>
      <w:numPr>
        <w:ilvl w:val="5"/>
        <w:numId w:val="2"/>
      </w:numPr>
      <w:tabs>
        <w:tab w:val="left" w:pos="4320"/>
      </w:tabs>
      <w:spacing w:after="120"/>
      <w:outlineLvl w:val="5"/>
    </w:pPr>
    <w:rPr>
      <w:b/>
    </w:rPr>
  </w:style>
  <w:style w:type="paragraph" w:styleId="Heading7">
    <w:name w:val="heading 7"/>
    <w:basedOn w:val="Normal"/>
    <w:next w:val="ParaNum"/>
    <w:qFormat/>
    <w:rsid w:val="004C2DC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C2DC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C2DC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2D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2DCD"/>
  </w:style>
  <w:style w:type="paragraph" w:customStyle="1" w:styleId="ParaNum">
    <w:name w:val="ParaNum"/>
    <w:basedOn w:val="Normal"/>
    <w:link w:val="ParaNumChar"/>
    <w:rsid w:val="004C2DCD"/>
    <w:pPr>
      <w:numPr>
        <w:numId w:val="1"/>
      </w:numPr>
      <w:tabs>
        <w:tab w:val="clear" w:pos="1080"/>
        <w:tab w:val="num" w:pos="1440"/>
      </w:tabs>
      <w:spacing w:after="120"/>
    </w:pPr>
  </w:style>
  <w:style w:type="paragraph" w:styleId="EndnoteText">
    <w:name w:val="endnote text"/>
    <w:basedOn w:val="Normal"/>
    <w:semiHidden/>
    <w:rsid w:val="004C2DCD"/>
    <w:rPr>
      <w:sz w:val="20"/>
    </w:rPr>
  </w:style>
  <w:style w:type="character" w:styleId="EndnoteReference">
    <w:name w:val="endnote reference"/>
    <w:semiHidden/>
    <w:rsid w:val="004C2DCD"/>
    <w:rPr>
      <w:vertAlign w:val="superscript"/>
    </w:rPr>
  </w:style>
  <w:style w:type="paragraph" w:styleId="FootnoteText">
    <w:name w:val="footnote text"/>
    <w:aliases w:val="Footnote Text Char Char Char4 Char Char,Footnote Text Char1,Footnote Text Char1 Char,Footnote Text Char4 Char1 Char Char,Footnote Text Char7 Char,Footnote Text Char7 Char Char,Footnote Text Char7 Char Char Char Char Char,St,f,fn,rrfootnote"/>
    <w:link w:val="FootnoteTextChar"/>
    <w:rsid w:val="004C2DC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C2DCD"/>
    <w:rPr>
      <w:rFonts w:ascii="Times New Roman" w:hAnsi="Times New Roman"/>
      <w:dstrike w:val="0"/>
      <w:color w:val="auto"/>
      <w:sz w:val="20"/>
      <w:vertAlign w:val="superscript"/>
    </w:rPr>
  </w:style>
  <w:style w:type="paragraph" w:styleId="TOC1">
    <w:name w:val="toc 1"/>
    <w:basedOn w:val="Normal"/>
    <w:next w:val="Normal"/>
    <w:semiHidden/>
    <w:rsid w:val="004C2D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2DCD"/>
    <w:pPr>
      <w:tabs>
        <w:tab w:val="left" w:pos="720"/>
        <w:tab w:val="right" w:leader="dot" w:pos="9360"/>
      </w:tabs>
      <w:suppressAutoHyphens/>
      <w:ind w:left="720" w:right="720" w:hanging="360"/>
    </w:pPr>
    <w:rPr>
      <w:noProof/>
    </w:rPr>
  </w:style>
  <w:style w:type="paragraph" w:styleId="TOC3">
    <w:name w:val="toc 3"/>
    <w:basedOn w:val="Normal"/>
    <w:next w:val="Normal"/>
    <w:semiHidden/>
    <w:rsid w:val="004C2D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2D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2D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2D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2D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2D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2D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2DCD"/>
    <w:pPr>
      <w:tabs>
        <w:tab w:val="right" w:pos="9360"/>
      </w:tabs>
      <w:suppressAutoHyphens/>
    </w:pPr>
  </w:style>
  <w:style w:type="character" w:customStyle="1" w:styleId="EquationCaption">
    <w:name w:val="_Equation Caption"/>
    <w:rsid w:val="004C2DCD"/>
  </w:style>
  <w:style w:type="paragraph" w:styleId="Header">
    <w:name w:val="header"/>
    <w:basedOn w:val="Normal"/>
    <w:link w:val="HeaderChar"/>
    <w:autoRedefine/>
    <w:rsid w:val="004C2DCD"/>
    <w:pPr>
      <w:tabs>
        <w:tab w:val="center" w:pos="4680"/>
        <w:tab w:val="right" w:pos="9360"/>
      </w:tabs>
    </w:pPr>
    <w:rPr>
      <w:b/>
    </w:rPr>
  </w:style>
  <w:style w:type="paragraph" w:styleId="Footer">
    <w:name w:val="footer"/>
    <w:basedOn w:val="Normal"/>
    <w:link w:val="FooterChar"/>
    <w:uiPriority w:val="99"/>
    <w:rsid w:val="004C2DCD"/>
    <w:pPr>
      <w:tabs>
        <w:tab w:val="center" w:pos="4320"/>
        <w:tab w:val="right" w:pos="8640"/>
      </w:tabs>
    </w:pPr>
  </w:style>
  <w:style w:type="character" w:styleId="PageNumber">
    <w:name w:val="page number"/>
    <w:basedOn w:val="DefaultParagraphFont"/>
    <w:rsid w:val="004C2DCD"/>
  </w:style>
  <w:style w:type="paragraph" w:styleId="BlockText">
    <w:name w:val="Block Text"/>
    <w:basedOn w:val="Normal"/>
    <w:rsid w:val="004C2DCD"/>
    <w:pPr>
      <w:spacing w:after="240"/>
      <w:ind w:left="1440" w:right="1440"/>
    </w:pPr>
  </w:style>
  <w:style w:type="paragraph" w:customStyle="1" w:styleId="Paratitle">
    <w:name w:val="Para title"/>
    <w:basedOn w:val="Normal"/>
    <w:rsid w:val="004C2DCD"/>
    <w:pPr>
      <w:tabs>
        <w:tab w:val="center" w:pos="9270"/>
      </w:tabs>
      <w:spacing w:after="240"/>
    </w:pPr>
    <w:rPr>
      <w:spacing w:val="-2"/>
    </w:rPr>
  </w:style>
  <w:style w:type="paragraph" w:customStyle="1" w:styleId="Bullet">
    <w:name w:val="Bullet"/>
    <w:basedOn w:val="Normal"/>
    <w:rsid w:val="004C2DCD"/>
    <w:pPr>
      <w:tabs>
        <w:tab w:val="left" w:pos="2160"/>
      </w:tabs>
      <w:spacing w:after="220"/>
      <w:ind w:left="2160" w:hanging="720"/>
    </w:pPr>
  </w:style>
  <w:style w:type="paragraph" w:customStyle="1" w:styleId="TableFormat">
    <w:name w:val="TableFormat"/>
    <w:basedOn w:val="Bullet"/>
    <w:rsid w:val="004C2DCD"/>
    <w:pPr>
      <w:tabs>
        <w:tab w:val="clear" w:pos="2160"/>
        <w:tab w:val="left" w:pos="5040"/>
      </w:tabs>
      <w:ind w:left="5040" w:hanging="3600"/>
    </w:pPr>
  </w:style>
  <w:style w:type="paragraph" w:customStyle="1" w:styleId="TOCTitle">
    <w:name w:val="TOC Title"/>
    <w:basedOn w:val="Normal"/>
    <w:rsid w:val="004C2D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2DCD"/>
    <w:pPr>
      <w:jc w:val="center"/>
    </w:pPr>
    <w:rPr>
      <w:rFonts w:ascii="Times New Roman Bold" w:hAnsi="Times New Roman Bold"/>
      <w:b/>
      <w:bCs/>
      <w:caps/>
      <w:szCs w:val="22"/>
    </w:rPr>
  </w:style>
  <w:style w:type="character" w:styleId="Hyperlink">
    <w:name w:val="Hyperlink"/>
    <w:rsid w:val="004C2DCD"/>
    <w:rPr>
      <w:color w:val="0000FF"/>
      <w:u w:val="single"/>
    </w:rPr>
  </w:style>
  <w:style w:type="character" w:customStyle="1" w:styleId="FooterChar">
    <w:name w:val="Footer Char"/>
    <w:link w:val="Footer"/>
    <w:uiPriority w:val="99"/>
    <w:rsid w:val="004C2DCD"/>
    <w:rPr>
      <w:snapToGrid w:val="0"/>
      <w:kern w:val="28"/>
      <w:sz w:val="22"/>
    </w:rPr>
  </w:style>
  <w:style w:type="character" w:customStyle="1" w:styleId="FootnoteTextChar">
    <w:name w:val="Footnote Text Char"/>
    <w:aliases w:val="Footnote Text Char Char Char4 Char Char Char,Footnote Text Char1 Char Char,Footnote Text Char1 Char1,Footnote Text Char4 Char1 Char Char Char,Footnote Text Char7 Char Char Char,Footnote Text Char7 Char Char1,St Char,f Char,fn Char"/>
    <w:basedOn w:val="DefaultParagraphFont"/>
    <w:link w:val="FootnoteText"/>
    <w:rsid w:val="00963E97"/>
  </w:style>
  <w:style w:type="character" w:styleId="CommentReference">
    <w:name w:val="annotation reference"/>
    <w:uiPriority w:val="99"/>
    <w:rsid w:val="00963E97"/>
    <w:rPr>
      <w:sz w:val="16"/>
      <w:szCs w:val="16"/>
    </w:rPr>
  </w:style>
  <w:style w:type="paragraph" w:styleId="CommentText">
    <w:name w:val="annotation text"/>
    <w:basedOn w:val="Normal"/>
    <w:link w:val="CommentTextChar"/>
    <w:uiPriority w:val="99"/>
    <w:rsid w:val="00963E97"/>
    <w:rPr>
      <w:sz w:val="20"/>
    </w:rPr>
  </w:style>
  <w:style w:type="character" w:customStyle="1" w:styleId="CommentTextChar">
    <w:name w:val="Comment Text Char"/>
    <w:basedOn w:val="DefaultParagraphFont"/>
    <w:link w:val="CommentText"/>
    <w:uiPriority w:val="99"/>
    <w:rsid w:val="00963E97"/>
  </w:style>
  <w:style w:type="character" w:customStyle="1" w:styleId="ParaNumChar">
    <w:name w:val="ParaNum Char"/>
    <w:link w:val="ParaNum"/>
    <w:rsid w:val="00963E97"/>
    <w:rPr>
      <w:snapToGrid w:val="0"/>
      <w:kern w:val="28"/>
      <w:sz w:val="22"/>
    </w:rPr>
  </w:style>
  <w:style w:type="paragraph" w:styleId="BalloonText">
    <w:name w:val="Balloon Text"/>
    <w:basedOn w:val="Normal"/>
    <w:link w:val="BalloonTextChar"/>
    <w:rsid w:val="00963E97"/>
    <w:rPr>
      <w:rFonts w:ascii="Segoe UI" w:hAnsi="Segoe UI" w:cs="Segoe UI"/>
      <w:sz w:val="18"/>
      <w:szCs w:val="18"/>
    </w:rPr>
  </w:style>
  <w:style w:type="character" w:customStyle="1" w:styleId="BalloonTextChar">
    <w:name w:val="Balloon Text Char"/>
    <w:link w:val="BalloonText"/>
    <w:rsid w:val="00963E97"/>
    <w:rPr>
      <w:rFonts w:ascii="Segoe UI" w:hAnsi="Segoe UI" w:cs="Segoe UI"/>
      <w:sz w:val="18"/>
      <w:szCs w:val="18"/>
    </w:rPr>
  </w:style>
  <w:style w:type="character" w:customStyle="1" w:styleId="UnresolvedMention1">
    <w:name w:val="Unresolved Mention1"/>
    <w:uiPriority w:val="99"/>
    <w:semiHidden/>
    <w:unhideWhenUsed/>
    <w:rsid w:val="00030B90"/>
    <w:rPr>
      <w:color w:val="808080"/>
      <w:shd w:val="clear" w:color="auto" w:fill="E6E6E6"/>
    </w:rPr>
  </w:style>
  <w:style w:type="paragraph" w:styleId="ListParagraph">
    <w:name w:val="List Paragraph"/>
    <w:basedOn w:val="Normal"/>
    <w:uiPriority w:val="72"/>
    <w:qFormat/>
    <w:rsid w:val="00A9262E"/>
    <w:pPr>
      <w:ind w:left="720"/>
    </w:pPr>
  </w:style>
  <w:style w:type="paragraph" w:styleId="CommentSubject">
    <w:name w:val="annotation subject"/>
    <w:basedOn w:val="CommentText"/>
    <w:next w:val="CommentText"/>
    <w:link w:val="CommentSubjectChar"/>
    <w:rsid w:val="00DA21CD"/>
    <w:rPr>
      <w:b/>
      <w:bCs/>
    </w:rPr>
  </w:style>
  <w:style w:type="character" w:customStyle="1" w:styleId="CommentSubjectChar">
    <w:name w:val="Comment Subject Char"/>
    <w:link w:val="CommentSubject"/>
    <w:rsid w:val="00DA21CD"/>
    <w:rPr>
      <w:b/>
      <w:bCs/>
    </w:rPr>
  </w:style>
  <w:style w:type="paragraph" w:styleId="BodyText">
    <w:name w:val="Body Text"/>
    <w:basedOn w:val="Normal"/>
    <w:link w:val="BodyTextChar"/>
    <w:rsid w:val="006F01C5"/>
    <w:pPr>
      <w:tabs>
        <w:tab w:val="left" w:pos="-720"/>
      </w:tabs>
      <w:suppressAutoHyphens/>
      <w:spacing w:line="227" w:lineRule="auto"/>
      <w:jc w:val="both"/>
    </w:pPr>
    <w:rPr>
      <w:spacing w:val="-2"/>
    </w:rPr>
  </w:style>
  <w:style w:type="character" w:customStyle="1" w:styleId="BodyTextChar">
    <w:name w:val="Body Text Char"/>
    <w:link w:val="BodyText"/>
    <w:rsid w:val="006F01C5"/>
    <w:rPr>
      <w:spacing w:val="-2"/>
      <w:sz w:val="22"/>
    </w:rPr>
  </w:style>
  <w:style w:type="character" w:customStyle="1" w:styleId="HeaderChar">
    <w:name w:val="Header Char"/>
    <w:link w:val="Header"/>
    <w:rsid w:val="000850AA"/>
    <w:rPr>
      <w:b/>
      <w:snapToGrid w:val="0"/>
      <w:kern w:val="28"/>
      <w:sz w:val="22"/>
    </w:rPr>
  </w:style>
  <w:style w:type="paragraph" w:styleId="Revision">
    <w:name w:val="Revision"/>
    <w:hidden/>
    <w:uiPriority w:val="71"/>
    <w:rsid w:val="00FB0334"/>
    <w:rPr>
      <w:sz w:val="22"/>
    </w:rPr>
  </w:style>
  <w:style w:type="paragraph" w:styleId="Title">
    <w:name w:val="Title"/>
    <w:basedOn w:val="Normal"/>
    <w:link w:val="TitleChar"/>
    <w:qFormat/>
    <w:rsid w:val="005C64C4"/>
    <w:pPr>
      <w:tabs>
        <w:tab w:val="center" w:pos="4770"/>
      </w:tabs>
      <w:spacing w:line="226" w:lineRule="auto"/>
      <w:jc w:val="center"/>
    </w:pPr>
    <w:rPr>
      <w:b/>
      <w:lang w:val="x-none" w:eastAsia="x-none"/>
    </w:rPr>
  </w:style>
  <w:style w:type="character" w:customStyle="1" w:styleId="TitleChar">
    <w:name w:val="Title Char"/>
    <w:link w:val="Title"/>
    <w:rsid w:val="005C64C4"/>
    <w:rPr>
      <w:b/>
      <w:sz w:val="22"/>
      <w:lang w:val="x-none" w:eastAsia="x-none"/>
    </w:rPr>
  </w:style>
  <w:style w:type="paragraph" w:customStyle="1" w:styleId="Paranum0">
    <w:name w:val="Paranum"/>
    <w:rsid w:val="005C64C4"/>
    <w:pPr>
      <w:numPr>
        <w:numId w:val="5"/>
      </w:numPr>
      <w:tabs>
        <w:tab w:val="left" w:pos="1440"/>
      </w:tabs>
      <w:spacing w:after="240"/>
      <w:jc w:val="both"/>
    </w:pPr>
    <w:rPr>
      <w:sz w:val="22"/>
    </w:rPr>
  </w:style>
  <w:style w:type="paragraph" w:customStyle="1" w:styleId="par1">
    <w:name w:val="par1"/>
    <w:basedOn w:val="Normal"/>
    <w:link w:val="par1Char"/>
    <w:uiPriority w:val="99"/>
    <w:rsid w:val="005C64C4"/>
    <w:pPr>
      <w:tabs>
        <w:tab w:val="num" w:pos="1080"/>
      </w:tabs>
      <w:ind w:firstLine="720"/>
    </w:pPr>
    <w:rPr>
      <w:snapToGrid/>
      <w:lang w:val="x-none" w:eastAsia="x-none"/>
    </w:rPr>
  </w:style>
  <w:style w:type="character" w:customStyle="1" w:styleId="par1Char">
    <w:name w:val="par1 Char"/>
    <w:link w:val="par1"/>
    <w:uiPriority w:val="99"/>
    <w:locked/>
    <w:rsid w:val="005C64C4"/>
    <w:rPr>
      <w:snapToGrid w:val="0"/>
      <w:kern w:val="28"/>
      <w:sz w:val="22"/>
      <w:lang w:val="x-none" w:eastAsia="x-none"/>
    </w:rPr>
  </w:style>
  <w:style w:type="paragraph" w:customStyle="1" w:styleId="ColorfulList-Accent11">
    <w:name w:val="Colorful List - Accent 11"/>
    <w:basedOn w:val="Normal"/>
    <w:qFormat/>
    <w:rsid w:val="005C64C4"/>
    <w:pPr>
      <w:ind w:left="720"/>
    </w:pPr>
    <w:rPr>
      <w:sz w:val="24"/>
      <w:szCs w:val="24"/>
    </w:rPr>
  </w:style>
  <w:style w:type="character" w:customStyle="1" w:styleId="Heading1Char">
    <w:name w:val="Heading 1 Char"/>
    <w:link w:val="Heading1"/>
    <w:locked/>
    <w:rsid w:val="005C64C4"/>
    <w:rPr>
      <w:rFonts w:ascii="Times New Roman Bold" w:hAnsi="Times New Roman Bold"/>
      <w:b/>
      <w:caps/>
      <w:snapToGrid w:val="0"/>
      <w:kern w:val="28"/>
      <w:sz w:val="22"/>
    </w:rPr>
  </w:style>
  <w:style w:type="paragraph" w:customStyle="1" w:styleId="Heading1A">
    <w:name w:val="Heading 1 A"/>
    <w:next w:val="Normal"/>
    <w:uiPriority w:val="99"/>
    <w:rsid w:val="005C64C4"/>
    <w:pPr>
      <w:keepNext/>
      <w:suppressAutoHyphens/>
      <w:spacing w:after="120"/>
      <w:outlineLvl w:val="0"/>
    </w:pPr>
    <w:rPr>
      <w:rFonts w:ascii="Times New Roman Bold" w:eastAsia="Calibri" w:hAnsi="Times New Roman Bold"/>
      <w:caps/>
      <w:color w:val="000000"/>
      <w:sz w:val="24"/>
    </w:rPr>
  </w:style>
  <w:style w:type="paragraph" w:customStyle="1" w:styleId="MediumGrid21">
    <w:name w:val="Medium Grid 21"/>
    <w:uiPriority w:val="99"/>
    <w:qFormat/>
    <w:rsid w:val="005C64C4"/>
    <w:rPr>
      <w:sz w:val="24"/>
      <w:szCs w:val="24"/>
    </w:rPr>
  </w:style>
  <w:style w:type="paragraph" w:customStyle="1" w:styleId="ColorfulShading-Accent11">
    <w:name w:val="Colorful Shading - Accent 11"/>
    <w:hidden/>
    <w:uiPriority w:val="71"/>
    <w:rsid w:val="005C64C4"/>
    <w:rPr>
      <w:snapToGrid w:val="0"/>
      <w:kern w:val="28"/>
      <w:sz w:val="22"/>
    </w:rPr>
  </w:style>
  <w:style w:type="numbering" w:customStyle="1" w:styleId="Style1">
    <w:name w:val="Style1"/>
    <w:rsid w:val="005C64C4"/>
    <w:pPr>
      <w:numPr>
        <w:numId w:val="7"/>
      </w:numPr>
    </w:pPr>
  </w:style>
  <w:style w:type="character" w:styleId="Emphasis">
    <w:name w:val="Emphasis"/>
    <w:uiPriority w:val="20"/>
    <w:qFormat/>
    <w:rsid w:val="005C64C4"/>
    <w:rPr>
      <w:i/>
      <w:iCs/>
    </w:rPr>
  </w:style>
  <w:style w:type="character" w:customStyle="1" w:styleId="cosearchterm">
    <w:name w:val="co_searchterm"/>
    <w:basedOn w:val="DefaultParagraphFont"/>
    <w:rsid w:val="005C64C4"/>
  </w:style>
  <w:style w:type="numbering" w:customStyle="1" w:styleId="StyleNumberedLeft101Hanging03">
    <w:name w:val="Style Numbered Left:  1.01&quot; Hanging:  0.3&quot;"/>
    <w:basedOn w:val="NoList"/>
    <w:rsid w:val="005C64C4"/>
    <w:pPr>
      <w:numPr>
        <w:numId w:val="11"/>
      </w:numPr>
    </w:pPr>
  </w:style>
  <w:style w:type="paragraph" w:styleId="NormalWeb">
    <w:name w:val="Normal (Web)"/>
    <w:basedOn w:val="Normal"/>
    <w:uiPriority w:val="99"/>
    <w:unhideWhenUsed/>
    <w:rsid w:val="005C64C4"/>
    <w:pPr>
      <w:spacing w:after="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fccnet\data\Bureaus-Offices\MB\Audio\Melissa.Marshall@fcc.gov"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https://apps.fcc.gov/FeeFiler/login.cfm" TargetMode="Externa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