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19-</w:t>
      </w:r>
      <w:r w:rsidRPr="001F6106" w:rsidR="001F6106">
        <w:rPr>
          <w:b/>
          <w:sz w:val="24"/>
        </w:rPr>
        <w:t>643</w:t>
      </w:r>
    </w:p>
    <w:p w:rsidR="00013A8B" w:rsidRPr="00B20363" w:rsidP="005C3935">
      <w:pPr>
        <w:tabs>
          <w:tab w:val="left" w:pos="3105"/>
          <w:tab w:val="right" w:pos="9360"/>
        </w:tabs>
        <w:spacing w:before="60"/>
        <w:rPr>
          <w:b/>
          <w:sz w:val="24"/>
        </w:rPr>
      </w:pPr>
      <w:r>
        <w:rPr>
          <w:b/>
          <w:sz w:val="24"/>
        </w:rPr>
        <w:tab/>
      </w:r>
      <w:r>
        <w:rPr>
          <w:b/>
          <w:sz w:val="24"/>
        </w:rPr>
        <w:tab/>
        <w:t xml:space="preserve">Released:  </w:t>
      </w:r>
      <w:r w:rsidR="00115492">
        <w:rPr>
          <w:b/>
          <w:sz w:val="24"/>
        </w:rPr>
        <w:t xml:space="preserve">July </w:t>
      </w:r>
      <w:r w:rsidRPr="00727CFB" w:rsidR="00727CFB">
        <w:rPr>
          <w:b/>
          <w:sz w:val="24"/>
        </w:rPr>
        <w:t>11</w:t>
      </w:r>
      <w:r w:rsidR="00B02273">
        <w:rPr>
          <w:b/>
          <w:sz w:val="24"/>
        </w:rPr>
        <w:t>, 2019</w:t>
      </w:r>
    </w:p>
    <w:p w:rsidR="00013A8B" w:rsidP="00013A8B">
      <w:pPr>
        <w:jc w:val="right"/>
        <w:rPr>
          <w:sz w:val="24"/>
        </w:rPr>
      </w:pPr>
    </w:p>
    <w:p w:rsidR="00930ECF" w:rsidP="00822549">
      <w:pPr>
        <w:spacing w:after="240"/>
        <w:jc w:val="center"/>
        <w:rPr>
          <w:b/>
          <w:sz w:val="24"/>
        </w:rPr>
      </w:pPr>
      <w:bookmarkStart w:id="0" w:name="_Hlk1037059"/>
      <w:r>
        <w:rPr>
          <w:b/>
          <w:szCs w:val="18"/>
        </w:rPr>
        <w:t xml:space="preserve">MEDIA BUREAU ESTABLISHES PLEADING CYCLE FOR </w:t>
      </w:r>
      <w:r>
        <w:rPr>
          <w:rFonts w:ascii="Times New Roman Bold" w:hAnsi="Times New Roman Bold"/>
          <w:b/>
          <w:caps/>
          <w:szCs w:val="22"/>
        </w:rPr>
        <w:t>APPLICATIONS TO TRANSFER CONTROL OF</w:t>
      </w:r>
      <w:r w:rsidR="00A55E29">
        <w:rPr>
          <w:rFonts w:ascii="Times New Roman Bold" w:hAnsi="Times New Roman Bold"/>
          <w:b/>
          <w:caps/>
          <w:szCs w:val="22"/>
        </w:rPr>
        <w:t xml:space="preserve"> </w:t>
      </w:r>
      <w:r w:rsidR="00207375">
        <w:rPr>
          <w:rFonts w:ascii="Times New Roman Bold" w:hAnsi="Times New Roman Bold"/>
          <w:b/>
          <w:caps/>
          <w:szCs w:val="22"/>
        </w:rPr>
        <w:t>COX RADIO, INC</w:t>
      </w:r>
      <w:r w:rsidR="00BB0DA0">
        <w:rPr>
          <w:rFonts w:ascii="Times New Roman Bold" w:hAnsi="Times New Roman Bold"/>
          <w:b/>
          <w:caps/>
          <w:szCs w:val="22"/>
        </w:rPr>
        <w:t>.</w:t>
      </w:r>
      <w:r w:rsidR="00E727C9">
        <w:rPr>
          <w:rFonts w:ascii="Times New Roman Bold" w:hAnsi="Times New Roman Bold"/>
          <w:b/>
          <w:caps/>
          <w:szCs w:val="22"/>
        </w:rPr>
        <w:t>,</w:t>
      </w:r>
      <w:r w:rsidR="00A55E29">
        <w:rPr>
          <w:rFonts w:ascii="Times New Roman Bold" w:hAnsi="Times New Roman Bold"/>
          <w:b/>
          <w:caps/>
          <w:szCs w:val="22"/>
        </w:rPr>
        <w:t xml:space="preserve"> </w:t>
      </w:r>
      <w:r w:rsidR="00A55E29">
        <w:rPr>
          <w:b/>
          <w:szCs w:val="18"/>
        </w:rPr>
        <w:t xml:space="preserve">TO </w:t>
      </w:r>
      <w:r w:rsidR="00BB0DA0">
        <w:rPr>
          <w:b/>
          <w:szCs w:val="18"/>
        </w:rPr>
        <w:t>TERRIER MEDIA BUYER, INC.</w:t>
      </w:r>
      <w:r w:rsidR="00E727C9">
        <w:rPr>
          <w:b/>
          <w:szCs w:val="18"/>
        </w:rPr>
        <w:t>,</w:t>
      </w:r>
      <w:r w:rsidR="00A55E29">
        <w:rPr>
          <w:b/>
          <w:szCs w:val="18"/>
        </w:rPr>
        <w:t xml:space="preserve"> </w:t>
      </w:r>
      <w:r>
        <w:rPr>
          <w:b/>
          <w:szCs w:val="18"/>
        </w:rPr>
        <w:t xml:space="preserve">AND PERMIT-BUT-DISCLOSE </w:t>
      </w:r>
      <w:r>
        <w:rPr>
          <w:b/>
          <w:i/>
          <w:szCs w:val="18"/>
        </w:rPr>
        <w:t xml:space="preserve">EX PARTE </w:t>
      </w:r>
      <w:r>
        <w:rPr>
          <w:b/>
          <w:szCs w:val="18"/>
        </w:rPr>
        <w:t>STATUS FOR THE PROCEEDING</w:t>
      </w:r>
      <w:bookmarkEnd w:id="0"/>
      <w:r>
        <w:rPr>
          <w:b/>
          <w:sz w:val="24"/>
        </w:rPr>
        <w:t xml:space="preserve"> </w:t>
      </w:r>
    </w:p>
    <w:p w:rsidR="00822549" w:rsidP="00822549">
      <w:pPr>
        <w:jc w:val="center"/>
        <w:rPr>
          <w:b/>
          <w:szCs w:val="18"/>
        </w:rPr>
      </w:pPr>
      <w:r>
        <w:rPr>
          <w:b/>
          <w:szCs w:val="18"/>
        </w:rPr>
        <w:t>MB Docket No. 19-</w:t>
      </w:r>
      <w:r w:rsidRPr="001F6106" w:rsidR="001F6106">
        <w:rPr>
          <w:b/>
          <w:szCs w:val="18"/>
        </w:rPr>
        <w:t>197</w:t>
      </w:r>
    </w:p>
    <w:p w:rsidR="00822549" w:rsidP="00822549">
      <w:pPr>
        <w:jc w:val="center"/>
        <w:rPr>
          <w:b/>
          <w:szCs w:val="18"/>
        </w:rPr>
      </w:pPr>
    </w:p>
    <w:p w:rsidR="00207375" w:rsidP="00822549">
      <w:pPr>
        <w:rPr>
          <w:b/>
          <w:szCs w:val="18"/>
        </w:rPr>
      </w:pPr>
      <w:r w:rsidRPr="00F47103">
        <w:rPr>
          <w:b/>
          <w:szCs w:val="18"/>
        </w:rPr>
        <w:t xml:space="preserve">Petition to Deny Date:  </w:t>
      </w:r>
      <w:r w:rsidR="00727CFB">
        <w:rPr>
          <w:b/>
          <w:szCs w:val="18"/>
        </w:rPr>
        <w:t>August 12, 2019</w:t>
      </w:r>
    </w:p>
    <w:p w:rsidR="00822549" w:rsidRPr="00F47103" w:rsidP="00822549">
      <w:pPr>
        <w:rPr>
          <w:b/>
          <w:szCs w:val="18"/>
        </w:rPr>
      </w:pPr>
      <w:r w:rsidRPr="00F47103">
        <w:rPr>
          <w:b/>
          <w:szCs w:val="18"/>
        </w:rPr>
        <w:t xml:space="preserve">Opposition Date:  </w:t>
      </w:r>
      <w:r w:rsidR="00727CFB">
        <w:rPr>
          <w:b/>
          <w:szCs w:val="18"/>
        </w:rPr>
        <w:t>August 22, 2019</w:t>
      </w:r>
    </w:p>
    <w:p w:rsidR="00822549" w:rsidRPr="00F47103" w:rsidP="00822549">
      <w:pPr>
        <w:rPr>
          <w:b/>
          <w:szCs w:val="18"/>
        </w:rPr>
      </w:pPr>
      <w:r w:rsidRPr="00F47103">
        <w:rPr>
          <w:b/>
          <w:szCs w:val="18"/>
        </w:rPr>
        <w:t xml:space="preserve">Reply Date: </w:t>
      </w:r>
      <w:r w:rsidR="00750AA5">
        <w:rPr>
          <w:b/>
          <w:szCs w:val="18"/>
        </w:rPr>
        <w:t xml:space="preserve"> </w:t>
      </w:r>
      <w:r w:rsidR="00727CFB">
        <w:rPr>
          <w:b/>
          <w:szCs w:val="18"/>
        </w:rPr>
        <w:t>August 29, 2019</w:t>
      </w:r>
    </w:p>
    <w:p w:rsidR="00822549" w:rsidRPr="00F47103" w:rsidP="00822549">
      <w:pPr>
        <w:jc w:val="center"/>
        <w:rPr>
          <w:b/>
          <w:szCs w:val="18"/>
        </w:rPr>
      </w:pPr>
    </w:p>
    <w:p w:rsidR="00822549" w:rsidRPr="00F47103" w:rsidP="00822549">
      <w:pPr>
        <w:rPr>
          <w:szCs w:val="18"/>
        </w:rPr>
      </w:pPr>
    </w:p>
    <w:p w:rsidR="00580050" w:rsidP="00822549">
      <w:pPr>
        <w:ind w:firstLine="720"/>
        <w:rPr>
          <w:szCs w:val="18"/>
        </w:rPr>
      </w:pPr>
      <w:r>
        <w:rPr>
          <w:szCs w:val="18"/>
        </w:rPr>
        <w:t xml:space="preserve">On </w:t>
      </w:r>
      <w:r w:rsidR="00207375">
        <w:rPr>
          <w:szCs w:val="18"/>
        </w:rPr>
        <w:t>July 2</w:t>
      </w:r>
      <w:r>
        <w:rPr>
          <w:szCs w:val="18"/>
        </w:rPr>
        <w:t>, 2019, Terrier Media Buyer, Inc. (Terrier Media)</w:t>
      </w:r>
      <w:r w:rsidR="00750AA5">
        <w:rPr>
          <w:szCs w:val="18"/>
        </w:rPr>
        <w:t xml:space="preserve">, </w:t>
      </w:r>
      <w:r w:rsidR="00207375">
        <w:rPr>
          <w:szCs w:val="18"/>
        </w:rPr>
        <w:t>Cox Radio, Inc.</w:t>
      </w:r>
      <w:r w:rsidR="00750AA5">
        <w:rPr>
          <w:szCs w:val="18"/>
        </w:rPr>
        <w:t xml:space="preserve"> (</w:t>
      </w:r>
      <w:r w:rsidR="00207375">
        <w:rPr>
          <w:szCs w:val="18"/>
        </w:rPr>
        <w:t>Cox Radio</w:t>
      </w:r>
      <w:r w:rsidR="00750AA5">
        <w:rPr>
          <w:szCs w:val="18"/>
        </w:rPr>
        <w:t>), and Cox Enterprises</w:t>
      </w:r>
      <w:r w:rsidR="00306411">
        <w:rPr>
          <w:szCs w:val="18"/>
        </w:rPr>
        <w:t>,</w:t>
      </w:r>
      <w:r w:rsidR="00750AA5">
        <w:rPr>
          <w:szCs w:val="18"/>
        </w:rPr>
        <w:t xml:space="preserve"> Inc. (Cox</w:t>
      </w:r>
      <w:r w:rsidR="007B50B7">
        <w:rPr>
          <w:szCs w:val="18"/>
        </w:rPr>
        <w:t xml:space="preserve"> Parent</w:t>
      </w:r>
      <w:r w:rsidR="00750AA5">
        <w:rPr>
          <w:szCs w:val="18"/>
        </w:rPr>
        <w:t>)</w:t>
      </w:r>
      <w:r w:rsidR="0097285A">
        <w:rPr>
          <w:szCs w:val="18"/>
        </w:rPr>
        <w:t xml:space="preserve"> (jointly, the Applicants)</w:t>
      </w:r>
      <w:r w:rsidR="00750AA5">
        <w:rPr>
          <w:szCs w:val="18"/>
        </w:rPr>
        <w:t xml:space="preserve"> filed applications with </w:t>
      </w:r>
      <w:r w:rsidRPr="00F47103" w:rsidR="00750AA5">
        <w:rPr>
          <w:szCs w:val="18"/>
        </w:rPr>
        <w:t>the Federal Communications Commission (Commission) seeking consent to</w:t>
      </w:r>
      <w:r w:rsidR="00186243">
        <w:rPr>
          <w:szCs w:val="18"/>
        </w:rPr>
        <w:t xml:space="preserve"> the transfer of control of Commission licenses</w:t>
      </w:r>
      <w:r w:rsidR="00F357DF">
        <w:rPr>
          <w:szCs w:val="18"/>
        </w:rPr>
        <w:t xml:space="preserve"> (Transfer Application)</w:t>
      </w:r>
      <w:r w:rsidR="00750AA5">
        <w:rPr>
          <w:szCs w:val="18"/>
        </w:rPr>
        <w:t xml:space="preserve">.  </w:t>
      </w:r>
      <w:r w:rsidR="00C65E73">
        <w:rPr>
          <w:szCs w:val="18"/>
        </w:rPr>
        <w:t>Applicants</w:t>
      </w:r>
      <w:r w:rsidR="00186243">
        <w:rPr>
          <w:szCs w:val="18"/>
        </w:rPr>
        <w:t xml:space="preserve"> seek consent for Terrier Media to</w:t>
      </w:r>
      <w:r w:rsidR="00750AA5">
        <w:rPr>
          <w:szCs w:val="18"/>
        </w:rPr>
        <w:t xml:space="preserve"> acquire</w:t>
      </w:r>
      <w:r w:rsidR="00186243">
        <w:rPr>
          <w:szCs w:val="18"/>
        </w:rPr>
        <w:t xml:space="preserve"> </w:t>
      </w:r>
      <w:r w:rsidR="00207375">
        <w:rPr>
          <w:szCs w:val="18"/>
        </w:rPr>
        <w:t>control of Cox Radio</w:t>
      </w:r>
      <w:r w:rsidR="001B427F">
        <w:rPr>
          <w:szCs w:val="18"/>
        </w:rPr>
        <w:t xml:space="preserve">’s 50 full-power AM and FM radio stations and associated </w:t>
      </w:r>
      <w:r w:rsidR="00B54A22">
        <w:rPr>
          <w:szCs w:val="18"/>
        </w:rPr>
        <w:t xml:space="preserve">FM </w:t>
      </w:r>
      <w:r w:rsidR="002D00A0">
        <w:rPr>
          <w:szCs w:val="18"/>
        </w:rPr>
        <w:t>t</w:t>
      </w:r>
      <w:r w:rsidR="00B54A22">
        <w:rPr>
          <w:szCs w:val="18"/>
        </w:rPr>
        <w:t>ranslator</w:t>
      </w:r>
      <w:r w:rsidR="00C65E73">
        <w:rPr>
          <w:szCs w:val="18"/>
        </w:rPr>
        <w:t xml:space="preserve"> and FM booster stations</w:t>
      </w:r>
      <w:r w:rsidR="001B427F">
        <w:rPr>
          <w:szCs w:val="18"/>
        </w:rPr>
        <w:t>.</w:t>
      </w:r>
      <w:r>
        <w:rPr>
          <w:rStyle w:val="FootnoteReference"/>
          <w:szCs w:val="18"/>
        </w:rPr>
        <w:footnoteReference w:id="3"/>
      </w:r>
      <w:r w:rsidR="001B427F">
        <w:rPr>
          <w:szCs w:val="18"/>
        </w:rPr>
        <w:t xml:space="preserve">  </w:t>
      </w:r>
      <w:r w:rsidR="00E66B63">
        <w:rPr>
          <w:szCs w:val="18"/>
        </w:rPr>
        <w:t>As part of the proposed transaction, and in order to comply with the Commission’s local radio ownership rules,</w:t>
      </w:r>
      <w:r>
        <w:rPr>
          <w:rStyle w:val="FootnoteReference"/>
          <w:szCs w:val="18"/>
        </w:rPr>
        <w:footnoteReference w:id="4"/>
      </w:r>
      <w:r w:rsidR="00E66B63">
        <w:rPr>
          <w:szCs w:val="18"/>
        </w:rPr>
        <w:t xml:space="preserve"> Cox has sought Commission consent to assign the licenses of </w:t>
      </w:r>
      <w:r w:rsidR="0041306A">
        <w:rPr>
          <w:szCs w:val="18"/>
        </w:rPr>
        <w:t xml:space="preserve">Tampa </w:t>
      </w:r>
      <w:r w:rsidR="00C65E73">
        <w:rPr>
          <w:szCs w:val="18"/>
        </w:rPr>
        <w:t>m</w:t>
      </w:r>
      <w:r w:rsidR="0041306A">
        <w:rPr>
          <w:szCs w:val="18"/>
        </w:rPr>
        <w:t xml:space="preserve">arket </w:t>
      </w:r>
      <w:r w:rsidR="00C65E73">
        <w:rPr>
          <w:szCs w:val="18"/>
        </w:rPr>
        <w:t>s</w:t>
      </w:r>
      <w:r w:rsidR="00E66B63">
        <w:rPr>
          <w:szCs w:val="18"/>
        </w:rPr>
        <w:t>tation WSUN(FM), Holiday, Florida</w:t>
      </w:r>
      <w:r w:rsidR="00C65E73">
        <w:rPr>
          <w:szCs w:val="18"/>
        </w:rPr>
        <w:t>,</w:t>
      </w:r>
      <w:r w:rsidR="00E66B63">
        <w:rPr>
          <w:szCs w:val="18"/>
        </w:rPr>
        <w:t xml:space="preserve"> and </w:t>
      </w:r>
      <w:r w:rsidR="007B50B7">
        <w:rPr>
          <w:szCs w:val="18"/>
        </w:rPr>
        <w:t xml:space="preserve">Orlando </w:t>
      </w:r>
      <w:r w:rsidR="00C65E73">
        <w:rPr>
          <w:szCs w:val="18"/>
        </w:rPr>
        <w:t>m</w:t>
      </w:r>
      <w:r w:rsidR="007B50B7">
        <w:rPr>
          <w:szCs w:val="18"/>
        </w:rPr>
        <w:t xml:space="preserve">arket </w:t>
      </w:r>
      <w:r w:rsidR="00C65E73">
        <w:rPr>
          <w:szCs w:val="18"/>
        </w:rPr>
        <w:t>s</w:t>
      </w:r>
      <w:r w:rsidR="007B50B7">
        <w:rPr>
          <w:szCs w:val="18"/>
        </w:rPr>
        <w:t xml:space="preserve">tation </w:t>
      </w:r>
      <w:r w:rsidR="00E66B63">
        <w:rPr>
          <w:szCs w:val="18"/>
        </w:rPr>
        <w:t>WPYO(FM), Maitland, Florida, to CXR Radio, LLC, a divestiture trust created for the purpose of holding those stations’ licenses and other assets.</w:t>
      </w:r>
      <w:r>
        <w:rPr>
          <w:rStyle w:val="FootnoteReference"/>
          <w:szCs w:val="18"/>
        </w:rPr>
        <w:footnoteReference w:id="5"/>
      </w:r>
    </w:p>
    <w:p w:rsidR="00B54A22" w:rsidP="00822549">
      <w:pPr>
        <w:ind w:firstLine="720"/>
        <w:rPr>
          <w:szCs w:val="18"/>
        </w:rPr>
      </w:pPr>
    </w:p>
    <w:p w:rsidR="008021CD" w:rsidP="008021CD">
      <w:pPr>
        <w:ind w:firstLine="720"/>
        <w:rPr>
          <w:szCs w:val="18"/>
        </w:rPr>
      </w:pPr>
    </w:p>
    <w:p w:rsidR="007B50B7" w:rsidRPr="00765842" w:rsidP="001D6779">
      <w:pPr>
        <w:widowControl/>
        <w:autoSpaceDE w:val="0"/>
        <w:autoSpaceDN w:val="0"/>
        <w:adjustRightInd w:val="0"/>
        <w:ind w:firstLine="720"/>
        <w:rPr>
          <w:snapToGrid/>
          <w:kern w:val="0"/>
          <w:szCs w:val="22"/>
        </w:rPr>
      </w:pPr>
      <w:r>
        <w:rPr>
          <w:i/>
          <w:szCs w:val="22"/>
        </w:rPr>
        <w:t xml:space="preserve">The </w:t>
      </w:r>
      <w:r w:rsidR="00E31AA7">
        <w:rPr>
          <w:i/>
          <w:szCs w:val="22"/>
        </w:rPr>
        <w:t>P</w:t>
      </w:r>
      <w:r>
        <w:rPr>
          <w:i/>
          <w:szCs w:val="22"/>
        </w:rPr>
        <w:t xml:space="preserve">roposed </w:t>
      </w:r>
      <w:r w:rsidR="00E31AA7">
        <w:rPr>
          <w:i/>
          <w:szCs w:val="22"/>
        </w:rPr>
        <w:t>T</w:t>
      </w:r>
      <w:r w:rsidRPr="00C65E73">
        <w:rPr>
          <w:i/>
          <w:szCs w:val="22"/>
        </w:rPr>
        <w:t>ransaction</w:t>
      </w:r>
      <w:r>
        <w:rPr>
          <w:szCs w:val="22"/>
        </w:rPr>
        <w:t xml:space="preserve">.  </w:t>
      </w:r>
      <w:r w:rsidRPr="00C65E73" w:rsidR="00B06D88">
        <w:rPr>
          <w:szCs w:val="22"/>
        </w:rPr>
        <w:t>The</w:t>
      </w:r>
      <w:r w:rsidRPr="00765842" w:rsidR="00B06D88">
        <w:rPr>
          <w:szCs w:val="22"/>
        </w:rPr>
        <w:t xml:space="preserve"> Applicants propose that Terrier Media, which is a newly created company, will become the 100% indirect </w:t>
      </w:r>
      <w:r w:rsidR="002D00A0">
        <w:rPr>
          <w:szCs w:val="22"/>
        </w:rPr>
        <w:t>owner</w:t>
      </w:r>
      <w:r w:rsidRPr="00765842" w:rsidR="002D00A0">
        <w:rPr>
          <w:szCs w:val="22"/>
        </w:rPr>
        <w:t xml:space="preserve"> </w:t>
      </w:r>
      <w:r w:rsidRPr="00765842" w:rsidR="00B06D88">
        <w:rPr>
          <w:szCs w:val="22"/>
        </w:rPr>
        <w:t xml:space="preserve">of </w:t>
      </w:r>
      <w:r w:rsidR="00921D2F">
        <w:rPr>
          <w:szCs w:val="22"/>
        </w:rPr>
        <w:t xml:space="preserve">licensee </w:t>
      </w:r>
      <w:r w:rsidRPr="00765842">
        <w:rPr>
          <w:szCs w:val="22"/>
        </w:rPr>
        <w:t>Cox Radio</w:t>
      </w:r>
      <w:r w:rsidRPr="00765842" w:rsidR="00B06D88">
        <w:rPr>
          <w:szCs w:val="22"/>
        </w:rPr>
        <w:t>.  AP IX Titan Holdings, L.P. (Titan)</w:t>
      </w:r>
      <w:r>
        <w:rPr>
          <w:szCs w:val="22"/>
        </w:rPr>
        <w:t xml:space="preserve">, a Delaware limited partnership, </w:t>
      </w:r>
      <w:r w:rsidRPr="00765842" w:rsidR="0053754C">
        <w:rPr>
          <w:szCs w:val="22"/>
        </w:rPr>
        <w:t xml:space="preserve">will hold 77% </w:t>
      </w:r>
      <w:r w:rsidR="00921D2F">
        <w:rPr>
          <w:szCs w:val="22"/>
        </w:rPr>
        <w:t>of the stock of</w:t>
      </w:r>
      <w:r w:rsidRPr="00765842" w:rsidR="0053754C">
        <w:rPr>
          <w:szCs w:val="22"/>
        </w:rPr>
        <w:t xml:space="preserve"> Terrier Media Holdings, Inc. (Terrier Holdings), </w:t>
      </w:r>
      <w:r w:rsidR="00FE22E1">
        <w:rPr>
          <w:szCs w:val="22"/>
        </w:rPr>
        <w:t xml:space="preserve">which, </w:t>
      </w:r>
      <w:r w:rsidRPr="00765842" w:rsidR="0053754C">
        <w:rPr>
          <w:szCs w:val="22"/>
        </w:rPr>
        <w:t>through a s</w:t>
      </w:r>
      <w:r w:rsidRPr="00765842" w:rsidR="00B06D88">
        <w:rPr>
          <w:szCs w:val="22"/>
        </w:rPr>
        <w:t>eries of intermediate holding companies</w:t>
      </w:r>
      <w:r>
        <w:rPr>
          <w:szCs w:val="22"/>
        </w:rPr>
        <w:t xml:space="preserve"> will control Terrier Media</w:t>
      </w:r>
      <w:r w:rsidRPr="00765842" w:rsidR="00B06D88">
        <w:rPr>
          <w:szCs w:val="22"/>
        </w:rPr>
        <w:t xml:space="preserve">.  </w:t>
      </w:r>
      <w:r w:rsidRPr="00765842">
        <w:rPr>
          <w:snapToGrid/>
          <w:kern w:val="0"/>
          <w:szCs w:val="22"/>
        </w:rPr>
        <w:t xml:space="preserve">The majority of the remaining </w:t>
      </w:r>
      <w:r w:rsidR="00921D2F">
        <w:rPr>
          <w:snapToGrid/>
          <w:kern w:val="0"/>
          <w:szCs w:val="22"/>
        </w:rPr>
        <w:t xml:space="preserve">stock in </w:t>
      </w:r>
      <w:r w:rsidRPr="00765842">
        <w:rPr>
          <w:snapToGrid/>
          <w:kern w:val="0"/>
          <w:szCs w:val="22"/>
        </w:rPr>
        <w:t>Terrier Holdings will be held by Cox Parent</w:t>
      </w:r>
      <w:r w:rsidR="005849D6">
        <w:rPr>
          <w:snapToGrid/>
          <w:kern w:val="0"/>
          <w:szCs w:val="22"/>
        </w:rPr>
        <w:t xml:space="preserve"> and </w:t>
      </w:r>
      <w:r w:rsidR="00DF798F">
        <w:rPr>
          <w:snapToGrid/>
          <w:kern w:val="0"/>
          <w:szCs w:val="22"/>
        </w:rPr>
        <w:t>other entities.</w:t>
      </w:r>
      <w:r>
        <w:rPr>
          <w:rStyle w:val="FootnoteReference"/>
          <w:snapToGrid/>
          <w:kern w:val="0"/>
          <w:szCs w:val="22"/>
        </w:rPr>
        <w:footnoteReference w:id="6"/>
      </w:r>
    </w:p>
    <w:p w:rsidR="007B50B7" w:rsidRPr="00765842" w:rsidP="007B50B7">
      <w:pPr>
        <w:widowControl/>
        <w:autoSpaceDE w:val="0"/>
        <w:autoSpaceDN w:val="0"/>
        <w:adjustRightInd w:val="0"/>
        <w:rPr>
          <w:snapToGrid/>
          <w:kern w:val="0"/>
          <w:szCs w:val="22"/>
        </w:rPr>
      </w:pPr>
    </w:p>
    <w:p w:rsidR="00765842" w:rsidRPr="00765842" w:rsidP="00765842">
      <w:pPr>
        <w:widowControl/>
        <w:autoSpaceDE w:val="0"/>
        <w:autoSpaceDN w:val="0"/>
        <w:adjustRightInd w:val="0"/>
        <w:ind w:firstLine="720"/>
        <w:rPr>
          <w:snapToGrid/>
          <w:kern w:val="0"/>
          <w:szCs w:val="22"/>
        </w:rPr>
      </w:pPr>
      <w:r w:rsidRPr="00765842">
        <w:rPr>
          <w:snapToGrid/>
          <w:kern w:val="0"/>
          <w:szCs w:val="22"/>
        </w:rPr>
        <w:t>The general partner of Titan – AP IX Titan Holdings GP, LLC – is a Delaware limited</w:t>
      </w:r>
    </w:p>
    <w:p w:rsidR="00765842" w:rsidRPr="00765842" w:rsidP="00765842">
      <w:pPr>
        <w:widowControl/>
        <w:autoSpaceDE w:val="0"/>
        <w:autoSpaceDN w:val="0"/>
        <w:adjustRightInd w:val="0"/>
        <w:rPr>
          <w:snapToGrid/>
          <w:kern w:val="0"/>
          <w:szCs w:val="22"/>
        </w:rPr>
      </w:pPr>
      <w:r w:rsidRPr="00765842">
        <w:rPr>
          <w:snapToGrid/>
          <w:kern w:val="0"/>
          <w:szCs w:val="22"/>
        </w:rPr>
        <w:t>liability company, the sole member of which is AP IX (PMC) VoteCo, LLC (VoteCo).</w:t>
      </w:r>
    </w:p>
    <w:p w:rsidR="00765842" w:rsidP="00765842">
      <w:pPr>
        <w:widowControl/>
        <w:autoSpaceDE w:val="0"/>
        <w:autoSpaceDN w:val="0"/>
        <w:adjustRightInd w:val="0"/>
        <w:rPr>
          <w:snapToGrid/>
          <w:kern w:val="0"/>
          <w:szCs w:val="22"/>
        </w:rPr>
      </w:pPr>
      <w:r w:rsidRPr="00765842">
        <w:rPr>
          <w:snapToGrid/>
          <w:kern w:val="0"/>
          <w:szCs w:val="22"/>
        </w:rPr>
        <w:t>VoteCo</w:t>
      </w:r>
      <w:r w:rsidR="00C65E73">
        <w:rPr>
          <w:snapToGrid/>
          <w:kern w:val="0"/>
          <w:szCs w:val="22"/>
        </w:rPr>
        <w:t xml:space="preserve"> is wholly owned and controlled by its</w:t>
      </w:r>
      <w:r w:rsidRPr="00765842">
        <w:rPr>
          <w:snapToGrid/>
          <w:kern w:val="0"/>
          <w:szCs w:val="22"/>
        </w:rPr>
        <w:t xml:space="preserve"> three members: Scott Kleinman, John Suydam, and David Sambur, each of whom</w:t>
      </w:r>
      <w:r w:rsidR="00C65E73">
        <w:rPr>
          <w:snapToGrid/>
          <w:kern w:val="0"/>
          <w:szCs w:val="22"/>
        </w:rPr>
        <w:t xml:space="preserve"> </w:t>
      </w:r>
      <w:r w:rsidRPr="00765842">
        <w:rPr>
          <w:snapToGrid/>
          <w:kern w:val="0"/>
          <w:szCs w:val="22"/>
        </w:rPr>
        <w:t xml:space="preserve">will vote a one-third interest in </w:t>
      </w:r>
      <w:r w:rsidRPr="00765842">
        <w:rPr>
          <w:snapToGrid/>
          <w:kern w:val="0"/>
          <w:szCs w:val="22"/>
        </w:rPr>
        <w:t>VoteCo</w:t>
      </w:r>
      <w:r w:rsidR="008821C9">
        <w:rPr>
          <w:snapToGrid/>
          <w:kern w:val="0"/>
          <w:szCs w:val="22"/>
        </w:rPr>
        <w:t xml:space="preserve"> and is a U.S. citizen</w:t>
      </w:r>
      <w:r>
        <w:rPr>
          <w:snapToGrid/>
          <w:kern w:val="0"/>
          <w:szCs w:val="22"/>
        </w:rPr>
        <w:t xml:space="preserve">.  </w:t>
      </w:r>
      <w:r w:rsidRPr="00765842">
        <w:rPr>
          <w:snapToGrid/>
          <w:kern w:val="0"/>
          <w:szCs w:val="22"/>
        </w:rPr>
        <w:t>The sole limited partner of Titan will be AIF IX (PMC Equity AIV), L.P. (PMC</w:t>
      </w:r>
      <w:r>
        <w:rPr>
          <w:snapToGrid/>
          <w:kern w:val="0"/>
          <w:szCs w:val="22"/>
        </w:rPr>
        <w:t xml:space="preserve"> </w:t>
      </w:r>
      <w:r w:rsidRPr="00765842">
        <w:rPr>
          <w:snapToGrid/>
          <w:kern w:val="0"/>
          <w:szCs w:val="22"/>
        </w:rPr>
        <w:t>Equity), a newly formed Delaware limited partnership whose sole general partner will be</w:t>
      </w:r>
      <w:r>
        <w:rPr>
          <w:snapToGrid/>
          <w:kern w:val="0"/>
          <w:szCs w:val="22"/>
        </w:rPr>
        <w:t xml:space="preserve"> </w:t>
      </w:r>
      <w:r w:rsidRPr="00765842">
        <w:rPr>
          <w:snapToGrid/>
          <w:kern w:val="0"/>
          <w:szCs w:val="22"/>
        </w:rPr>
        <w:t>VoteCo, an entity that, as described above, is wholly owned and controlled by natural persons</w:t>
      </w:r>
      <w:r w:rsidR="002D00A0">
        <w:rPr>
          <w:snapToGrid/>
          <w:kern w:val="0"/>
          <w:szCs w:val="22"/>
        </w:rPr>
        <w:t xml:space="preserve"> </w:t>
      </w:r>
      <w:r w:rsidRPr="00765842">
        <w:rPr>
          <w:snapToGrid/>
          <w:kern w:val="0"/>
          <w:szCs w:val="22"/>
        </w:rPr>
        <w:t xml:space="preserve">who are citizens of the United States. </w:t>
      </w:r>
      <w:r>
        <w:rPr>
          <w:snapToGrid/>
          <w:kern w:val="0"/>
          <w:szCs w:val="22"/>
        </w:rPr>
        <w:t xml:space="preserve"> </w:t>
      </w:r>
      <w:r w:rsidR="00EC07A0">
        <w:rPr>
          <w:snapToGrid/>
          <w:kern w:val="0"/>
          <w:szCs w:val="22"/>
        </w:rPr>
        <w:t>The applicants state that e</w:t>
      </w:r>
      <w:r w:rsidRPr="00765842">
        <w:rPr>
          <w:snapToGrid/>
          <w:kern w:val="0"/>
          <w:szCs w:val="22"/>
        </w:rPr>
        <w:t>ach of the limited partners of PMC Equity will be</w:t>
      </w:r>
      <w:r w:rsidR="00EC07A0">
        <w:rPr>
          <w:snapToGrid/>
          <w:kern w:val="0"/>
          <w:szCs w:val="22"/>
        </w:rPr>
        <w:t xml:space="preserve"> </w:t>
      </w:r>
      <w:r w:rsidRPr="00765842">
        <w:rPr>
          <w:snapToGrid/>
          <w:kern w:val="0"/>
          <w:szCs w:val="22"/>
        </w:rPr>
        <w:t>insulated from material involvement in the business and operations of Titan</w:t>
      </w:r>
      <w:r w:rsidR="000118E1">
        <w:rPr>
          <w:snapToGrid/>
          <w:kern w:val="0"/>
          <w:szCs w:val="22"/>
        </w:rPr>
        <w:t>, including the broadcast operations of Terrier Holdings and its subsidiaries,</w:t>
      </w:r>
      <w:r>
        <w:rPr>
          <w:snapToGrid/>
          <w:kern w:val="0"/>
          <w:szCs w:val="22"/>
        </w:rPr>
        <w:t xml:space="preserve"> pursuant to Commis</w:t>
      </w:r>
      <w:r w:rsidR="00B456D3">
        <w:rPr>
          <w:snapToGrid/>
          <w:kern w:val="0"/>
          <w:szCs w:val="22"/>
        </w:rPr>
        <w:t>sio</w:t>
      </w:r>
      <w:r>
        <w:rPr>
          <w:snapToGrid/>
          <w:kern w:val="0"/>
          <w:szCs w:val="22"/>
        </w:rPr>
        <w:t xml:space="preserve">n </w:t>
      </w:r>
      <w:r w:rsidR="000118E1">
        <w:rPr>
          <w:snapToGrid/>
          <w:kern w:val="0"/>
          <w:szCs w:val="22"/>
        </w:rPr>
        <w:t>r</w:t>
      </w:r>
      <w:r>
        <w:rPr>
          <w:snapToGrid/>
          <w:kern w:val="0"/>
          <w:szCs w:val="22"/>
        </w:rPr>
        <w:t>ules.</w:t>
      </w:r>
      <w:r>
        <w:rPr>
          <w:rStyle w:val="FootnoteReference"/>
          <w:snapToGrid/>
          <w:kern w:val="0"/>
          <w:szCs w:val="22"/>
        </w:rPr>
        <w:footnoteReference w:id="7"/>
      </w:r>
      <w:r>
        <w:rPr>
          <w:snapToGrid/>
          <w:kern w:val="0"/>
          <w:szCs w:val="22"/>
        </w:rPr>
        <w:t xml:space="preserve">  </w:t>
      </w:r>
    </w:p>
    <w:p w:rsidR="002D00A0" w:rsidP="00765842">
      <w:pPr>
        <w:widowControl/>
        <w:autoSpaceDE w:val="0"/>
        <w:autoSpaceDN w:val="0"/>
        <w:adjustRightInd w:val="0"/>
        <w:rPr>
          <w:snapToGrid/>
          <w:kern w:val="0"/>
          <w:szCs w:val="22"/>
        </w:rPr>
      </w:pPr>
    </w:p>
    <w:p w:rsidR="002D00A0" w:rsidP="00140028">
      <w:pPr>
        <w:widowControl/>
        <w:autoSpaceDE w:val="0"/>
        <w:autoSpaceDN w:val="0"/>
        <w:adjustRightInd w:val="0"/>
        <w:ind w:firstLine="720"/>
        <w:rPr>
          <w:snapToGrid/>
          <w:kern w:val="0"/>
          <w:szCs w:val="22"/>
        </w:rPr>
      </w:pPr>
      <w:r w:rsidRPr="006A531B">
        <w:rPr>
          <w:szCs w:val="22"/>
        </w:rPr>
        <w:t>According to the Applicants, with the exception of the Tampa and Orlando markets, there are no new or existing station combinations created by the transaction that would implicate the local radio ownership rules.</w:t>
      </w:r>
      <w:r>
        <w:rPr>
          <w:rStyle w:val="FootnoteReference"/>
          <w:szCs w:val="22"/>
        </w:rPr>
        <w:footnoteReference w:id="8"/>
      </w:r>
      <w:r w:rsidRPr="006A531B">
        <w:rPr>
          <w:szCs w:val="22"/>
        </w:rPr>
        <w:t xml:space="preserve">  They indicate that</w:t>
      </w:r>
      <w:r>
        <w:rPr>
          <w:szCs w:val="22"/>
        </w:rPr>
        <w:t>,</w:t>
      </w:r>
      <w:r w:rsidRPr="006A531B">
        <w:rPr>
          <w:szCs w:val="22"/>
        </w:rPr>
        <w:t xml:space="preserve"> </w:t>
      </w:r>
      <w:r>
        <w:rPr>
          <w:szCs w:val="22"/>
        </w:rPr>
        <w:t>b</w:t>
      </w:r>
      <w:r w:rsidRPr="006A531B">
        <w:rPr>
          <w:snapToGrid/>
          <w:kern w:val="0"/>
          <w:szCs w:val="22"/>
        </w:rPr>
        <w:t>ecause the Divestiture Trust structure includes proper</w:t>
      </w:r>
      <w:r>
        <w:rPr>
          <w:snapToGrid/>
          <w:kern w:val="0"/>
          <w:szCs w:val="22"/>
        </w:rPr>
        <w:t xml:space="preserve"> </w:t>
      </w:r>
      <w:r w:rsidRPr="006A531B">
        <w:rPr>
          <w:snapToGrid/>
          <w:kern w:val="0"/>
          <w:szCs w:val="22"/>
        </w:rPr>
        <w:t xml:space="preserve">insulation, the </w:t>
      </w:r>
      <w:r>
        <w:rPr>
          <w:snapToGrid/>
          <w:kern w:val="0"/>
          <w:szCs w:val="22"/>
        </w:rPr>
        <w:t>stations to be</w:t>
      </w:r>
      <w:r w:rsidRPr="006A531B">
        <w:rPr>
          <w:snapToGrid/>
          <w:kern w:val="0"/>
          <w:szCs w:val="22"/>
        </w:rPr>
        <w:t xml:space="preserve"> assigned to the Divestiture Trust will not be attributable to</w:t>
      </w:r>
      <w:r>
        <w:rPr>
          <w:snapToGrid/>
          <w:kern w:val="0"/>
          <w:szCs w:val="22"/>
        </w:rPr>
        <w:t xml:space="preserve"> </w:t>
      </w:r>
      <w:r w:rsidRPr="006A531B">
        <w:rPr>
          <w:snapToGrid/>
          <w:kern w:val="0"/>
          <w:szCs w:val="22"/>
        </w:rPr>
        <w:t>Cox Radio or Terrier Media for the purposes of the local radio ownership rule upon</w:t>
      </w:r>
      <w:r>
        <w:rPr>
          <w:snapToGrid/>
          <w:kern w:val="0"/>
          <w:szCs w:val="22"/>
        </w:rPr>
        <w:t xml:space="preserve"> </w:t>
      </w:r>
      <w:r w:rsidRPr="006A531B">
        <w:rPr>
          <w:snapToGrid/>
          <w:kern w:val="0"/>
          <w:szCs w:val="22"/>
        </w:rPr>
        <w:t xml:space="preserve">consummation of the assignment of the </w:t>
      </w:r>
      <w:r>
        <w:rPr>
          <w:snapToGrid/>
          <w:kern w:val="0"/>
          <w:szCs w:val="22"/>
        </w:rPr>
        <w:t xml:space="preserve">stations to the </w:t>
      </w:r>
      <w:r w:rsidRPr="006A531B">
        <w:rPr>
          <w:snapToGrid/>
          <w:kern w:val="0"/>
          <w:szCs w:val="22"/>
        </w:rPr>
        <w:t>Divestiture Trust, thereby</w:t>
      </w:r>
      <w:r>
        <w:rPr>
          <w:snapToGrid/>
          <w:kern w:val="0"/>
          <w:szCs w:val="22"/>
        </w:rPr>
        <w:t xml:space="preserve"> </w:t>
      </w:r>
      <w:r w:rsidRPr="006A531B">
        <w:rPr>
          <w:snapToGrid/>
          <w:kern w:val="0"/>
          <w:szCs w:val="22"/>
        </w:rPr>
        <w:t>permitting the proposed transfer of control of Cox Radio to Terrier Media to proceed in</w:t>
      </w:r>
      <w:r>
        <w:rPr>
          <w:snapToGrid/>
          <w:kern w:val="0"/>
          <w:szCs w:val="22"/>
        </w:rPr>
        <w:t xml:space="preserve"> </w:t>
      </w:r>
      <w:r w:rsidRPr="006A531B">
        <w:rPr>
          <w:snapToGrid/>
          <w:kern w:val="0"/>
          <w:szCs w:val="22"/>
        </w:rPr>
        <w:t>compliance with the Commission’s local radio ownership rule.</w:t>
      </w:r>
    </w:p>
    <w:p w:rsidR="00DF7D6B" w:rsidP="00765842">
      <w:pPr>
        <w:widowControl/>
        <w:autoSpaceDE w:val="0"/>
        <w:autoSpaceDN w:val="0"/>
        <w:adjustRightInd w:val="0"/>
        <w:rPr>
          <w:snapToGrid/>
          <w:kern w:val="0"/>
          <w:szCs w:val="22"/>
        </w:rPr>
      </w:pPr>
    </w:p>
    <w:p w:rsidR="00DF7D6B" w:rsidRPr="00C07472" w:rsidP="00DF7D6B">
      <w:pPr>
        <w:ind w:firstLine="720"/>
        <w:rPr>
          <w:szCs w:val="22"/>
        </w:rPr>
      </w:pPr>
      <w:r>
        <w:rPr>
          <w:i/>
          <w:szCs w:val="22"/>
        </w:rPr>
        <w:t>Foreign Ownership.</w:t>
      </w:r>
      <w:r>
        <w:rPr>
          <w:szCs w:val="22"/>
        </w:rPr>
        <w:t xml:space="preserve">  </w:t>
      </w:r>
      <w:r w:rsidRPr="0037080D">
        <w:rPr>
          <w:szCs w:val="22"/>
        </w:rPr>
        <w:t xml:space="preserve">Section </w:t>
      </w:r>
      <w:r w:rsidRPr="00EF797D">
        <w:rPr>
          <w:bCs/>
          <w:szCs w:val="22"/>
        </w:rPr>
        <w:t>310</w:t>
      </w:r>
      <w:r w:rsidRPr="0037080D">
        <w:rPr>
          <w:szCs w:val="22"/>
        </w:rPr>
        <w:t>(</w:t>
      </w:r>
      <w:r w:rsidRPr="00EF797D">
        <w:rPr>
          <w:bCs/>
          <w:szCs w:val="22"/>
        </w:rPr>
        <w:t>b</w:t>
      </w:r>
      <w:r w:rsidRPr="0037080D">
        <w:rPr>
          <w:szCs w:val="22"/>
        </w:rPr>
        <w:t>)(</w:t>
      </w:r>
      <w:r w:rsidRPr="00EF797D">
        <w:rPr>
          <w:bCs/>
          <w:szCs w:val="22"/>
        </w:rPr>
        <w:t>4</w:t>
      </w:r>
      <w:r w:rsidRPr="0037080D">
        <w:rPr>
          <w:szCs w:val="22"/>
        </w:rPr>
        <w:t xml:space="preserve">) of the </w:t>
      </w:r>
      <w:r>
        <w:rPr>
          <w:szCs w:val="22"/>
        </w:rPr>
        <w:t xml:space="preserve">Communications </w:t>
      </w:r>
      <w:r w:rsidRPr="0037080D">
        <w:rPr>
          <w:szCs w:val="22"/>
        </w:rPr>
        <w:t>Act</w:t>
      </w:r>
      <w:r>
        <w:rPr>
          <w:szCs w:val="22"/>
        </w:rPr>
        <w:t xml:space="preserve"> of 1934, as amended,</w:t>
      </w:r>
      <w:r w:rsidRPr="0037080D">
        <w:rPr>
          <w:szCs w:val="22"/>
        </w:rPr>
        <w:t xml:space="preserve"> </w:t>
      </w:r>
      <w:r>
        <w:rPr>
          <w:szCs w:val="22"/>
        </w:rPr>
        <w:t>states, in part, that “no [broadcast station] license shall be granted to any corporation of which more than one-fourth of the capital stock is owned of record or voted by aliens . . . if the Commission finds that the public interest will be served by refusal or revocation of such license.”</w:t>
      </w:r>
      <w:r>
        <w:rPr>
          <w:rStyle w:val="FootnoteReference"/>
          <w:szCs w:val="22"/>
        </w:rPr>
        <w:footnoteReference w:id="9"/>
      </w:r>
      <w:r>
        <w:rPr>
          <w:szCs w:val="22"/>
        </w:rPr>
        <w:t xml:space="preserve">  The three members of VoteCo are U.S. citizens.</w:t>
      </w:r>
      <w:r>
        <w:rPr>
          <w:rStyle w:val="FootnoteReference"/>
          <w:szCs w:val="22"/>
        </w:rPr>
        <w:footnoteReference w:id="10"/>
      </w:r>
      <w:r>
        <w:rPr>
          <w:szCs w:val="22"/>
        </w:rPr>
        <w:t xml:space="preserve">  The Applicants state that the limited partner investors in the ownership chain of Terrier Holdings are all insulated in accordance with the Commission’s rules.  According to the Applicants, foreign ownership in PMC Equity, arising principally from minority foreign interests in certain of PMC Equity’s limited partners, will be well below the 25 percent benchmark.</w:t>
      </w:r>
      <w:r>
        <w:rPr>
          <w:rStyle w:val="FootnoteReference"/>
          <w:szCs w:val="22"/>
        </w:rPr>
        <w:footnoteReference w:id="11"/>
      </w:r>
      <w:r>
        <w:rPr>
          <w:szCs w:val="22"/>
        </w:rPr>
        <w:t xml:space="preserve">  </w:t>
      </w:r>
    </w:p>
    <w:p w:rsidR="00765842" w:rsidRPr="00966396" w:rsidP="00765842">
      <w:pPr>
        <w:widowControl/>
        <w:autoSpaceDE w:val="0"/>
        <w:autoSpaceDN w:val="0"/>
        <w:adjustRightInd w:val="0"/>
        <w:rPr>
          <w:snapToGrid/>
          <w:kern w:val="0"/>
          <w:szCs w:val="22"/>
        </w:rPr>
      </w:pPr>
    </w:p>
    <w:p w:rsidR="00961892" w:rsidP="00961892">
      <w:pPr>
        <w:ind w:firstLine="720"/>
        <w:rPr>
          <w:szCs w:val="22"/>
        </w:rPr>
      </w:pPr>
      <w:r w:rsidRPr="00966396">
        <w:rPr>
          <w:szCs w:val="22"/>
        </w:rPr>
        <w:t xml:space="preserve">VoteCo managing members John Suydam and Scott Kleinman are officers of Apollo Global Management, LLC (AGM), a publicly traded investment management company, and each of the </w:t>
      </w:r>
      <w:r w:rsidRPr="00966396">
        <w:rPr>
          <w:szCs w:val="22"/>
        </w:rPr>
        <w:t xml:space="preserve">managing members and officers of VoteCo is employed by an affiliate of </w:t>
      </w:r>
      <w:r w:rsidRPr="00966396" w:rsidR="00966396">
        <w:rPr>
          <w:szCs w:val="22"/>
        </w:rPr>
        <w:t>AGM</w:t>
      </w:r>
      <w:r w:rsidRPr="00966396">
        <w:rPr>
          <w:szCs w:val="22"/>
        </w:rPr>
        <w:t>, as are certain officers of Terrier Media.</w:t>
      </w:r>
      <w:r>
        <w:rPr>
          <w:rStyle w:val="FootnoteReference"/>
          <w:szCs w:val="22"/>
        </w:rPr>
        <w:footnoteReference w:id="12"/>
      </w:r>
      <w:r w:rsidRPr="00966396">
        <w:rPr>
          <w:szCs w:val="22"/>
        </w:rPr>
        <w:t xml:space="preserve">  </w:t>
      </w:r>
      <w:r w:rsidRPr="00966396" w:rsidR="006A531B">
        <w:rPr>
          <w:snapToGrid/>
          <w:kern w:val="0"/>
          <w:szCs w:val="22"/>
        </w:rPr>
        <w:t xml:space="preserve">AGM is a Delaware limited liability company controlled by three U.S. citizens, but AGM is treated as foreign-owned under the Commission’s foreign ownership analysis because the voting interests of its U.S. owners are held through a Cayman Islands entity. </w:t>
      </w:r>
      <w:r w:rsidR="006A531B">
        <w:rPr>
          <w:snapToGrid/>
          <w:kern w:val="0"/>
          <w:szCs w:val="22"/>
        </w:rPr>
        <w:t xml:space="preserve"> </w:t>
      </w:r>
      <w:r>
        <w:t>The Applicants state that n</w:t>
      </w:r>
      <w:r w:rsidRPr="0053754C">
        <w:t>either AGM nor any AGM affiliate</w:t>
      </w:r>
      <w:r>
        <w:t xml:space="preserve"> </w:t>
      </w:r>
      <w:r w:rsidRPr="0053754C">
        <w:t xml:space="preserve">will have any voting rights or attributable </w:t>
      </w:r>
      <w:r w:rsidR="002D00A0">
        <w:t xml:space="preserve">ownership </w:t>
      </w:r>
      <w:r w:rsidRPr="0053754C">
        <w:t xml:space="preserve">interest in </w:t>
      </w:r>
      <w:r w:rsidRPr="0053754C">
        <w:t>VoteCo</w:t>
      </w:r>
      <w:r w:rsidRPr="0053754C">
        <w:t>, Titan, PMC Equity, Terrier</w:t>
      </w:r>
      <w:r>
        <w:t xml:space="preserve"> </w:t>
      </w:r>
      <w:r w:rsidRPr="0053754C">
        <w:t>Holdings or any subsidiary of Terrier Holdings</w:t>
      </w:r>
      <w:r>
        <w:t>.</w:t>
      </w:r>
      <w:r>
        <w:rPr>
          <w:rStyle w:val="FootnoteReference"/>
        </w:rPr>
        <w:footnoteReference w:id="13"/>
      </w:r>
      <w:r>
        <w:t xml:space="preserve">  </w:t>
      </w:r>
      <w:bookmarkStart w:id="1" w:name="_Hlk13741032"/>
      <w:r w:rsidRPr="00966396" w:rsidR="006C7D8B">
        <w:rPr>
          <w:szCs w:val="22"/>
        </w:rPr>
        <w:t>The Applicants indicate</w:t>
      </w:r>
      <w:r w:rsidR="006C7D8B">
        <w:rPr>
          <w:szCs w:val="22"/>
        </w:rPr>
        <w:t>, however,</w:t>
      </w:r>
      <w:r w:rsidRPr="00966396" w:rsidR="006C7D8B">
        <w:rPr>
          <w:szCs w:val="22"/>
        </w:rPr>
        <w:t xml:space="preserve"> that </w:t>
      </w:r>
      <w:r w:rsidRPr="00966396" w:rsidR="006C7D8B">
        <w:rPr>
          <w:snapToGrid/>
          <w:kern w:val="0"/>
          <w:szCs w:val="22"/>
        </w:rPr>
        <w:t>Terrier Media expects to have a business relationship with certain subsidiaries of AGM upon consummation of the pending transactions</w:t>
      </w:r>
      <w:r w:rsidR="006C7D8B">
        <w:rPr>
          <w:snapToGrid/>
          <w:kern w:val="0"/>
          <w:szCs w:val="22"/>
        </w:rPr>
        <w:t xml:space="preserve"> and that c</w:t>
      </w:r>
      <w:r w:rsidRPr="00966396" w:rsidR="006C7D8B">
        <w:rPr>
          <w:snapToGrid/>
          <w:kern w:val="0"/>
          <w:szCs w:val="22"/>
        </w:rPr>
        <w:t xml:space="preserve">ertain </w:t>
      </w:r>
      <w:r w:rsidR="006C7D8B">
        <w:rPr>
          <w:snapToGrid/>
          <w:kern w:val="0"/>
          <w:szCs w:val="22"/>
        </w:rPr>
        <w:t>advisory affiliates</w:t>
      </w:r>
      <w:r w:rsidRPr="00966396" w:rsidR="006C7D8B">
        <w:rPr>
          <w:snapToGrid/>
          <w:kern w:val="0"/>
          <w:szCs w:val="22"/>
        </w:rPr>
        <w:t xml:space="preserve"> of AGM will</w:t>
      </w:r>
      <w:r w:rsidR="006C7D8B">
        <w:rPr>
          <w:snapToGrid/>
          <w:kern w:val="0"/>
          <w:szCs w:val="22"/>
        </w:rPr>
        <w:t xml:space="preserve"> provide strategic advice and financial and management services for the</w:t>
      </w:r>
      <w:r w:rsidRPr="00966396" w:rsidR="006C7D8B">
        <w:rPr>
          <w:snapToGrid/>
          <w:kern w:val="0"/>
          <w:szCs w:val="22"/>
        </w:rPr>
        <w:t xml:space="preserve"> operations of Terrier Media.</w:t>
      </w:r>
    </w:p>
    <w:bookmarkEnd w:id="1"/>
    <w:p w:rsidR="00961892" w:rsidP="00966396">
      <w:pPr>
        <w:widowControl/>
        <w:autoSpaceDE w:val="0"/>
        <w:autoSpaceDN w:val="0"/>
        <w:adjustRightInd w:val="0"/>
        <w:ind w:firstLine="720"/>
        <w:rPr>
          <w:szCs w:val="22"/>
        </w:rPr>
      </w:pPr>
    </w:p>
    <w:p w:rsidR="00765842" w:rsidP="00966396">
      <w:pPr>
        <w:widowControl/>
        <w:autoSpaceDE w:val="0"/>
        <w:autoSpaceDN w:val="0"/>
        <w:adjustRightInd w:val="0"/>
        <w:ind w:firstLine="720"/>
        <w:rPr>
          <w:szCs w:val="22"/>
        </w:rPr>
      </w:pPr>
      <w:r>
        <w:rPr>
          <w:snapToGrid/>
          <w:kern w:val="0"/>
          <w:szCs w:val="18"/>
        </w:rPr>
        <w:t>In a Petition for Declaratory Ruling, Terrier Media seeks Commission authorization for foreign investors, including existing investors and/or AGM, to own up to 100% of Terrier Media’s equity and voting interests and, to the extent the Commission determines appropriate, up to 100% of AGM’s equity and voting interests.</w:t>
      </w:r>
      <w:r>
        <w:rPr>
          <w:rStyle w:val="FootnoteReference"/>
          <w:snapToGrid/>
          <w:kern w:val="0"/>
          <w:szCs w:val="18"/>
        </w:rPr>
        <w:footnoteReference w:id="14"/>
      </w:r>
      <w:r>
        <w:rPr>
          <w:snapToGrid/>
          <w:kern w:val="0"/>
          <w:szCs w:val="18"/>
        </w:rPr>
        <w:t xml:space="preserve">  </w:t>
      </w:r>
      <w:r w:rsidR="007F2B6E">
        <w:rPr>
          <w:snapToGrid/>
          <w:kern w:val="0"/>
          <w:szCs w:val="22"/>
        </w:rPr>
        <w:t>A separate public notice has been issued establishing a pleading cycle for the Petition for Declaratory Ruling.</w:t>
      </w:r>
      <w:r>
        <w:rPr>
          <w:rStyle w:val="FootnoteReference"/>
          <w:snapToGrid/>
          <w:kern w:val="0"/>
          <w:szCs w:val="22"/>
        </w:rPr>
        <w:footnoteReference w:id="15"/>
      </w:r>
    </w:p>
    <w:p w:rsidR="00765842" w:rsidRPr="006A531B" w:rsidP="00765842">
      <w:pPr>
        <w:widowControl/>
        <w:autoSpaceDE w:val="0"/>
        <w:autoSpaceDN w:val="0"/>
        <w:adjustRightInd w:val="0"/>
        <w:rPr>
          <w:snapToGrid/>
          <w:kern w:val="0"/>
          <w:szCs w:val="22"/>
        </w:rPr>
      </w:pPr>
      <w:r>
        <w:rPr>
          <w:snapToGrid/>
          <w:kern w:val="0"/>
          <w:szCs w:val="22"/>
        </w:rPr>
        <w:tab/>
      </w:r>
    </w:p>
    <w:p w:rsidR="008F2FAF" w:rsidRPr="006A531B" w:rsidP="009B36C9">
      <w:pPr>
        <w:ind w:firstLine="720"/>
        <w:rPr>
          <w:szCs w:val="22"/>
        </w:rPr>
      </w:pPr>
    </w:p>
    <w:p w:rsidR="00822549" w:rsidRPr="006A531B" w:rsidP="00822549">
      <w:pPr>
        <w:spacing w:before="120" w:after="240"/>
        <w:rPr>
          <w:b/>
          <w:szCs w:val="22"/>
        </w:rPr>
      </w:pPr>
      <w:r w:rsidRPr="006A531B">
        <w:rPr>
          <w:b/>
          <w:i/>
          <w:szCs w:val="22"/>
        </w:rPr>
        <w:t>EX PARTE</w:t>
      </w:r>
      <w:r w:rsidRPr="006A531B">
        <w:rPr>
          <w:b/>
          <w:szCs w:val="22"/>
        </w:rPr>
        <w:t xml:space="preserve"> STATUS OF THIS PROCEEDING</w:t>
      </w:r>
    </w:p>
    <w:p w:rsidR="00822549" w:rsidP="00822549">
      <w:pPr>
        <w:ind w:firstLine="720"/>
        <w:rPr>
          <w:szCs w:val="22"/>
          <w:highlight w:val="yellow"/>
        </w:rPr>
      </w:pPr>
      <w:r>
        <w:rPr>
          <w:szCs w:val="22"/>
        </w:rPr>
        <w:t xml:space="preserve">In order to assure the staff’s ability to discuss and obtain information needed to resolve the issues presented, by this Public Notice and pursuant to </w:t>
      </w:r>
      <w:r w:rsidR="00F60054">
        <w:rPr>
          <w:szCs w:val="22"/>
        </w:rPr>
        <w:t>s</w:t>
      </w:r>
      <w:r>
        <w:rPr>
          <w:szCs w:val="22"/>
        </w:rPr>
        <w:t xml:space="preserve">ection 1.1200(a) of the </w:t>
      </w:r>
      <w:r w:rsidR="001112CE">
        <w:rPr>
          <w:szCs w:val="22"/>
        </w:rPr>
        <w:t>Commission’s r</w:t>
      </w:r>
      <w:r>
        <w:rPr>
          <w:szCs w:val="22"/>
        </w:rPr>
        <w:t>ules,</w:t>
      </w:r>
      <w:r>
        <w:rPr>
          <w:rStyle w:val="FootnoteReference"/>
          <w:szCs w:val="22"/>
        </w:rPr>
        <w:footnoteReference w:id="16"/>
      </w:r>
      <w:r>
        <w:rPr>
          <w:szCs w:val="22"/>
        </w:rPr>
        <w:t xml:space="preserve"> we establish a docket for this proceeding and announce that the </w:t>
      </w:r>
      <w:r>
        <w:rPr>
          <w:i/>
          <w:szCs w:val="22"/>
        </w:rPr>
        <w:t>ex parte</w:t>
      </w:r>
      <w:r>
        <w:rPr>
          <w:szCs w:val="22"/>
        </w:rPr>
        <w:t xml:space="preserve"> procedures applicable to permit-but-disclose proceedings will govern our consideration of these applications.</w:t>
      </w:r>
      <w:r>
        <w:rPr>
          <w:rStyle w:val="FootnoteReference"/>
          <w:szCs w:val="22"/>
        </w:rPr>
        <w:footnoteReference w:id="17"/>
      </w:r>
      <w:r>
        <w:rPr>
          <w:szCs w:val="22"/>
          <w:highlight w:val="yellow"/>
        </w:rPr>
        <w:t xml:space="preserve">  </w:t>
      </w:r>
    </w:p>
    <w:p w:rsidR="00822549" w:rsidP="00822549">
      <w:pPr>
        <w:ind w:firstLine="720"/>
        <w:rPr>
          <w:szCs w:val="22"/>
          <w:highlight w:val="yellow"/>
        </w:rPr>
      </w:pPr>
    </w:p>
    <w:p w:rsidR="00822549" w:rsidP="00822549">
      <w:pPr>
        <w:ind w:firstLine="720"/>
        <w:rPr>
          <w:szCs w:val="22"/>
        </w:rPr>
      </w:pPr>
      <w:r w:rsidRPr="00EC3F81">
        <w:rPr>
          <w:szCs w:val="22"/>
        </w:rPr>
        <w:t xml:space="preserve">The proceeding in this </w:t>
      </w:r>
      <w:r w:rsidR="00D36B91">
        <w:rPr>
          <w:szCs w:val="22"/>
        </w:rPr>
        <w:t xml:space="preserve">Public </w:t>
      </w:r>
      <w:r w:rsidRPr="00EC3F81">
        <w:rPr>
          <w:szCs w:val="22"/>
        </w:rPr>
        <w:t xml:space="preserve">Notice shall be treated as a “permit-but-disclose” proceeding in accordance with the Commission’s </w:t>
      </w:r>
      <w:r w:rsidRPr="00EC3F81">
        <w:rPr>
          <w:i/>
          <w:iCs/>
          <w:szCs w:val="22"/>
        </w:rPr>
        <w:t xml:space="preserve">ex parte </w:t>
      </w:r>
      <w:r w:rsidRPr="00EC3F81">
        <w:rPr>
          <w:szCs w:val="22"/>
        </w:rPr>
        <w:t>rules.</w:t>
      </w:r>
      <w:r>
        <w:rPr>
          <w:szCs w:val="22"/>
          <w:vertAlign w:val="superscript"/>
        </w:rPr>
        <w:footnoteReference w:id="18"/>
      </w:r>
      <w:r w:rsidRPr="00EC3F81">
        <w:rPr>
          <w:szCs w:val="22"/>
        </w:rPr>
        <w:t xml:space="preserve">  Persons making </w:t>
      </w:r>
      <w:r w:rsidRPr="00EC3F81">
        <w:rPr>
          <w:i/>
          <w:szCs w:val="22"/>
        </w:rPr>
        <w:t xml:space="preserve">ex parte </w:t>
      </w:r>
      <w:r w:rsidRPr="00EC3F8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C3F81">
        <w:rPr>
          <w:i/>
          <w:iCs/>
          <w:szCs w:val="22"/>
        </w:rPr>
        <w:t xml:space="preserve">ex parte </w:t>
      </w:r>
      <w:r w:rsidRPr="00EC3F81">
        <w:rPr>
          <w:szCs w:val="22"/>
        </w:rPr>
        <w:t xml:space="preserve">presentations are reminded that memoranda summarizing the presentation must (1) list all persons attending or otherwise participating in the meeting at which the </w:t>
      </w:r>
      <w:r w:rsidRPr="00EC3F81">
        <w:rPr>
          <w:i/>
          <w:iCs/>
          <w:szCs w:val="22"/>
        </w:rPr>
        <w:t xml:space="preserve">ex parte </w:t>
      </w:r>
      <w:r w:rsidRPr="00EC3F81">
        <w:rPr>
          <w:szCs w:val="22"/>
        </w:rPr>
        <w:t>presentation was made, and (2) summarize all data presented and arguments made during the presentation.  If the presentation consisted in whole or in part of data or arguments already reflected in the presenter’s written comments, memoranda</w:t>
      </w:r>
      <w:r>
        <w:rPr>
          <w:szCs w:val="22"/>
        </w:rPr>
        <w:t>,</w:t>
      </w:r>
      <w:r w:rsidRPr="00EC3F81">
        <w:rPr>
          <w:szCs w:val="22"/>
        </w:rPr>
        <w:t xml:space="preserve"> or other filings in the proceeding, the</w:t>
      </w:r>
      <w:r>
        <w:rPr>
          <w:szCs w:val="22"/>
        </w:rPr>
        <w:t>n the</w:t>
      </w:r>
      <w:r w:rsidRPr="00EC3F81">
        <w:rPr>
          <w:szCs w:val="22"/>
        </w:rPr>
        <w:t xml:space="preserv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3F81">
        <w:rPr>
          <w:i/>
          <w:iCs/>
          <w:szCs w:val="22"/>
        </w:rPr>
        <w:t xml:space="preserve">ex parte </w:t>
      </w:r>
      <w:r w:rsidRPr="00EC3F81">
        <w:rPr>
          <w:szCs w:val="22"/>
        </w:rPr>
        <w:t xml:space="preserve">meetings are deemed to be written </w:t>
      </w:r>
      <w:r w:rsidRPr="00EC3F81">
        <w:rPr>
          <w:i/>
          <w:iCs/>
          <w:szCs w:val="22"/>
        </w:rPr>
        <w:t>ex parte</w:t>
      </w:r>
      <w:r w:rsidRPr="00EC3F81">
        <w:rPr>
          <w:szCs w:val="22"/>
        </w:rPr>
        <w:t xml:space="preserve"> presentations and must be filed consistent with rule </w:t>
      </w:r>
      <w:r w:rsidRPr="00EC3F81">
        <w:rPr>
          <w:szCs w:val="22"/>
        </w:rPr>
        <w:t>1.1206(b)</w:t>
      </w:r>
      <w:r w:rsidR="00D36B91">
        <w:rPr>
          <w:szCs w:val="22"/>
        </w:rPr>
        <w:t>.</w:t>
      </w:r>
      <w:r>
        <w:rPr>
          <w:rStyle w:val="FootnoteReference"/>
          <w:szCs w:val="22"/>
        </w:rPr>
        <w:footnoteReference w:id="19"/>
      </w:r>
      <w:r w:rsidRPr="00EC3F81">
        <w:rPr>
          <w:szCs w:val="22"/>
        </w:rPr>
        <w:t xml:space="preserve">  Participants in this proceeding should familiarize themselves with the Commission’s </w:t>
      </w:r>
      <w:r w:rsidRPr="00EC3F81">
        <w:rPr>
          <w:i/>
          <w:iCs/>
          <w:szCs w:val="22"/>
        </w:rPr>
        <w:t xml:space="preserve">ex parte </w:t>
      </w:r>
      <w:r w:rsidRPr="00EC3F81">
        <w:rPr>
          <w:szCs w:val="22"/>
        </w:rPr>
        <w:t>rules.</w:t>
      </w:r>
      <w:r w:rsidRPr="00EE1C82">
        <w:rPr>
          <w:rStyle w:val="FootnoteReference"/>
          <w:szCs w:val="22"/>
        </w:rPr>
        <w:t xml:space="preserve"> </w:t>
      </w:r>
      <w:r>
        <w:rPr>
          <w:rStyle w:val="FootnoteReference"/>
          <w:szCs w:val="22"/>
        </w:rPr>
        <w:footnoteReference w:id="20"/>
      </w:r>
      <w:r>
        <w:rPr>
          <w:szCs w:val="22"/>
        </w:rPr>
        <w:t xml:space="preserve">  We strongly urge parties to use the Electronic Comment Filing System (ECFS) to file </w:t>
      </w:r>
      <w:r>
        <w:rPr>
          <w:i/>
          <w:iCs/>
          <w:szCs w:val="22"/>
        </w:rPr>
        <w:t>ex parte</w:t>
      </w:r>
      <w:r>
        <w:rPr>
          <w:szCs w:val="22"/>
        </w:rPr>
        <w:t xml:space="preserve"> submissions.  All </w:t>
      </w:r>
      <w:r>
        <w:rPr>
          <w:i/>
          <w:szCs w:val="22"/>
        </w:rPr>
        <w:t>ex parte</w:t>
      </w:r>
      <w:r>
        <w:rPr>
          <w:szCs w:val="22"/>
        </w:rPr>
        <w:t xml:space="preserve"> filings must be clearly labeled as such and must reference MB Docket No. 19-</w:t>
      </w:r>
      <w:r w:rsidRPr="001F6106" w:rsidR="001F6106">
        <w:rPr>
          <w:szCs w:val="22"/>
        </w:rPr>
        <w:t>197</w:t>
      </w:r>
      <w:r w:rsidRPr="001F6106">
        <w:rPr>
          <w:szCs w:val="22"/>
        </w:rPr>
        <w:t>.</w:t>
      </w:r>
    </w:p>
    <w:p w:rsidR="00822549" w:rsidP="00822549">
      <w:pPr>
        <w:ind w:firstLine="720"/>
        <w:rPr>
          <w:b/>
          <w:bCs/>
          <w:color w:val="010101"/>
          <w:szCs w:val="22"/>
        </w:rPr>
      </w:pPr>
    </w:p>
    <w:p w:rsidR="00822549" w:rsidP="00822549">
      <w:pPr>
        <w:autoSpaceDE w:val="0"/>
        <w:autoSpaceDN w:val="0"/>
        <w:adjustRightInd w:val="0"/>
        <w:rPr>
          <w:b/>
          <w:bCs/>
          <w:color w:val="010101"/>
          <w:szCs w:val="22"/>
        </w:rPr>
      </w:pPr>
      <w:r>
        <w:rPr>
          <w:b/>
          <w:bCs/>
          <w:color w:val="010101"/>
          <w:szCs w:val="22"/>
        </w:rPr>
        <w:t>GENERAL INFORMATION</w:t>
      </w:r>
    </w:p>
    <w:p w:rsidR="00822549" w:rsidP="00822549">
      <w:pPr>
        <w:autoSpaceDE w:val="0"/>
        <w:autoSpaceDN w:val="0"/>
        <w:adjustRightInd w:val="0"/>
        <w:rPr>
          <w:b/>
          <w:bCs/>
          <w:color w:val="010101"/>
          <w:szCs w:val="22"/>
        </w:rPr>
      </w:pPr>
    </w:p>
    <w:p w:rsidR="00822549" w:rsidRPr="00F47103" w:rsidP="00822549">
      <w:pPr>
        <w:ind w:firstLine="720"/>
        <w:rPr>
          <w:color w:val="010101"/>
          <w:szCs w:val="22"/>
        </w:rPr>
      </w:pPr>
      <w:r>
        <w:rPr>
          <w:color w:val="010101"/>
          <w:szCs w:val="22"/>
        </w:rPr>
        <w:t xml:space="preserve">The applications for transfer of control of licenses referred to in this Public Notice have been accepted for filing upon initial review.  The Commission reserves the right to return any application if, upon further </w:t>
      </w:r>
      <w:r>
        <w:rPr>
          <w:szCs w:val="18"/>
        </w:rPr>
        <w:t>examination</w:t>
      </w:r>
      <w:r>
        <w:rPr>
          <w:color w:val="010101"/>
          <w:szCs w:val="22"/>
        </w:rPr>
        <w:t xml:space="preserve">, it is determined to be defective and not in conformance with the Commission’s </w:t>
      </w:r>
      <w:r w:rsidRPr="00F47103">
        <w:rPr>
          <w:color w:val="010101"/>
          <w:szCs w:val="22"/>
        </w:rPr>
        <w:t xml:space="preserve">rules or policies.  Interested persons must file petitions to deny no later than </w:t>
      </w:r>
      <w:r w:rsidR="00727CFB">
        <w:rPr>
          <w:color w:val="010101"/>
          <w:szCs w:val="22"/>
        </w:rPr>
        <w:t>August 12, 2019</w:t>
      </w:r>
      <w:r w:rsidRPr="00727CFB">
        <w:rPr>
          <w:color w:val="010101"/>
          <w:szCs w:val="22"/>
        </w:rPr>
        <w:t>.</w:t>
      </w:r>
      <w:r w:rsidRPr="004B0C02">
        <w:rPr>
          <w:color w:val="010101"/>
          <w:szCs w:val="22"/>
        </w:rPr>
        <w:t xml:space="preserve"> </w:t>
      </w:r>
      <w:r w:rsidRPr="00F47103">
        <w:rPr>
          <w:color w:val="010101"/>
          <w:szCs w:val="22"/>
        </w:rPr>
        <w:t xml:space="preserve"> Oppositions to petitions to deny must be filed no later than </w:t>
      </w:r>
      <w:r w:rsidRPr="00727CFB" w:rsidR="00727CFB">
        <w:rPr>
          <w:color w:val="010101"/>
          <w:szCs w:val="22"/>
        </w:rPr>
        <w:t>August 22, 2019</w:t>
      </w:r>
      <w:r w:rsidRPr="00727CFB">
        <w:rPr>
          <w:color w:val="010101"/>
          <w:szCs w:val="22"/>
        </w:rPr>
        <w:t>.</w:t>
      </w:r>
      <w:r w:rsidRPr="004B0C02">
        <w:rPr>
          <w:color w:val="010101"/>
          <w:szCs w:val="22"/>
        </w:rPr>
        <w:t xml:space="preserve">  Replies must be filed no later than </w:t>
      </w:r>
      <w:r w:rsidR="00727CFB">
        <w:rPr>
          <w:color w:val="010101"/>
          <w:szCs w:val="22"/>
        </w:rPr>
        <w:t>August 29, 2019</w:t>
      </w:r>
      <w:r w:rsidRPr="00727CFB">
        <w:rPr>
          <w:color w:val="010101"/>
          <w:szCs w:val="22"/>
        </w:rPr>
        <w:t>.</w:t>
      </w:r>
      <w:r w:rsidRPr="004B0C02">
        <w:rPr>
          <w:color w:val="010101"/>
          <w:szCs w:val="22"/>
        </w:rPr>
        <w:t xml:space="preserve">  Persons and entities that file petitions to deny</w:t>
      </w:r>
      <w:r w:rsidRPr="00F47103">
        <w:rPr>
          <w:color w:val="010101"/>
          <w:szCs w:val="22"/>
        </w:rPr>
        <w:t xml:space="preserve"> become parties to the proceeding. </w:t>
      </w:r>
    </w:p>
    <w:p w:rsidR="00822549" w:rsidRPr="00F47103" w:rsidP="00822549">
      <w:pPr>
        <w:autoSpaceDE w:val="0"/>
        <w:autoSpaceDN w:val="0"/>
        <w:adjustRightInd w:val="0"/>
        <w:rPr>
          <w:color w:val="010101"/>
          <w:szCs w:val="22"/>
        </w:rPr>
      </w:pPr>
    </w:p>
    <w:p w:rsidR="00822549" w:rsidP="00822549">
      <w:pPr>
        <w:autoSpaceDE w:val="0"/>
        <w:autoSpaceDN w:val="0"/>
        <w:adjustRightInd w:val="0"/>
        <w:ind w:firstLine="720"/>
        <w:rPr>
          <w:bCs/>
          <w:color w:val="010101"/>
          <w:szCs w:val="22"/>
        </w:rPr>
      </w:pPr>
      <w:r w:rsidRPr="00F47103">
        <w:rPr>
          <w:bCs/>
          <w:color w:val="010101"/>
          <w:szCs w:val="22"/>
        </w:rPr>
        <w:t>To allow the Commission to consider fully all substantive issues regarding the applications in as timely and efficient a manner as possible, petitioners and commenters should raise all issues in their initial filings.  Replies may only address matters raised in oppositions.</w:t>
      </w:r>
      <w:r>
        <w:rPr>
          <w:rStyle w:val="FootnoteReference"/>
          <w:bCs/>
          <w:color w:val="010101"/>
          <w:szCs w:val="22"/>
        </w:rPr>
        <w:footnoteReference w:id="21"/>
      </w:r>
      <w:r w:rsidRPr="00F47103">
        <w:rPr>
          <w:bCs/>
          <w:color w:val="010101"/>
          <w:szCs w:val="22"/>
        </w:rPr>
        <w:t xml:space="preserve"> </w:t>
      </w:r>
      <w:r w:rsidRPr="00F47103">
        <w:rPr>
          <w:bCs/>
          <w:color w:val="010101"/>
          <w:sz w:val="14"/>
          <w:szCs w:val="14"/>
        </w:rPr>
        <w:t xml:space="preserve"> </w:t>
      </w:r>
      <w:r w:rsidRPr="00F47103">
        <w:rPr>
          <w:bCs/>
          <w:color w:val="010101"/>
          <w:szCs w:val="22"/>
        </w:rPr>
        <w:t>A party or interested person seeking to raise a new issue after the pleading cycle has closed must show good cause why it was not possible for it to have raised the issue previously.</w:t>
      </w:r>
      <w:r>
        <w:rPr>
          <w:rStyle w:val="FootnoteReference"/>
          <w:bCs/>
          <w:color w:val="010101"/>
          <w:szCs w:val="22"/>
        </w:rPr>
        <w:footnoteReference w:id="22"/>
      </w:r>
      <w:r w:rsidRPr="00F47103">
        <w:rPr>
          <w:bCs/>
          <w:color w:val="010101"/>
          <w:szCs w:val="22"/>
        </w:rPr>
        <w:t xml:space="preserve">  Submissions after the pleading cycle has</w:t>
      </w:r>
      <w:r>
        <w:rPr>
          <w:bCs/>
          <w:color w:val="010101"/>
          <w:szCs w:val="22"/>
        </w:rPr>
        <w:t xml:space="preserve"> closed that seek to raise new issues based on new facts or newly discovered facts should be filed within 15 days after such facts are discovered.  Absent such a showing of good cause, any issues not timely raised may be disregarded by the Commission.</w:t>
      </w:r>
    </w:p>
    <w:p w:rsidR="00822549" w:rsidP="00822549">
      <w:pPr>
        <w:autoSpaceDE w:val="0"/>
        <w:autoSpaceDN w:val="0"/>
        <w:adjustRightInd w:val="0"/>
        <w:rPr>
          <w:b/>
          <w:bCs/>
          <w:color w:val="010101"/>
          <w:szCs w:val="22"/>
        </w:rPr>
      </w:pPr>
      <w:r>
        <w:rPr>
          <w:b/>
          <w:bCs/>
          <w:color w:val="010101"/>
          <w:szCs w:val="22"/>
        </w:rPr>
        <w:tab/>
      </w:r>
    </w:p>
    <w:p w:rsidR="00822549" w:rsidP="00822549">
      <w:pPr>
        <w:autoSpaceDE w:val="0"/>
        <w:autoSpaceDN w:val="0"/>
        <w:adjustRightInd w:val="0"/>
        <w:ind w:firstLine="720"/>
        <w:rPr>
          <w:color w:val="010101"/>
          <w:szCs w:val="22"/>
        </w:rPr>
      </w:pPr>
      <w:r>
        <w:rPr>
          <w:color w:val="010101"/>
          <w:szCs w:val="22"/>
        </w:rPr>
        <w:t>All filings concerning matters referenced in this Public Notice should refer to MB Docket No.</w:t>
      </w:r>
      <w:r w:rsidR="002365FE">
        <w:rPr>
          <w:color w:val="010101"/>
          <w:szCs w:val="22"/>
        </w:rPr>
        <w:t> </w:t>
      </w:r>
      <w:r>
        <w:rPr>
          <w:color w:val="010101"/>
          <w:szCs w:val="22"/>
        </w:rPr>
        <w:t>19</w:t>
      </w:r>
      <w:r w:rsidR="004B0C02">
        <w:rPr>
          <w:color w:val="010101"/>
          <w:szCs w:val="22"/>
        </w:rPr>
        <w:noBreakHyphen/>
      </w:r>
      <w:r w:rsidRPr="001F6106" w:rsidR="001F6106">
        <w:rPr>
          <w:color w:val="010101"/>
          <w:szCs w:val="22"/>
        </w:rPr>
        <w:t>197</w:t>
      </w:r>
      <w:r w:rsidRPr="001F6106">
        <w:rPr>
          <w:color w:val="010101"/>
          <w:szCs w:val="22"/>
        </w:rPr>
        <w:t>,</w:t>
      </w:r>
      <w:r>
        <w:rPr>
          <w:color w:val="010101"/>
          <w:szCs w:val="22"/>
        </w:rPr>
        <w:t xml:space="preserve"> as well as the specific file nu</w:t>
      </w:r>
      <w:bookmarkStart w:id="2" w:name="_GoBack"/>
      <w:bookmarkEnd w:id="2"/>
      <w:r>
        <w:rPr>
          <w:color w:val="010101"/>
          <w:szCs w:val="22"/>
        </w:rPr>
        <w:t xml:space="preserve">mbers of the individual applications or other matters to which the filings pertain.  </w:t>
      </w:r>
    </w:p>
    <w:p w:rsidR="00822549" w:rsidP="00822549">
      <w:pPr>
        <w:autoSpaceDE w:val="0"/>
        <w:autoSpaceDN w:val="0"/>
        <w:adjustRightInd w:val="0"/>
        <w:rPr>
          <w:color w:val="010101"/>
          <w:szCs w:val="22"/>
        </w:rPr>
      </w:pPr>
    </w:p>
    <w:p w:rsidR="00822549" w:rsidP="00822549">
      <w:pPr>
        <w:autoSpaceDE w:val="0"/>
        <w:autoSpaceDN w:val="0"/>
        <w:adjustRightInd w:val="0"/>
        <w:ind w:firstLine="720"/>
        <w:rPr>
          <w:color w:val="010101"/>
          <w:szCs w:val="22"/>
        </w:rPr>
      </w:pPr>
      <w:r>
        <w:rPr>
          <w:color w:val="010101"/>
          <w:szCs w:val="22"/>
        </w:rPr>
        <w:t>Submissions in this matter may be filed electronically (</w:t>
      </w:r>
      <w:r>
        <w:rPr>
          <w:i/>
          <w:iCs/>
          <w:color w:val="010101"/>
          <w:szCs w:val="22"/>
        </w:rPr>
        <w:t>i.e.</w:t>
      </w:r>
      <w:r>
        <w:rPr>
          <w:color w:val="010101"/>
          <w:szCs w:val="22"/>
        </w:rPr>
        <w:t>, through ECFS) or by filing paper copies.</w:t>
      </w:r>
    </w:p>
    <w:p w:rsidR="00822549" w:rsidP="00822549">
      <w:pPr>
        <w:autoSpaceDE w:val="0"/>
        <w:autoSpaceDN w:val="0"/>
        <w:adjustRightInd w:val="0"/>
        <w:rPr>
          <w:color w:val="010101"/>
          <w:szCs w:val="22"/>
        </w:rPr>
      </w:pPr>
    </w:p>
    <w:p w:rsidR="00822549" w:rsidP="00822549">
      <w:pPr>
        <w:widowControl/>
        <w:numPr>
          <w:ilvl w:val="0"/>
          <w:numId w:val="7"/>
        </w:numPr>
        <w:autoSpaceDE w:val="0"/>
        <w:autoSpaceDN w:val="0"/>
        <w:adjustRightInd w:val="0"/>
        <w:rPr>
          <w:color w:val="010101"/>
          <w:szCs w:val="22"/>
        </w:rPr>
      </w:pPr>
      <w:r>
        <w:rPr>
          <w:color w:val="010101"/>
          <w:szCs w:val="22"/>
        </w:rPr>
        <w:t>Electronic Filers:  Documents may be filed electronically using the Internet by accessing the</w:t>
      </w:r>
    </w:p>
    <w:p w:rsidR="00822549" w:rsidP="00822549">
      <w:pPr>
        <w:autoSpaceDE w:val="0"/>
        <w:autoSpaceDN w:val="0"/>
        <w:adjustRightInd w:val="0"/>
        <w:rPr>
          <w:color w:val="010101"/>
          <w:szCs w:val="22"/>
        </w:rPr>
      </w:pPr>
      <w:r>
        <w:rPr>
          <w:color w:val="010101"/>
          <w:szCs w:val="22"/>
        </w:rPr>
        <w:t xml:space="preserve">ECFS:  </w:t>
      </w:r>
      <w:hyperlink r:id="rId5" w:history="1">
        <w:r>
          <w:rPr>
            <w:rStyle w:val="Hyperlink"/>
            <w:szCs w:val="22"/>
          </w:rPr>
          <w:t>http://fjallfoss.fcc.gov/ecfs2/</w:t>
        </w:r>
      </w:hyperlink>
      <w:r>
        <w:rPr>
          <w:color w:val="010101"/>
          <w:szCs w:val="22"/>
        </w:rPr>
        <w:t>.</w:t>
      </w:r>
    </w:p>
    <w:p w:rsidR="00822549" w:rsidP="00822549">
      <w:pPr>
        <w:autoSpaceDE w:val="0"/>
        <w:autoSpaceDN w:val="0"/>
        <w:adjustRightInd w:val="0"/>
        <w:rPr>
          <w:color w:val="010101"/>
          <w:szCs w:val="22"/>
        </w:rPr>
      </w:pPr>
    </w:p>
    <w:p w:rsidR="00822549" w:rsidP="00822549">
      <w:pPr>
        <w:widowControl/>
        <w:numPr>
          <w:ilvl w:val="0"/>
          <w:numId w:val="7"/>
        </w:numPr>
        <w:autoSpaceDE w:val="0"/>
        <w:autoSpaceDN w:val="0"/>
        <w:adjustRightInd w:val="0"/>
        <w:rPr>
          <w:color w:val="010101"/>
          <w:szCs w:val="22"/>
        </w:rPr>
      </w:pPr>
      <w:r>
        <w:rPr>
          <w:color w:val="010101"/>
          <w:szCs w:val="22"/>
        </w:rPr>
        <w:t>Paper Filers:  Parties who choose to file by paper must file an original and four copies of each</w:t>
      </w:r>
    </w:p>
    <w:p w:rsidR="00822549" w:rsidP="00822549">
      <w:pPr>
        <w:autoSpaceDE w:val="0"/>
        <w:autoSpaceDN w:val="0"/>
        <w:adjustRightInd w:val="0"/>
        <w:rPr>
          <w:color w:val="010101"/>
          <w:szCs w:val="22"/>
        </w:rPr>
      </w:pPr>
      <w:r>
        <w:rPr>
          <w:color w:val="010101"/>
          <w:szCs w:val="22"/>
        </w:rPr>
        <w:t>filing.  Filings may be sent by hand or messenger delivery, by commercial overnight courier, or by first-class or overnight U.S. Postal Service mail.  All filings must be addressed to the Commission’s Secretary, Office of the Secretary, Federal Communications Commission, 445 12</w:t>
      </w:r>
      <w:r>
        <w:rPr>
          <w:color w:val="010101"/>
          <w:szCs w:val="22"/>
          <w:vertAlign w:val="superscript"/>
        </w:rPr>
        <w:t>th</w:t>
      </w:r>
      <w:r>
        <w:rPr>
          <w:color w:val="010101"/>
          <w:szCs w:val="22"/>
        </w:rPr>
        <w:t xml:space="preserve"> Street, S.W., Washington, DC 20554.</w:t>
      </w:r>
    </w:p>
    <w:p w:rsidR="00822549" w:rsidP="00822549">
      <w:pPr>
        <w:autoSpaceDE w:val="0"/>
        <w:autoSpaceDN w:val="0"/>
        <w:adjustRightInd w:val="0"/>
        <w:rPr>
          <w:color w:val="010101"/>
          <w:szCs w:val="22"/>
        </w:rPr>
      </w:pPr>
    </w:p>
    <w:p w:rsidR="00822549" w:rsidP="00822549">
      <w:pPr>
        <w:numPr>
          <w:ilvl w:val="0"/>
          <w:numId w:val="7"/>
        </w:numPr>
        <w:autoSpaceDE w:val="0"/>
        <w:autoSpaceDN w:val="0"/>
        <w:adjustRightInd w:val="0"/>
        <w:ind w:left="0" w:firstLine="360"/>
        <w:rPr>
          <w:color w:val="010101"/>
          <w:szCs w:val="22"/>
        </w:rPr>
      </w:pPr>
      <w:r>
        <w:rPr>
          <w:color w:val="010101"/>
          <w:szCs w:val="22"/>
        </w:rPr>
        <w:t>All hand-delivered or messenger-delivered paper filings no larger than a copier paper box for the Commission’s Secretary must be delivered to the Mail and Distribution Window at FCC Headquarters at 445 12</w:t>
      </w:r>
      <w:r w:rsidRPr="001D6779">
        <w:rPr>
          <w:color w:val="010101"/>
          <w:szCs w:val="22"/>
        </w:rPr>
        <w:t>th</w:t>
      </w:r>
      <w:r>
        <w:rPr>
          <w:color w:val="010101"/>
          <w:sz w:val="14"/>
          <w:szCs w:val="14"/>
        </w:rPr>
        <w:t xml:space="preserve"> </w:t>
      </w:r>
      <w:r>
        <w:rPr>
          <w:color w:val="010101"/>
          <w:szCs w:val="22"/>
        </w:rPr>
        <w:t xml:space="preserve">Street, S.W., Washington, D.C. 20554.  </w:t>
      </w:r>
      <w:r w:rsidRPr="00EF5BD9">
        <w:rPr>
          <w:szCs w:val="22"/>
        </w:rPr>
        <w:t xml:space="preserve">The filing hours are 8:00 a.m. to 7:00 p.m.   </w:t>
      </w:r>
      <w:r>
        <w:rPr>
          <w:color w:val="010101"/>
          <w:szCs w:val="22"/>
        </w:rPr>
        <w:t>All hand deliveries must be held together with rubber bands or fasteners.  Any envelopes must be disposed of before entering the building.</w:t>
      </w:r>
    </w:p>
    <w:p w:rsidR="00822549" w:rsidP="00822549">
      <w:pPr>
        <w:autoSpaceDE w:val="0"/>
        <w:autoSpaceDN w:val="0"/>
        <w:adjustRightInd w:val="0"/>
        <w:rPr>
          <w:color w:val="010101"/>
          <w:szCs w:val="22"/>
        </w:rPr>
      </w:pPr>
    </w:p>
    <w:p w:rsidR="00822549" w:rsidP="00822549">
      <w:pPr>
        <w:widowControl/>
        <w:numPr>
          <w:ilvl w:val="0"/>
          <w:numId w:val="7"/>
        </w:numPr>
        <w:autoSpaceDE w:val="0"/>
        <w:autoSpaceDN w:val="0"/>
        <w:adjustRightInd w:val="0"/>
        <w:rPr>
          <w:color w:val="010101"/>
          <w:szCs w:val="22"/>
        </w:rPr>
      </w:pPr>
      <w:r>
        <w:rPr>
          <w:color w:val="010101"/>
          <w:szCs w:val="22"/>
        </w:rPr>
        <w:t>Commercial overnight mail (other than U.S. Postal Service Express Mail and Priority</w:t>
      </w:r>
    </w:p>
    <w:p w:rsidR="00822549" w:rsidP="00822549">
      <w:pPr>
        <w:autoSpaceDE w:val="0"/>
        <w:autoSpaceDN w:val="0"/>
        <w:adjustRightInd w:val="0"/>
        <w:jc w:val="both"/>
        <w:rPr>
          <w:color w:val="010101"/>
          <w:szCs w:val="22"/>
        </w:rPr>
      </w:pPr>
      <w:r>
        <w:rPr>
          <w:color w:val="010101"/>
          <w:szCs w:val="22"/>
        </w:rPr>
        <w:t xml:space="preserve">Mail) must be sent to </w:t>
      </w:r>
      <w:r>
        <w:rPr>
          <w:szCs w:val="22"/>
        </w:rPr>
        <w:t>9050 Junction Drive, Annapolis Junction, MD 20701</w:t>
      </w:r>
      <w:r>
        <w:rPr>
          <w:color w:val="010101"/>
          <w:szCs w:val="22"/>
        </w:rPr>
        <w:t>.</w:t>
      </w:r>
    </w:p>
    <w:p w:rsidR="00822549" w:rsidP="00822549">
      <w:pPr>
        <w:autoSpaceDE w:val="0"/>
        <w:autoSpaceDN w:val="0"/>
        <w:adjustRightInd w:val="0"/>
        <w:rPr>
          <w:color w:val="010101"/>
          <w:szCs w:val="22"/>
        </w:rPr>
      </w:pPr>
    </w:p>
    <w:p w:rsidR="00822549" w:rsidP="00822549">
      <w:pPr>
        <w:widowControl/>
        <w:numPr>
          <w:ilvl w:val="0"/>
          <w:numId w:val="7"/>
        </w:numPr>
        <w:autoSpaceDE w:val="0"/>
        <w:autoSpaceDN w:val="0"/>
        <w:adjustRightInd w:val="0"/>
        <w:rPr>
          <w:color w:val="010101"/>
          <w:szCs w:val="22"/>
        </w:rPr>
      </w:pPr>
      <w:r>
        <w:rPr>
          <w:color w:val="010101"/>
          <w:szCs w:val="22"/>
        </w:rPr>
        <w:t>U.S. Postal Service first-class, Express, and Priority mail must be addressed to 445 12th</w:t>
      </w:r>
    </w:p>
    <w:p w:rsidR="00822549" w:rsidP="00822549">
      <w:pPr>
        <w:autoSpaceDE w:val="0"/>
        <w:autoSpaceDN w:val="0"/>
        <w:adjustRightInd w:val="0"/>
        <w:rPr>
          <w:color w:val="010101"/>
          <w:szCs w:val="22"/>
        </w:rPr>
      </w:pPr>
      <w:r>
        <w:rPr>
          <w:color w:val="010101"/>
          <w:szCs w:val="22"/>
        </w:rPr>
        <w:t>Street, S.W., Washington, DC 20554.</w:t>
      </w:r>
    </w:p>
    <w:p w:rsidR="00822549" w:rsidP="00822549">
      <w:pPr>
        <w:autoSpaceDE w:val="0"/>
        <w:autoSpaceDN w:val="0"/>
        <w:adjustRightInd w:val="0"/>
        <w:rPr>
          <w:color w:val="010101"/>
          <w:szCs w:val="22"/>
        </w:rPr>
      </w:pPr>
    </w:p>
    <w:p w:rsidR="00822549" w:rsidP="00822549">
      <w:pPr>
        <w:autoSpaceDE w:val="0"/>
        <w:autoSpaceDN w:val="0"/>
        <w:adjustRightInd w:val="0"/>
        <w:rPr>
          <w:b/>
          <w:bCs/>
          <w:color w:val="010101"/>
          <w:szCs w:val="22"/>
        </w:rPr>
      </w:pPr>
      <w:r>
        <w:rPr>
          <w:b/>
          <w:bCs/>
          <w:color w:val="010101"/>
          <w:szCs w:val="22"/>
        </w:rPr>
        <w:t>In addition, one copy of each submission must be sent to the following:</w:t>
      </w:r>
    </w:p>
    <w:p w:rsidR="00822549" w:rsidP="00822549">
      <w:pPr>
        <w:autoSpaceDE w:val="0"/>
        <w:autoSpaceDN w:val="0"/>
        <w:adjustRightInd w:val="0"/>
        <w:rPr>
          <w:b/>
          <w:bCs/>
          <w:color w:val="010101"/>
          <w:szCs w:val="22"/>
        </w:rPr>
      </w:pPr>
    </w:p>
    <w:p w:rsidR="00822549" w:rsidP="00822549">
      <w:pPr>
        <w:widowControl/>
        <w:numPr>
          <w:ilvl w:val="0"/>
          <w:numId w:val="7"/>
        </w:numPr>
        <w:autoSpaceDE w:val="0"/>
        <w:autoSpaceDN w:val="0"/>
        <w:adjustRightInd w:val="0"/>
        <w:rPr>
          <w:color w:val="010101"/>
          <w:szCs w:val="22"/>
        </w:rPr>
      </w:pPr>
      <w:r w:rsidRPr="009035CD">
        <w:rPr>
          <w:color w:val="010101"/>
          <w:szCs w:val="22"/>
        </w:rPr>
        <w:t>Michael Wagner, Audio Division, Media Bureau, Room 2</w:t>
      </w:r>
      <w:r w:rsidRPr="009035CD" w:rsidR="009035CD">
        <w:rPr>
          <w:color w:val="010101"/>
          <w:szCs w:val="22"/>
        </w:rPr>
        <w:t>-A523</w:t>
      </w:r>
      <w:r w:rsidRPr="009035CD" w:rsidR="00B06D88">
        <w:rPr>
          <w:color w:val="010101"/>
          <w:szCs w:val="22"/>
        </w:rPr>
        <w:t xml:space="preserve">, e-mail </w:t>
      </w:r>
      <w:hyperlink r:id="rId6" w:history="1">
        <w:r w:rsidRPr="00857E7C" w:rsidR="009035CD">
          <w:rPr>
            <w:rStyle w:val="Hyperlink"/>
            <w:szCs w:val="22"/>
          </w:rPr>
          <w:t>Michael.Wagner@fcc.gov</w:t>
        </w:r>
      </w:hyperlink>
    </w:p>
    <w:p w:rsidR="009035CD" w:rsidRPr="009035CD" w:rsidP="009035CD">
      <w:pPr>
        <w:widowControl/>
        <w:autoSpaceDE w:val="0"/>
        <w:autoSpaceDN w:val="0"/>
        <w:adjustRightInd w:val="0"/>
        <w:ind w:left="720"/>
        <w:rPr>
          <w:color w:val="010101"/>
          <w:szCs w:val="22"/>
        </w:rPr>
      </w:pPr>
    </w:p>
    <w:p w:rsidR="00822549" w:rsidP="00822549">
      <w:pPr>
        <w:widowControl/>
        <w:numPr>
          <w:ilvl w:val="0"/>
          <w:numId w:val="7"/>
        </w:numPr>
        <w:autoSpaceDE w:val="0"/>
        <w:autoSpaceDN w:val="0"/>
        <w:adjustRightInd w:val="0"/>
        <w:rPr>
          <w:color w:val="010101"/>
          <w:szCs w:val="22"/>
        </w:rPr>
      </w:pPr>
      <w:r w:rsidRPr="009035CD">
        <w:rPr>
          <w:color w:val="010101"/>
          <w:szCs w:val="22"/>
        </w:rPr>
        <w:t xml:space="preserve">Lisa Scanlan, Audio Division, </w:t>
      </w:r>
      <w:r w:rsidRPr="009035CD" w:rsidR="00B06D88">
        <w:rPr>
          <w:color w:val="010101"/>
          <w:szCs w:val="22"/>
        </w:rPr>
        <w:t>Media Bureau, Room 2-A</w:t>
      </w:r>
      <w:r w:rsidRPr="009035CD">
        <w:rPr>
          <w:color w:val="010101"/>
          <w:szCs w:val="22"/>
        </w:rPr>
        <w:t>427</w:t>
      </w:r>
      <w:r w:rsidRPr="009035CD" w:rsidR="00B06D88">
        <w:rPr>
          <w:color w:val="010101"/>
          <w:szCs w:val="22"/>
        </w:rPr>
        <w:t xml:space="preserve">, e-mail </w:t>
      </w:r>
      <w:hyperlink r:id="rId7" w:history="1">
        <w:r w:rsidRPr="00857E7C">
          <w:rPr>
            <w:rStyle w:val="Hyperlink"/>
            <w:szCs w:val="22"/>
          </w:rPr>
          <w:t>Lisa.Scanlan@fcc.gov</w:t>
        </w:r>
      </w:hyperlink>
    </w:p>
    <w:p w:rsidR="009035CD" w:rsidP="009035CD">
      <w:pPr>
        <w:pStyle w:val="ListParagraph"/>
        <w:rPr>
          <w:color w:val="010101"/>
          <w:szCs w:val="22"/>
        </w:rPr>
      </w:pPr>
    </w:p>
    <w:p w:rsidR="00822549" w:rsidP="00822549">
      <w:pPr>
        <w:widowControl/>
        <w:numPr>
          <w:ilvl w:val="0"/>
          <w:numId w:val="7"/>
        </w:numPr>
        <w:autoSpaceDE w:val="0"/>
        <w:autoSpaceDN w:val="0"/>
        <w:adjustRightInd w:val="0"/>
        <w:rPr>
          <w:color w:val="010101"/>
          <w:szCs w:val="22"/>
        </w:rPr>
      </w:pPr>
      <w:r>
        <w:rPr>
          <w:color w:val="010101"/>
          <w:szCs w:val="22"/>
        </w:rPr>
        <w:t>Albert Shuldiner, Audi</w:t>
      </w:r>
      <w:r w:rsidR="00B06D88">
        <w:rPr>
          <w:color w:val="010101"/>
          <w:szCs w:val="22"/>
        </w:rPr>
        <w:t>o Division, Media Bureau, Room 2-A</w:t>
      </w:r>
      <w:r>
        <w:rPr>
          <w:color w:val="010101"/>
          <w:szCs w:val="22"/>
        </w:rPr>
        <w:t>360</w:t>
      </w:r>
      <w:r w:rsidR="00B06D88">
        <w:rPr>
          <w:color w:val="010101"/>
          <w:szCs w:val="22"/>
        </w:rPr>
        <w:t xml:space="preserve">, e-mail </w:t>
      </w:r>
      <w:hyperlink r:id="rId8" w:history="1">
        <w:r w:rsidRPr="00857E7C">
          <w:rPr>
            <w:rStyle w:val="Hyperlink"/>
            <w:szCs w:val="22"/>
          </w:rPr>
          <w:t>Albert.Shuldiner@fcc.gov</w:t>
        </w:r>
      </w:hyperlink>
      <w:r w:rsidR="00B06D88">
        <w:rPr>
          <w:color w:val="010101"/>
          <w:szCs w:val="22"/>
        </w:rPr>
        <w:t xml:space="preserve"> </w:t>
      </w:r>
    </w:p>
    <w:p w:rsidR="00822549" w:rsidP="00822549">
      <w:pPr>
        <w:pStyle w:val="ListParagraph"/>
        <w:rPr>
          <w:color w:val="010101"/>
          <w:szCs w:val="22"/>
        </w:rPr>
      </w:pPr>
    </w:p>
    <w:p w:rsidR="00822549" w:rsidP="00822549">
      <w:pPr>
        <w:widowControl/>
        <w:numPr>
          <w:ilvl w:val="0"/>
          <w:numId w:val="7"/>
        </w:numPr>
        <w:autoSpaceDE w:val="0"/>
        <w:autoSpaceDN w:val="0"/>
        <w:adjustRightInd w:val="0"/>
        <w:rPr>
          <w:color w:val="010101"/>
          <w:szCs w:val="22"/>
        </w:rPr>
      </w:pPr>
      <w:r>
        <w:rPr>
          <w:color w:val="010101"/>
          <w:szCs w:val="22"/>
        </w:rPr>
        <w:t xml:space="preserve">Jim Bird, Transaction Team, Office of General Counsel, Room 8-C862, e-mail </w:t>
      </w:r>
      <w:hyperlink r:id="rId9" w:history="1">
        <w:r w:rsidRPr="000574C2">
          <w:rPr>
            <w:rStyle w:val="Hyperlink"/>
            <w:szCs w:val="22"/>
          </w:rPr>
          <w:t>Jim.Bird@fcc.gov</w:t>
        </w:r>
      </w:hyperlink>
      <w:r>
        <w:rPr>
          <w:color w:val="010101"/>
          <w:szCs w:val="22"/>
        </w:rPr>
        <w:t xml:space="preserve"> </w:t>
      </w:r>
    </w:p>
    <w:p w:rsidR="00E96B14" w:rsidP="00822549">
      <w:pPr>
        <w:autoSpaceDE w:val="0"/>
        <w:autoSpaceDN w:val="0"/>
        <w:adjustRightInd w:val="0"/>
        <w:ind w:firstLine="360"/>
        <w:rPr>
          <w:color w:val="010101"/>
          <w:szCs w:val="22"/>
        </w:rPr>
      </w:pPr>
    </w:p>
    <w:p w:rsidR="00822549" w:rsidP="00822549">
      <w:pPr>
        <w:autoSpaceDE w:val="0"/>
        <w:autoSpaceDN w:val="0"/>
        <w:adjustRightInd w:val="0"/>
        <w:ind w:firstLine="360"/>
        <w:rPr>
          <w:color w:val="010101"/>
          <w:szCs w:val="22"/>
        </w:rPr>
      </w:pPr>
      <w:r>
        <w:rPr>
          <w:color w:val="010101"/>
          <w:szCs w:val="22"/>
        </w:rPr>
        <w:t xml:space="preserve">Any submission that is e-mailed to </w:t>
      </w:r>
      <w:r w:rsidR="009035CD">
        <w:rPr>
          <w:color w:val="010101"/>
          <w:szCs w:val="22"/>
        </w:rPr>
        <w:t>Michael Wagner, Lisa Scanlan, Albert Shuldiner, and Jim Bird</w:t>
      </w:r>
      <w:r>
        <w:rPr>
          <w:color w:val="010101"/>
          <w:szCs w:val="22"/>
        </w:rPr>
        <w:t xml:space="preserve"> should include in the subject line of the e-mail: (1) MB Docket No. 19-</w:t>
      </w:r>
      <w:r w:rsidRPr="001F6106" w:rsidR="001F6106">
        <w:rPr>
          <w:color w:val="010101"/>
          <w:szCs w:val="22"/>
        </w:rPr>
        <w:t>197</w:t>
      </w:r>
      <w:r>
        <w:rPr>
          <w:color w:val="010101"/>
          <w:szCs w:val="22"/>
        </w:rPr>
        <w:t xml:space="preserve">; (2) the name of the submitting party; </w:t>
      </w:r>
      <w:r w:rsidRPr="00E96B14">
        <w:rPr>
          <w:color w:val="010101"/>
          <w:szCs w:val="22"/>
        </w:rPr>
        <w:t>(</w:t>
      </w:r>
      <w:r>
        <w:rPr>
          <w:color w:val="010101"/>
          <w:szCs w:val="22"/>
        </w:rPr>
        <w:t>3) a brief description or title identifying the type of document being submitted (</w:t>
      </w:r>
      <w:r>
        <w:rPr>
          <w:i/>
          <w:iCs/>
          <w:color w:val="010101"/>
          <w:szCs w:val="22"/>
        </w:rPr>
        <w:t>e.g</w:t>
      </w:r>
      <w:r>
        <w:rPr>
          <w:color w:val="010101"/>
          <w:szCs w:val="22"/>
        </w:rPr>
        <w:t>.,</w:t>
      </w:r>
      <w:r w:rsidR="00E96B14">
        <w:rPr>
          <w:color w:val="010101"/>
          <w:szCs w:val="22"/>
        </w:rPr>
        <w:t xml:space="preserve"> </w:t>
      </w:r>
      <w:r>
        <w:rPr>
          <w:color w:val="010101"/>
          <w:szCs w:val="22"/>
        </w:rPr>
        <w:t>MB Docket No. 19-</w:t>
      </w:r>
      <w:r w:rsidR="001F6106">
        <w:rPr>
          <w:color w:val="010101"/>
          <w:szCs w:val="22"/>
        </w:rPr>
        <w:t>197</w:t>
      </w:r>
      <w:r>
        <w:rPr>
          <w:color w:val="010101"/>
          <w:szCs w:val="22"/>
        </w:rPr>
        <w:t xml:space="preserve">, </w:t>
      </w:r>
      <w:r w:rsidR="002365FE">
        <w:rPr>
          <w:color w:val="010101"/>
          <w:szCs w:val="22"/>
        </w:rPr>
        <w:t>Terrier Media</w:t>
      </w:r>
      <w:r w:rsidR="009035CD">
        <w:rPr>
          <w:color w:val="010101"/>
          <w:szCs w:val="22"/>
        </w:rPr>
        <w:t>/Cox acquisition</w:t>
      </w:r>
      <w:r>
        <w:rPr>
          <w:color w:val="010101"/>
          <w:szCs w:val="22"/>
        </w:rPr>
        <w:t xml:space="preserve">, </w:t>
      </w:r>
      <w:r>
        <w:rPr>
          <w:i/>
          <w:color w:val="010101"/>
          <w:szCs w:val="22"/>
        </w:rPr>
        <w:t>E</w:t>
      </w:r>
      <w:r>
        <w:rPr>
          <w:i/>
          <w:iCs/>
          <w:color w:val="010101"/>
          <w:szCs w:val="22"/>
        </w:rPr>
        <w:t xml:space="preserve">x Parte </w:t>
      </w:r>
      <w:r>
        <w:rPr>
          <w:color w:val="010101"/>
          <w:szCs w:val="22"/>
        </w:rPr>
        <w:t>Notice).</w:t>
      </w:r>
    </w:p>
    <w:p w:rsidR="00822549" w:rsidP="00822549">
      <w:pPr>
        <w:autoSpaceDE w:val="0"/>
        <w:autoSpaceDN w:val="0"/>
        <w:adjustRightInd w:val="0"/>
        <w:rPr>
          <w:color w:val="010101"/>
          <w:szCs w:val="22"/>
        </w:rPr>
      </w:pPr>
    </w:p>
    <w:p w:rsidR="00822549" w:rsidP="00822549">
      <w:pPr>
        <w:autoSpaceDE w:val="0"/>
        <w:autoSpaceDN w:val="0"/>
        <w:adjustRightInd w:val="0"/>
        <w:ind w:firstLine="360"/>
        <w:rPr>
          <w:color w:val="010101"/>
          <w:szCs w:val="22"/>
        </w:rPr>
      </w:pPr>
      <w:r>
        <w:rPr>
          <w:i/>
          <w:iCs/>
          <w:color w:val="010101"/>
          <w:szCs w:val="22"/>
        </w:rPr>
        <w:t>People with Disabilities</w:t>
      </w:r>
      <w:r>
        <w:rPr>
          <w:color w:val="010101"/>
          <w:szCs w:val="22"/>
        </w:rPr>
        <w:t>.  To request materials in accessible formats for people with disabilities (braille, large print, electronic files, audio format), send an e-mail to fcc504@fcc.gov or call the Consumer &amp; Governmental Affairs Bureau at (202) 418-0530 (voice), (202) 418-0432 (TTY).</w:t>
      </w:r>
    </w:p>
    <w:p w:rsidR="00822549" w:rsidP="00822549">
      <w:pPr>
        <w:autoSpaceDE w:val="0"/>
        <w:autoSpaceDN w:val="0"/>
        <w:adjustRightInd w:val="0"/>
        <w:rPr>
          <w:color w:val="010101"/>
          <w:szCs w:val="22"/>
        </w:rPr>
      </w:pPr>
    </w:p>
    <w:p w:rsidR="00822549" w:rsidP="00822549">
      <w:pPr>
        <w:autoSpaceDE w:val="0"/>
        <w:autoSpaceDN w:val="0"/>
        <w:adjustRightInd w:val="0"/>
        <w:ind w:firstLine="360"/>
        <w:rPr>
          <w:color w:val="010101"/>
          <w:szCs w:val="22"/>
        </w:rPr>
      </w:pPr>
      <w:r>
        <w:rPr>
          <w:i/>
          <w:iCs/>
          <w:color w:val="010101"/>
          <w:szCs w:val="22"/>
        </w:rPr>
        <w:t>Availability of Documents</w:t>
      </w:r>
      <w:r>
        <w:rPr>
          <w:color w:val="010101"/>
          <w:szCs w:val="22"/>
        </w:rPr>
        <w:t>.  Documents in this proceeding will be available for public inspection and copying during business hours at the FCC Reference Information Center, Portals II, 445 12</w:t>
      </w:r>
      <w:r w:rsidR="00E96B14">
        <w:rPr>
          <w:color w:val="010101"/>
          <w:szCs w:val="22"/>
        </w:rPr>
        <w:t>th</w:t>
      </w:r>
      <w:r>
        <w:rPr>
          <w:color w:val="010101"/>
          <w:sz w:val="14"/>
          <w:szCs w:val="14"/>
        </w:rPr>
        <w:t xml:space="preserve"> </w:t>
      </w:r>
      <w:r>
        <w:rPr>
          <w:color w:val="010101"/>
          <w:szCs w:val="22"/>
        </w:rPr>
        <w:t xml:space="preserve">Street, S.W., Room CY-A257, Washington, D.C. 20554.  </w:t>
      </w:r>
    </w:p>
    <w:p w:rsidR="00822549" w:rsidP="00822549">
      <w:pPr>
        <w:autoSpaceDE w:val="0"/>
        <w:autoSpaceDN w:val="0"/>
        <w:adjustRightInd w:val="0"/>
        <w:ind w:firstLine="720"/>
        <w:rPr>
          <w:color w:val="010101"/>
          <w:szCs w:val="22"/>
        </w:rPr>
      </w:pPr>
    </w:p>
    <w:p w:rsidR="00822549" w:rsidP="00822549">
      <w:pPr>
        <w:autoSpaceDE w:val="0"/>
        <w:autoSpaceDN w:val="0"/>
        <w:adjustRightInd w:val="0"/>
        <w:ind w:firstLine="450"/>
        <w:rPr>
          <w:szCs w:val="22"/>
        </w:rPr>
      </w:pPr>
      <w:r>
        <w:rPr>
          <w:color w:val="010101"/>
          <w:szCs w:val="22"/>
        </w:rPr>
        <w:t xml:space="preserve">The applications are also available electronically through ECFS, which will provide hyperlinks to the applications in CDBS.  ECFS may be accessed on the Commission’s Internet website at </w:t>
      </w:r>
      <w:hyperlink r:id="rId10" w:history="1">
        <w:r>
          <w:rPr>
            <w:rStyle w:val="Hyperlink"/>
            <w:szCs w:val="22"/>
          </w:rPr>
          <w:t>http://www.fcc.gov</w:t>
        </w:r>
      </w:hyperlink>
      <w:r>
        <w:rPr>
          <w:color w:val="010101"/>
          <w:szCs w:val="22"/>
        </w:rPr>
        <w:t xml:space="preserve">. </w:t>
      </w:r>
    </w:p>
    <w:p w:rsidR="00822549" w:rsidP="00822549">
      <w:pPr>
        <w:spacing w:before="120" w:after="240"/>
        <w:ind w:firstLine="360"/>
        <w:rPr>
          <w:szCs w:val="22"/>
        </w:rPr>
      </w:pPr>
      <w:r>
        <w:rPr>
          <w:szCs w:val="22"/>
        </w:rPr>
        <w:t xml:space="preserve">For further information, contact </w:t>
      </w:r>
      <w:r w:rsidR="00B2212B">
        <w:rPr>
          <w:szCs w:val="22"/>
        </w:rPr>
        <w:t>Michael Wagner</w:t>
      </w:r>
      <w:r>
        <w:rPr>
          <w:szCs w:val="22"/>
        </w:rPr>
        <w:t xml:space="preserve"> at (202) 418-</w:t>
      </w:r>
      <w:r w:rsidR="00B2212B">
        <w:rPr>
          <w:szCs w:val="22"/>
        </w:rPr>
        <w:t>277</w:t>
      </w:r>
      <w:r>
        <w:rPr>
          <w:szCs w:val="22"/>
        </w:rPr>
        <w:t xml:space="preserve">5.  For press inquiries, contact Janice Wise at (202) 418-8165.  </w:t>
      </w:r>
    </w:p>
    <w:p w:rsidR="00822549" w:rsidP="00822549">
      <w:pPr>
        <w:spacing w:before="120" w:after="240"/>
        <w:rPr>
          <w:szCs w:val="22"/>
        </w:rPr>
      </w:pPr>
    </w:p>
    <w:p w:rsidR="00822549" w:rsidP="00822549">
      <w:pPr>
        <w:spacing w:before="120" w:after="240"/>
        <w:rPr>
          <w:szCs w:val="22"/>
        </w:rPr>
      </w:pPr>
      <w:r>
        <w:rPr>
          <w:szCs w:val="22"/>
        </w:rPr>
        <w:t>By:  Chief, Media Bureau</w:t>
      </w:r>
    </w:p>
    <w:p w:rsidR="00D45C53" w:rsidRPr="006C6118" w:rsidP="00D45C53">
      <w:pPr>
        <w:jc w:val="center"/>
        <w:rPr>
          <w:b/>
          <w:u w:val="single"/>
        </w:rPr>
      </w:pPr>
      <w:r>
        <w:rPr>
          <w:b/>
          <w:szCs w:val="22"/>
        </w:rPr>
        <w:br w:type="page"/>
      </w:r>
      <w:r w:rsidRPr="006C6118">
        <w:rPr>
          <w:b/>
          <w:u w:val="single"/>
        </w:rPr>
        <w:t>Attachment</w:t>
      </w:r>
    </w:p>
    <w:p w:rsidR="00D45C53" w:rsidRPr="006C6118" w:rsidP="00D45C53">
      <w:pPr>
        <w:jc w:val="center"/>
      </w:pPr>
    </w:p>
    <w:p w:rsidR="00D45C53" w:rsidRPr="006C6118" w:rsidP="00D45C53">
      <w:pPr>
        <w:jc w:val="center"/>
        <w:rPr>
          <w:b/>
        </w:rPr>
      </w:pPr>
      <w:r>
        <w:rPr>
          <w:b/>
        </w:rPr>
        <w:t>Transfer of Control to Terrier Media Buyer, Inc.</w:t>
      </w:r>
    </w:p>
    <w:tbl>
      <w:tblPr>
        <w:tblW w:w="9558" w:type="dxa"/>
        <w:tblLook w:val="04A0"/>
      </w:tblPr>
      <w:tblGrid>
        <w:gridCol w:w="1439"/>
        <w:gridCol w:w="1279"/>
        <w:gridCol w:w="2340"/>
        <w:gridCol w:w="1800"/>
        <w:gridCol w:w="2700"/>
      </w:tblGrid>
      <w:tr w:rsidTr="0070478F">
        <w:tblPrEx>
          <w:tblW w:w="9558" w:type="dxa"/>
          <w:tblLook w:val="04A0"/>
        </w:tblPrEx>
        <w:trPr>
          <w:trHeight w:val="600"/>
        </w:trPr>
        <w:tc>
          <w:tcPr>
            <w:tcW w:w="1439" w:type="dxa"/>
            <w:tcBorders>
              <w:top w:val="single" w:sz="4" w:space="0" w:color="auto"/>
              <w:left w:val="single" w:sz="4" w:space="0" w:color="auto"/>
              <w:bottom w:val="single" w:sz="4" w:space="0" w:color="auto"/>
              <w:right w:val="single" w:sz="4" w:space="0" w:color="auto"/>
            </w:tcBorders>
            <w:shd w:val="clear" w:color="auto" w:fill="auto"/>
            <w:noWrap/>
            <w:hideMark/>
          </w:tcPr>
          <w:p w:rsidR="00D45C53" w:rsidRPr="006C6118" w:rsidP="0070478F">
            <w:pPr>
              <w:jc w:val="center"/>
              <w:rPr>
                <w:b/>
                <w:color w:val="000000"/>
              </w:rPr>
            </w:pPr>
            <w:r w:rsidRPr="006C6118">
              <w:rPr>
                <w:b/>
                <w:color w:val="000000"/>
              </w:rPr>
              <w:t>Call Sign</w:t>
            </w:r>
          </w:p>
        </w:tc>
        <w:tc>
          <w:tcPr>
            <w:tcW w:w="1279" w:type="dxa"/>
            <w:tcBorders>
              <w:top w:val="single" w:sz="4" w:space="0" w:color="auto"/>
              <w:left w:val="nil"/>
              <w:bottom w:val="single" w:sz="4" w:space="0" w:color="auto"/>
              <w:right w:val="single" w:sz="4" w:space="0" w:color="auto"/>
            </w:tcBorders>
            <w:shd w:val="clear" w:color="auto" w:fill="auto"/>
            <w:hideMark/>
          </w:tcPr>
          <w:p w:rsidR="00D45C53" w:rsidRPr="006C6118" w:rsidP="0070478F">
            <w:pPr>
              <w:jc w:val="center"/>
              <w:rPr>
                <w:b/>
                <w:color w:val="000000"/>
              </w:rPr>
            </w:pPr>
            <w:r w:rsidRPr="006C6118">
              <w:rPr>
                <w:b/>
                <w:color w:val="000000"/>
              </w:rPr>
              <w:t>Facility ID No.</w:t>
            </w:r>
          </w:p>
        </w:tc>
        <w:tc>
          <w:tcPr>
            <w:tcW w:w="2340" w:type="dxa"/>
            <w:tcBorders>
              <w:top w:val="single" w:sz="4" w:space="0" w:color="auto"/>
              <w:left w:val="nil"/>
              <w:bottom w:val="single" w:sz="4" w:space="0" w:color="auto"/>
              <w:right w:val="single" w:sz="4" w:space="0" w:color="auto"/>
            </w:tcBorders>
            <w:shd w:val="clear" w:color="auto" w:fill="auto"/>
            <w:noWrap/>
            <w:hideMark/>
          </w:tcPr>
          <w:p w:rsidR="00D45C53" w:rsidRPr="006C6118" w:rsidP="0070478F">
            <w:pPr>
              <w:jc w:val="center"/>
              <w:rPr>
                <w:b/>
                <w:color w:val="000000"/>
              </w:rPr>
            </w:pPr>
            <w:r w:rsidRPr="006C6118">
              <w:rPr>
                <w:b/>
                <w:color w:val="000000"/>
              </w:rPr>
              <w:t>Community of License</w:t>
            </w:r>
          </w:p>
        </w:tc>
        <w:tc>
          <w:tcPr>
            <w:tcW w:w="1800" w:type="dxa"/>
            <w:tcBorders>
              <w:top w:val="single" w:sz="4" w:space="0" w:color="auto"/>
              <w:left w:val="nil"/>
              <w:bottom w:val="single" w:sz="4" w:space="0" w:color="auto"/>
              <w:right w:val="single" w:sz="4" w:space="0" w:color="auto"/>
            </w:tcBorders>
            <w:shd w:val="clear" w:color="auto" w:fill="auto"/>
            <w:noWrap/>
            <w:hideMark/>
          </w:tcPr>
          <w:p w:rsidR="00D45C53" w:rsidRPr="006C6118" w:rsidP="0070478F">
            <w:pPr>
              <w:jc w:val="center"/>
              <w:rPr>
                <w:b/>
                <w:color w:val="000000"/>
              </w:rPr>
            </w:pPr>
            <w:r w:rsidRPr="006C6118">
              <w:rPr>
                <w:b/>
                <w:color w:val="000000"/>
              </w:rPr>
              <w:t>Licensee</w:t>
            </w:r>
          </w:p>
        </w:tc>
        <w:tc>
          <w:tcPr>
            <w:tcW w:w="2700" w:type="dxa"/>
            <w:tcBorders>
              <w:top w:val="single" w:sz="4" w:space="0" w:color="auto"/>
              <w:left w:val="nil"/>
              <w:bottom w:val="single" w:sz="4" w:space="0" w:color="auto"/>
              <w:right w:val="single" w:sz="4" w:space="0" w:color="auto"/>
            </w:tcBorders>
            <w:shd w:val="clear" w:color="auto" w:fill="auto"/>
            <w:noWrap/>
            <w:hideMark/>
          </w:tcPr>
          <w:p w:rsidR="00D45C53" w:rsidRPr="006C6118" w:rsidP="0070478F">
            <w:pPr>
              <w:jc w:val="center"/>
              <w:rPr>
                <w:b/>
                <w:color w:val="000000"/>
              </w:rPr>
            </w:pPr>
            <w:r w:rsidRPr="006C6118">
              <w:rPr>
                <w:b/>
                <w:color w:val="000000"/>
              </w:rPr>
              <w:t>Application File Nos.</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DB4617" w:rsidP="0070478F">
            <w:pPr>
              <w:rPr>
                <w:b/>
                <w:color w:val="000000"/>
              </w:rPr>
            </w:pPr>
            <w:r w:rsidRPr="00DB4617">
              <w:rPr>
                <w:b/>
                <w:color w:val="000000"/>
              </w:rPr>
              <w:t>KCYY(FM)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DB4617" w:rsidP="0070478F">
            <w:pPr>
              <w:jc w:val="right"/>
              <w:rPr>
                <w:b/>
                <w:color w:val="000000"/>
              </w:rPr>
            </w:pPr>
            <w:r w:rsidRPr="00DB4617">
              <w:rPr>
                <w:b/>
                <w:color w:val="000000"/>
              </w:rPr>
              <w:t>48718</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DB4617" w:rsidP="0070478F">
            <w:pPr>
              <w:rPr>
                <w:b/>
                <w:color w:val="000000"/>
              </w:rPr>
            </w:pPr>
            <w:r w:rsidRPr="00DB4617">
              <w:rPr>
                <w:b/>
                <w:color w:val="000000"/>
              </w:rPr>
              <w:t>San Antonio, TX</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DB4617" w:rsidP="0070478F">
            <w:pPr>
              <w:rPr>
                <w:b/>
                <w:color w:val="000000"/>
              </w:rPr>
            </w:pPr>
            <w:r w:rsidRPr="00DB4617">
              <w:rPr>
                <w:b/>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DB4617" w:rsidP="0070478F">
            <w:pPr>
              <w:rPr>
                <w:b/>
                <w:color w:val="000000"/>
              </w:rPr>
            </w:pPr>
            <w:r w:rsidRPr="00DB4617">
              <w:rPr>
                <w:b/>
                <w:color w:val="000000"/>
              </w:rPr>
              <w:t>BTCH-20190702ABH</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K222DG</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202417</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S</w:t>
            </w:r>
            <w:r w:rsidRPr="006C6118">
              <w:rPr>
                <w:color w:val="000000"/>
              </w:rPr>
              <w:t xml:space="preserve">an </w:t>
            </w:r>
            <w:r>
              <w:rPr>
                <w:color w:val="000000"/>
              </w:rPr>
              <w:t>A</w:t>
            </w:r>
            <w:r w:rsidRPr="006C6118">
              <w:rPr>
                <w:color w:val="000000"/>
              </w:rPr>
              <w:t xml:space="preserve">ntonio, </w:t>
            </w:r>
            <w:r>
              <w:rPr>
                <w:color w:val="000000"/>
              </w:rPr>
              <w:t>TX</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BTCFT-20190702ABI</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K285EU</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87144</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M</w:t>
            </w:r>
            <w:r w:rsidRPr="006C6118">
              <w:rPr>
                <w:color w:val="000000"/>
              </w:rPr>
              <w:t xml:space="preserve">endoza, </w:t>
            </w:r>
            <w:r>
              <w:rPr>
                <w:color w:val="000000"/>
              </w:rPr>
              <w:t>TX</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BTCFT-20190702ABJ</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KGLK(FM)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59951</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L</w:t>
            </w:r>
            <w:r w:rsidRPr="006C6118">
              <w:rPr>
                <w:color w:val="000000"/>
              </w:rPr>
              <w:t xml:space="preserve">ake </w:t>
            </w:r>
            <w:r>
              <w:rPr>
                <w:color w:val="000000"/>
              </w:rPr>
              <w:t>J</w:t>
            </w:r>
            <w:r w:rsidRPr="006C6118">
              <w:rPr>
                <w:color w:val="000000"/>
              </w:rPr>
              <w:t xml:space="preserve">ackson, </w:t>
            </w:r>
            <w:r>
              <w:rPr>
                <w:color w:val="000000"/>
              </w:rPr>
              <w:t>TX</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BTCH-20190702ABK</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KHPT(FM)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69564</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C</w:t>
            </w:r>
            <w:r w:rsidRPr="006C6118">
              <w:rPr>
                <w:color w:val="000000"/>
              </w:rPr>
              <w:t xml:space="preserve">onroe, </w:t>
            </w:r>
            <w:r>
              <w:rPr>
                <w:color w:val="000000"/>
              </w:rPr>
              <w:t>TX</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BTCH-20190702ABL</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KISS-FM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34976</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S</w:t>
            </w:r>
            <w:r w:rsidRPr="006C6118">
              <w:rPr>
                <w:color w:val="000000"/>
              </w:rPr>
              <w:t xml:space="preserve">an </w:t>
            </w:r>
            <w:r>
              <w:rPr>
                <w:color w:val="000000"/>
              </w:rPr>
              <w:t>A</w:t>
            </w:r>
            <w:r w:rsidRPr="006C6118">
              <w:rPr>
                <w:color w:val="000000"/>
              </w:rPr>
              <w:t xml:space="preserve">ntonio, </w:t>
            </w:r>
            <w:r>
              <w:rPr>
                <w:color w:val="000000"/>
              </w:rPr>
              <w:t>TX</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BTCH-20190702ABM</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KJSR(FM)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9801</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T</w:t>
            </w:r>
            <w:r w:rsidRPr="006C6118">
              <w:rPr>
                <w:color w:val="000000"/>
              </w:rPr>
              <w:t xml:space="preserve">ulsa, </w:t>
            </w:r>
            <w:r>
              <w:rPr>
                <w:color w:val="000000"/>
              </w:rPr>
              <w:t>OK</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BTCH-20190702ABN</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KKBQ(FM)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23083</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P</w:t>
            </w:r>
            <w:r w:rsidRPr="006C6118">
              <w:rPr>
                <w:color w:val="000000"/>
              </w:rPr>
              <w:t xml:space="preserve">asadena, </w:t>
            </w:r>
            <w:r>
              <w:rPr>
                <w:color w:val="000000"/>
              </w:rPr>
              <w:t>TX</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BTCH-20190702ABO</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KKYX(AM)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48723</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S</w:t>
            </w:r>
            <w:r w:rsidRPr="006C6118">
              <w:rPr>
                <w:color w:val="000000"/>
              </w:rPr>
              <w:t xml:space="preserve">an </w:t>
            </w:r>
            <w:r>
              <w:rPr>
                <w:color w:val="000000"/>
              </w:rPr>
              <w:t>A</w:t>
            </w:r>
            <w:r w:rsidRPr="006C6118">
              <w:rPr>
                <w:color w:val="000000"/>
              </w:rPr>
              <w:t xml:space="preserve">ntonio, </w:t>
            </w:r>
            <w:r>
              <w:rPr>
                <w:color w:val="000000"/>
              </w:rPr>
              <w:t>TX</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BTC-20190702ABP</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KONO(AM)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50029</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S</w:t>
            </w:r>
            <w:r w:rsidRPr="006C6118">
              <w:rPr>
                <w:color w:val="000000"/>
              </w:rPr>
              <w:t xml:space="preserve">an </w:t>
            </w:r>
            <w:r>
              <w:rPr>
                <w:color w:val="000000"/>
              </w:rPr>
              <w:t>A</w:t>
            </w:r>
            <w:r w:rsidRPr="006C6118">
              <w:rPr>
                <w:color w:val="000000"/>
              </w:rPr>
              <w:t xml:space="preserve">ntonio, </w:t>
            </w:r>
            <w:r>
              <w:rPr>
                <w:color w:val="000000"/>
              </w:rPr>
              <w:t>TX</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BTC-20190702ABQ</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KONO-FM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50030</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H</w:t>
            </w:r>
            <w:r w:rsidRPr="006C6118">
              <w:rPr>
                <w:color w:val="000000"/>
              </w:rPr>
              <w:t xml:space="preserve">elotes, </w:t>
            </w:r>
            <w:r>
              <w:rPr>
                <w:color w:val="000000"/>
              </w:rPr>
              <w:t>TX</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BTCH-20190702ABR</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KRAV-FM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65764</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T</w:t>
            </w:r>
            <w:r w:rsidRPr="006C6118">
              <w:rPr>
                <w:color w:val="000000"/>
              </w:rPr>
              <w:t xml:space="preserve">ulsa, </w:t>
            </w:r>
            <w:r>
              <w:rPr>
                <w:color w:val="000000"/>
              </w:rPr>
              <w:t>OK</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BTCH-20190702ABS</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KRMG(AM)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48729</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T</w:t>
            </w:r>
            <w:r w:rsidRPr="006C6118">
              <w:rPr>
                <w:color w:val="000000"/>
              </w:rPr>
              <w:t xml:space="preserve">ulsa, </w:t>
            </w:r>
            <w:r>
              <w:rPr>
                <w:color w:val="000000"/>
              </w:rPr>
              <w:t>OK</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BTC-20190702ABT</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KRMG-FM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47102</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S</w:t>
            </w:r>
            <w:r w:rsidRPr="006C6118">
              <w:rPr>
                <w:color w:val="000000"/>
              </w:rPr>
              <w:t xml:space="preserve">and </w:t>
            </w:r>
            <w:r>
              <w:rPr>
                <w:color w:val="000000"/>
              </w:rPr>
              <w:t>S</w:t>
            </w:r>
            <w:r w:rsidRPr="006C6118">
              <w:rPr>
                <w:color w:val="000000"/>
              </w:rPr>
              <w:t xml:space="preserve">prings, </w:t>
            </w:r>
            <w:r>
              <w:rPr>
                <w:color w:val="000000"/>
              </w:rPr>
              <w:t>OK</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BTCH-20190702ABU</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KSMG(FM)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34977</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S</w:t>
            </w:r>
            <w:r w:rsidRPr="006C6118">
              <w:rPr>
                <w:color w:val="000000"/>
              </w:rPr>
              <w:t xml:space="preserve">eguin, </w:t>
            </w:r>
            <w:r>
              <w:rPr>
                <w:color w:val="000000"/>
              </w:rPr>
              <w:t>TX</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BTCH-20190702ABV</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KTHT(FM)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65308</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C</w:t>
            </w:r>
            <w:r w:rsidRPr="006C6118">
              <w:rPr>
                <w:color w:val="000000"/>
              </w:rPr>
              <w:t xml:space="preserve">leveland, </w:t>
            </w:r>
            <w:r>
              <w:rPr>
                <w:color w:val="000000"/>
              </w:rPr>
              <w:t>TX</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BTCH-20190702ABW</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KTKX(FM)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70357</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T</w:t>
            </w:r>
            <w:r w:rsidRPr="006C6118">
              <w:rPr>
                <w:color w:val="000000"/>
              </w:rPr>
              <w:t xml:space="preserve">errell </w:t>
            </w:r>
            <w:r>
              <w:rPr>
                <w:color w:val="000000"/>
              </w:rPr>
              <w:t>H</w:t>
            </w:r>
            <w:r w:rsidRPr="006C6118">
              <w:rPr>
                <w:color w:val="000000"/>
              </w:rPr>
              <w:t xml:space="preserve">ills, </w:t>
            </w:r>
            <w:r>
              <w:rPr>
                <w:color w:val="000000"/>
              </w:rPr>
              <w:t>TX</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BTCH-20190702ABX</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KWEN(FM)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48722</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T</w:t>
            </w:r>
            <w:r w:rsidRPr="006C6118">
              <w:rPr>
                <w:color w:val="000000"/>
              </w:rPr>
              <w:t xml:space="preserve">ulsa, </w:t>
            </w:r>
            <w:r>
              <w:rPr>
                <w:color w:val="000000"/>
              </w:rPr>
              <w:t>OK</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BTCH-20190702ABY</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W228CA</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138393</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S</w:t>
            </w:r>
            <w:r w:rsidRPr="006C6118">
              <w:rPr>
                <w:color w:val="000000"/>
              </w:rPr>
              <w:t xml:space="preserve">uwanee, </w:t>
            </w:r>
            <w:r>
              <w:rPr>
                <w:color w:val="000000"/>
              </w:rPr>
              <w:t>GA</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BTCFT-20190702ABZ</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W246CY</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158520</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B</w:t>
            </w:r>
            <w:r w:rsidRPr="006C6118">
              <w:rPr>
                <w:color w:val="000000"/>
              </w:rPr>
              <w:t xml:space="preserve">radenton,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BTCFT-20190702ACA</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W249CK</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147419</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D</w:t>
            </w:r>
            <w:r w:rsidRPr="006C6118">
              <w:rPr>
                <w:color w:val="000000"/>
              </w:rPr>
              <w:t xml:space="preserve">uluth, </w:t>
            </w:r>
            <w:r>
              <w:rPr>
                <w:color w:val="000000"/>
              </w:rPr>
              <w:t>GA</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BTCFT-20190702ACB</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W258CN</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157039</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J</w:t>
            </w:r>
            <w:r w:rsidRPr="006C6118">
              <w:rPr>
                <w:color w:val="000000"/>
              </w:rPr>
              <w:t xml:space="preserve">acksonville,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BTCFT-20190702ACC</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W291CI</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153382</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J</w:t>
            </w:r>
            <w:r w:rsidRPr="006C6118">
              <w:rPr>
                <w:color w:val="000000"/>
              </w:rPr>
              <w:t xml:space="preserve">acksonville,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BTCFT-20190702ACD</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W297BB</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152901</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O</w:t>
            </w:r>
            <w:r w:rsidRPr="006C6118">
              <w:rPr>
                <w:color w:val="000000"/>
              </w:rPr>
              <w:t xml:space="preserve">rlando,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BTCFT-20190702ACE</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WALR-FM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48728</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P</w:t>
            </w:r>
            <w:r w:rsidRPr="006C6118">
              <w:rPr>
                <w:color w:val="000000"/>
              </w:rPr>
              <w:t xml:space="preserve">almetto, </w:t>
            </w:r>
            <w:r>
              <w:rPr>
                <w:color w:val="000000"/>
              </w:rPr>
              <w:t>GA</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BTCH-20190702ACF</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WAPE-FM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70863</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J</w:t>
            </w:r>
            <w:r w:rsidRPr="006C6118">
              <w:rPr>
                <w:color w:val="000000"/>
              </w:rPr>
              <w:t xml:space="preserve">acksonville,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BTCH-20190702ACG</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WBAB(FM)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71199</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B</w:t>
            </w:r>
            <w:r w:rsidRPr="006C6118">
              <w:rPr>
                <w:color w:val="000000"/>
              </w:rPr>
              <w:t xml:space="preserve">abylon, </w:t>
            </w:r>
            <w:r>
              <w:rPr>
                <w:color w:val="000000"/>
              </w:rPr>
              <w:t>NY</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BTCH-20190702ACH</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WBLI(FM)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37235</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P</w:t>
            </w:r>
            <w:r w:rsidRPr="006C6118">
              <w:rPr>
                <w:color w:val="000000"/>
              </w:rPr>
              <w:t xml:space="preserve">atchogue, </w:t>
            </w:r>
            <w:r>
              <w:rPr>
                <w:color w:val="000000"/>
              </w:rPr>
              <w:t>NY</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BTCH-20190702ACI</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WCFB(FM)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10343</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D</w:t>
            </w:r>
            <w:r w:rsidRPr="006C6118">
              <w:rPr>
                <w:color w:val="000000"/>
              </w:rPr>
              <w:t xml:space="preserve">aytona </w:t>
            </w:r>
            <w:r>
              <w:rPr>
                <w:color w:val="000000"/>
              </w:rPr>
              <w:t>B</w:t>
            </w:r>
            <w:r w:rsidRPr="006C6118">
              <w:rPr>
                <w:color w:val="000000"/>
              </w:rPr>
              <w:t xml:space="preserve">each,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BTCH-20190702ACJ</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WDBO(AM)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48726</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O</w:t>
            </w:r>
            <w:r w:rsidRPr="006C6118">
              <w:rPr>
                <w:color w:val="000000"/>
              </w:rPr>
              <w:t xml:space="preserve">rlando,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BTC-20190702ACK</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WDBO-FM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23443</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O</w:t>
            </w:r>
            <w:r w:rsidRPr="006C6118">
              <w:rPr>
                <w:color w:val="000000"/>
              </w:rPr>
              <w:t xml:space="preserve">rlando,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BTCH-20190702ACL</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WDUV(FM)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1178</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N</w:t>
            </w:r>
            <w:r w:rsidRPr="006C6118">
              <w:rPr>
                <w:color w:val="000000"/>
              </w:rPr>
              <w:t xml:space="preserve">ew </w:t>
            </w:r>
            <w:r>
              <w:rPr>
                <w:color w:val="000000"/>
              </w:rPr>
              <w:t>P</w:t>
            </w:r>
            <w:r w:rsidRPr="006C6118">
              <w:rPr>
                <w:color w:val="000000"/>
              </w:rPr>
              <w:t xml:space="preserve">ort </w:t>
            </w:r>
            <w:r>
              <w:rPr>
                <w:color w:val="000000"/>
              </w:rPr>
              <w:t>R</w:t>
            </w:r>
            <w:r w:rsidRPr="006C6118">
              <w:rPr>
                <w:color w:val="000000"/>
              </w:rPr>
              <w:t xml:space="preserve">ichey,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BTCH-20190702ACM</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WEDR(FM)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71418</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M</w:t>
            </w:r>
            <w:r w:rsidRPr="006C6118">
              <w:rPr>
                <w:color w:val="000000"/>
              </w:rPr>
              <w:t xml:space="preserve">iami,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BTCH-20190702ACN</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WEZI(FM)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53602</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J</w:t>
            </w:r>
            <w:r w:rsidRPr="006C6118">
              <w:rPr>
                <w:color w:val="000000"/>
              </w:rPr>
              <w:t xml:space="preserve">acksonville,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BTCH-20190702ACO</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WFEZ(FM)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40408</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M</w:t>
            </w:r>
            <w:r w:rsidRPr="006C6118">
              <w:rPr>
                <w:color w:val="000000"/>
              </w:rPr>
              <w:t xml:space="preserve">iami,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BTCH-20190702ACP</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WFLC(FM)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72984</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M</w:t>
            </w:r>
            <w:r w:rsidRPr="006C6118">
              <w:rPr>
                <w:color w:val="000000"/>
              </w:rPr>
              <w:t xml:space="preserve">iami,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BTCH-20190702ACQ</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WGAU(AM)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11709</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A</w:t>
            </w:r>
            <w:r w:rsidRPr="006C6118">
              <w:rPr>
                <w:color w:val="000000"/>
              </w:rPr>
              <w:t xml:space="preserve">thens, </w:t>
            </w:r>
            <w:r>
              <w:rPr>
                <w:color w:val="000000"/>
              </w:rPr>
              <w:t>GA</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BTC-20190702ACR</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WGMG(FM)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48374</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C</w:t>
            </w:r>
            <w:r w:rsidRPr="006C6118">
              <w:rPr>
                <w:color w:val="000000"/>
              </w:rPr>
              <w:t xml:space="preserve">rawford, </w:t>
            </w:r>
            <w:r>
              <w:rPr>
                <w:color w:val="000000"/>
              </w:rPr>
              <w:t>GA</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BTCH-20190702ACS</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WHFM(FM)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72176</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S</w:t>
            </w:r>
            <w:r w:rsidRPr="006C6118">
              <w:rPr>
                <w:color w:val="000000"/>
              </w:rPr>
              <w:t xml:space="preserve">outhampton, </w:t>
            </w:r>
            <w:r>
              <w:rPr>
                <w:color w:val="000000"/>
              </w:rPr>
              <w:t>NY</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BTCH-20190702ACT</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WHPT(FM)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51986</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S</w:t>
            </w:r>
            <w:r w:rsidRPr="006C6118">
              <w:rPr>
                <w:color w:val="000000"/>
              </w:rPr>
              <w:t xml:space="preserve">arasota,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BTCH-20190702ACU</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WHQT(FM)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72982</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C</w:t>
            </w:r>
            <w:r w:rsidRPr="006C6118">
              <w:rPr>
                <w:color w:val="000000"/>
              </w:rPr>
              <w:t xml:space="preserve">oral </w:t>
            </w:r>
            <w:r>
              <w:rPr>
                <w:color w:val="000000"/>
              </w:rPr>
              <w:t>Ga</w:t>
            </w:r>
            <w:r w:rsidRPr="006C6118">
              <w:rPr>
                <w:color w:val="000000"/>
              </w:rPr>
              <w:t xml:space="preserve">bles,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BTCH-20190702ACV</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WJGL(FM)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53590</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J</w:t>
            </w:r>
            <w:r w:rsidRPr="006C6118">
              <w:rPr>
                <w:color w:val="000000"/>
              </w:rPr>
              <w:t xml:space="preserve">acksonville,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BTCH-20190702ACW</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WMMO(FM)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23444</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O</w:t>
            </w:r>
            <w:r w:rsidRPr="006C6118">
              <w:rPr>
                <w:color w:val="000000"/>
              </w:rPr>
              <w:t xml:space="preserve">rlando,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BTCH-20190702ACX</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WNGC(FM)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60810</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A</w:t>
            </w:r>
            <w:r w:rsidRPr="006C6118">
              <w:rPr>
                <w:color w:val="000000"/>
              </w:rPr>
              <w:t xml:space="preserve">rcade, </w:t>
            </w:r>
            <w:r>
              <w:rPr>
                <w:color w:val="000000"/>
              </w:rPr>
              <w:t>GA</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BTCH-20190702ACY</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WOKV(AM)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53601</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J</w:t>
            </w:r>
            <w:r w:rsidRPr="006C6118">
              <w:rPr>
                <w:color w:val="000000"/>
              </w:rPr>
              <w:t xml:space="preserve">acksonville,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BTC-20190702ACZ</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WOKV-FM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72081</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A</w:t>
            </w:r>
            <w:r w:rsidRPr="006C6118">
              <w:rPr>
                <w:color w:val="000000"/>
              </w:rPr>
              <w:t xml:space="preserve">tlantic </w:t>
            </w:r>
            <w:r>
              <w:rPr>
                <w:color w:val="000000"/>
              </w:rPr>
              <w:t>B</w:t>
            </w:r>
            <w:r w:rsidRPr="006C6118">
              <w:rPr>
                <w:color w:val="000000"/>
              </w:rPr>
              <w:t xml:space="preserve">each,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BTCH-20190702ADA</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WPOI(FM)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66013</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S</w:t>
            </w:r>
            <w:r w:rsidRPr="006C6118">
              <w:rPr>
                <w:color w:val="000000"/>
              </w:rPr>
              <w:t xml:space="preserve">t. </w:t>
            </w:r>
            <w:r>
              <w:rPr>
                <w:color w:val="000000"/>
              </w:rPr>
              <w:t>P</w:t>
            </w:r>
            <w:r w:rsidRPr="006C6118">
              <w:rPr>
                <w:color w:val="000000"/>
              </w:rPr>
              <w:t xml:space="preserve">etersburg,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BTCH-20190702ADB</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WPUP(FM)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51120</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W</w:t>
            </w:r>
            <w:r w:rsidRPr="006C6118">
              <w:rPr>
                <w:color w:val="000000"/>
              </w:rPr>
              <w:t xml:space="preserve">atkinsville, </w:t>
            </w:r>
            <w:r>
              <w:rPr>
                <w:color w:val="000000"/>
              </w:rPr>
              <w:t>GA</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BTCH-20190702ADC</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WRFC(AM)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1218</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A</w:t>
            </w:r>
            <w:r w:rsidRPr="006C6118">
              <w:rPr>
                <w:color w:val="000000"/>
              </w:rPr>
              <w:t xml:space="preserve">thens, </w:t>
            </w:r>
            <w:r>
              <w:rPr>
                <w:color w:val="000000"/>
              </w:rPr>
              <w:t>GA</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BTC-20190702ADD</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WSB(AM)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73977</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A</w:t>
            </w:r>
            <w:r w:rsidRPr="006C6118">
              <w:rPr>
                <w:color w:val="000000"/>
              </w:rPr>
              <w:t xml:space="preserve">tlanta, </w:t>
            </w:r>
            <w:r>
              <w:rPr>
                <w:color w:val="000000"/>
              </w:rPr>
              <w:t>GA</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BTC-20190702ADE</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WSB-FM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73978</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A</w:t>
            </w:r>
            <w:r w:rsidRPr="006C6118">
              <w:rPr>
                <w:color w:val="000000"/>
              </w:rPr>
              <w:t xml:space="preserve">tlanta, </w:t>
            </w:r>
            <w:r>
              <w:rPr>
                <w:color w:val="000000"/>
              </w:rPr>
              <w:t>GA</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BTCH-20190702ADF</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WSBB-FM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11710</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D</w:t>
            </w:r>
            <w:r w:rsidRPr="006C6118">
              <w:rPr>
                <w:color w:val="000000"/>
              </w:rPr>
              <w:t xml:space="preserve">oraville, </w:t>
            </w:r>
            <w:r>
              <w:rPr>
                <w:color w:val="000000"/>
              </w:rPr>
              <w:t>GA</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BTCH-20190702ADG</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WSRV(FM)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59970</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Ga</w:t>
            </w:r>
            <w:r w:rsidRPr="006C6118">
              <w:rPr>
                <w:color w:val="000000"/>
              </w:rPr>
              <w:t xml:space="preserve">inesville, </w:t>
            </w:r>
            <w:r>
              <w:rPr>
                <w:color w:val="000000"/>
              </w:rPr>
              <w:t>GA</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BTCH-20190702ADH</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WWKA(FM)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48716</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O</w:t>
            </w:r>
            <w:r w:rsidRPr="006C6118">
              <w:rPr>
                <w:color w:val="000000"/>
              </w:rPr>
              <w:t xml:space="preserve">rlando,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BTCH-20190702ADI</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WWRM(FM)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74200</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T</w:t>
            </w:r>
            <w:r w:rsidRPr="006C6118">
              <w:rPr>
                <w:color w:val="000000"/>
              </w:rPr>
              <w:t xml:space="preserve">ampa,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BTCH-20190702ADJ</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WXGL(FM)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74199</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S</w:t>
            </w:r>
            <w:r w:rsidRPr="006C6118">
              <w:rPr>
                <w:color w:val="000000"/>
              </w:rPr>
              <w:t xml:space="preserve">t. </w:t>
            </w:r>
            <w:r>
              <w:rPr>
                <w:color w:val="000000"/>
              </w:rPr>
              <w:t>P</w:t>
            </w:r>
            <w:r w:rsidRPr="006C6118">
              <w:rPr>
                <w:color w:val="000000"/>
              </w:rPr>
              <w:t xml:space="preserve">etersburg,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BTCH-20190702ADK</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WXKT(FM)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3078</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M</w:t>
            </w:r>
            <w:r w:rsidRPr="006C6118">
              <w:rPr>
                <w:color w:val="000000"/>
              </w:rPr>
              <w:t xml:space="preserve">aysville, </w:t>
            </w:r>
            <w:r>
              <w:rPr>
                <w:color w:val="000000"/>
              </w:rPr>
              <w:t>GA</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BTCH-20190702ADL</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WXXJ(FM)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28894</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P</w:t>
            </w:r>
            <w:r w:rsidRPr="006C6118">
              <w:rPr>
                <w:color w:val="000000"/>
              </w:rPr>
              <w:t xml:space="preserve">onte </w:t>
            </w:r>
            <w:r>
              <w:rPr>
                <w:color w:val="000000"/>
              </w:rPr>
              <w:t>V</w:t>
            </w:r>
            <w:r w:rsidRPr="006C6118">
              <w:rPr>
                <w:color w:val="000000"/>
              </w:rPr>
              <w:t>edra</w:t>
            </w:r>
            <w:r w:rsidRPr="006C6118">
              <w:rPr>
                <w:color w:val="000000"/>
              </w:rPr>
              <w:t xml:space="preserve"> </w:t>
            </w:r>
            <w:r>
              <w:rPr>
                <w:color w:val="000000"/>
              </w:rPr>
              <w:t>B</w:t>
            </w:r>
            <w:r w:rsidRPr="006C6118">
              <w:rPr>
                <w:color w:val="000000"/>
              </w:rPr>
              <w:t xml:space="preserve">each,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BTCH-20190702ADM</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W273CP</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158583</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N</w:t>
            </w:r>
            <w:r w:rsidRPr="006C6118">
              <w:rPr>
                <w:color w:val="000000"/>
              </w:rPr>
              <w:t xml:space="preserve">ew </w:t>
            </w:r>
            <w:r>
              <w:rPr>
                <w:color w:val="000000"/>
              </w:rPr>
              <w:t>P</w:t>
            </w:r>
            <w:r w:rsidRPr="006C6118">
              <w:rPr>
                <w:color w:val="000000"/>
              </w:rPr>
              <w:t xml:space="preserve">ort </w:t>
            </w:r>
            <w:r>
              <w:rPr>
                <w:color w:val="000000"/>
              </w:rPr>
              <w:t>R</w:t>
            </w:r>
            <w:r w:rsidRPr="006C6118">
              <w:rPr>
                <w:color w:val="000000"/>
              </w:rPr>
              <w:t xml:space="preserve">ichey,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BTCFT-20190702ADN</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WPYO(FM)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1186</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M</w:t>
            </w:r>
            <w:r w:rsidRPr="006C6118">
              <w:rPr>
                <w:color w:val="000000"/>
              </w:rPr>
              <w:t xml:space="preserve">aitland,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BTCH-20190702ADO</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WSUN(FM)</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67136</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H</w:t>
            </w:r>
            <w:r w:rsidRPr="006C6118">
              <w:rPr>
                <w:color w:val="000000"/>
              </w:rPr>
              <w:t xml:space="preserve">oliday, </w:t>
            </w:r>
            <w:r>
              <w:rPr>
                <w:color w:val="000000"/>
              </w:rPr>
              <w:t>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BTCH-20190702ADP</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WSUN-FM3</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198549</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S</w:t>
            </w:r>
            <w:r w:rsidRPr="006C6118">
              <w:rPr>
                <w:color w:val="000000"/>
              </w:rPr>
              <w:t xml:space="preserve">t. </w:t>
            </w:r>
            <w:r>
              <w:rPr>
                <w:color w:val="000000"/>
              </w:rPr>
              <w:t>P</w:t>
            </w:r>
            <w:r w:rsidRPr="006C6118">
              <w:rPr>
                <w:color w:val="000000"/>
              </w:rPr>
              <w:t>etersburg, 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BTCFTB-20190702ADQ</w:t>
            </w:r>
          </w:p>
        </w:tc>
      </w:tr>
      <w:tr w:rsidTr="0070478F">
        <w:tblPrEx>
          <w:tblW w:w="9558" w:type="dxa"/>
          <w:tblLook w:val="04A0"/>
        </w:tblPrEx>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WSUN-FM4</w:t>
            </w:r>
          </w:p>
        </w:tc>
        <w:tc>
          <w:tcPr>
            <w:tcW w:w="1279"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198705</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P</w:t>
            </w:r>
            <w:r w:rsidRPr="006C6118">
              <w:rPr>
                <w:color w:val="000000"/>
              </w:rPr>
              <w:t>inellas park, 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BTCFTB-20190702ADR</w:t>
            </w:r>
          </w:p>
        </w:tc>
      </w:tr>
    </w:tbl>
    <w:p w:rsidR="00D45C53" w:rsidRPr="006C6118" w:rsidP="00D45C53"/>
    <w:p w:rsidR="00D45C53" w:rsidRPr="006C6118" w:rsidP="00D45C53">
      <w:pPr>
        <w:jc w:val="center"/>
        <w:rPr>
          <w:b/>
        </w:rPr>
      </w:pPr>
      <w:r>
        <w:rPr>
          <w:b/>
        </w:rPr>
        <w:t>Assignment of License to CXR Radio, LLC</w:t>
      </w:r>
    </w:p>
    <w:tbl>
      <w:tblPr>
        <w:tblW w:w="9540" w:type="dxa"/>
        <w:tblInd w:w="18" w:type="dxa"/>
        <w:tblLook w:val="04A0"/>
      </w:tblPr>
      <w:tblGrid>
        <w:gridCol w:w="1440"/>
        <w:gridCol w:w="1260"/>
        <w:gridCol w:w="2340"/>
        <w:gridCol w:w="1800"/>
        <w:gridCol w:w="2700"/>
      </w:tblGrid>
      <w:tr w:rsidTr="0070478F">
        <w:tblPrEx>
          <w:tblW w:w="9540" w:type="dxa"/>
          <w:tblInd w:w="18" w:type="dxa"/>
          <w:tblLook w:val="04A0"/>
        </w:tblPrEx>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D45C53" w:rsidRPr="006C6118" w:rsidP="0070478F">
            <w:pPr>
              <w:jc w:val="center"/>
              <w:rPr>
                <w:b/>
                <w:color w:val="000000"/>
              </w:rPr>
            </w:pPr>
            <w:r w:rsidRPr="006C6118">
              <w:rPr>
                <w:b/>
                <w:color w:val="000000"/>
              </w:rPr>
              <w:t>Call Sign</w:t>
            </w:r>
          </w:p>
        </w:tc>
        <w:tc>
          <w:tcPr>
            <w:tcW w:w="1260" w:type="dxa"/>
            <w:tcBorders>
              <w:top w:val="single" w:sz="4" w:space="0" w:color="auto"/>
              <w:left w:val="nil"/>
              <w:bottom w:val="single" w:sz="4" w:space="0" w:color="auto"/>
              <w:right w:val="single" w:sz="4" w:space="0" w:color="auto"/>
            </w:tcBorders>
            <w:shd w:val="clear" w:color="auto" w:fill="auto"/>
            <w:hideMark/>
          </w:tcPr>
          <w:p w:rsidR="00D45C53" w:rsidRPr="006C6118" w:rsidP="0070478F">
            <w:pPr>
              <w:jc w:val="center"/>
              <w:rPr>
                <w:b/>
                <w:color w:val="000000"/>
              </w:rPr>
            </w:pPr>
            <w:r w:rsidRPr="006C6118">
              <w:rPr>
                <w:b/>
                <w:color w:val="000000"/>
              </w:rPr>
              <w:t>Facility ID No.</w:t>
            </w:r>
          </w:p>
        </w:tc>
        <w:tc>
          <w:tcPr>
            <w:tcW w:w="2340" w:type="dxa"/>
            <w:tcBorders>
              <w:top w:val="single" w:sz="4" w:space="0" w:color="auto"/>
              <w:left w:val="nil"/>
              <w:bottom w:val="single" w:sz="4" w:space="0" w:color="auto"/>
              <w:right w:val="single" w:sz="4" w:space="0" w:color="auto"/>
            </w:tcBorders>
            <w:shd w:val="clear" w:color="auto" w:fill="auto"/>
            <w:noWrap/>
            <w:hideMark/>
          </w:tcPr>
          <w:p w:rsidR="00D45C53" w:rsidRPr="006C6118" w:rsidP="0070478F">
            <w:pPr>
              <w:jc w:val="center"/>
              <w:rPr>
                <w:b/>
                <w:color w:val="000000"/>
              </w:rPr>
            </w:pPr>
            <w:r w:rsidRPr="006C6118">
              <w:rPr>
                <w:b/>
                <w:color w:val="000000"/>
              </w:rPr>
              <w:t>Community of License</w:t>
            </w:r>
          </w:p>
        </w:tc>
        <w:tc>
          <w:tcPr>
            <w:tcW w:w="1800" w:type="dxa"/>
            <w:tcBorders>
              <w:top w:val="single" w:sz="4" w:space="0" w:color="auto"/>
              <w:left w:val="nil"/>
              <w:bottom w:val="single" w:sz="4" w:space="0" w:color="auto"/>
              <w:right w:val="single" w:sz="4" w:space="0" w:color="auto"/>
            </w:tcBorders>
            <w:shd w:val="clear" w:color="auto" w:fill="auto"/>
            <w:noWrap/>
            <w:hideMark/>
          </w:tcPr>
          <w:p w:rsidR="00D45C53" w:rsidRPr="006C6118" w:rsidP="0070478F">
            <w:pPr>
              <w:jc w:val="center"/>
              <w:rPr>
                <w:b/>
                <w:color w:val="000000"/>
              </w:rPr>
            </w:pPr>
            <w:r w:rsidRPr="006C6118">
              <w:rPr>
                <w:b/>
                <w:color w:val="000000"/>
              </w:rPr>
              <w:t>Licensee</w:t>
            </w:r>
          </w:p>
        </w:tc>
        <w:tc>
          <w:tcPr>
            <w:tcW w:w="2700" w:type="dxa"/>
            <w:tcBorders>
              <w:top w:val="single" w:sz="4" w:space="0" w:color="auto"/>
              <w:left w:val="nil"/>
              <w:bottom w:val="single" w:sz="4" w:space="0" w:color="auto"/>
              <w:right w:val="single" w:sz="4" w:space="0" w:color="auto"/>
            </w:tcBorders>
            <w:shd w:val="clear" w:color="auto" w:fill="auto"/>
            <w:noWrap/>
            <w:hideMark/>
          </w:tcPr>
          <w:p w:rsidR="00D45C53" w:rsidRPr="006C6118" w:rsidP="0070478F">
            <w:pPr>
              <w:jc w:val="center"/>
              <w:rPr>
                <w:b/>
                <w:color w:val="000000"/>
              </w:rPr>
            </w:pPr>
            <w:r w:rsidRPr="006C6118">
              <w:rPr>
                <w:b/>
                <w:color w:val="000000"/>
              </w:rPr>
              <w:t>Application File Nos.</w:t>
            </w:r>
          </w:p>
        </w:tc>
      </w:tr>
      <w:tr w:rsidTr="0070478F">
        <w:tblPrEx>
          <w:tblW w:w="9540" w:type="dxa"/>
          <w:tblInd w:w="18"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5C53" w:rsidRPr="00DB4617" w:rsidP="0070478F">
            <w:pPr>
              <w:rPr>
                <w:b/>
                <w:color w:val="000000"/>
              </w:rPr>
            </w:pPr>
            <w:r w:rsidRPr="00DB4617">
              <w:rPr>
                <w:b/>
                <w:color w:val="000000"/>
              </w:rPr>
              <w:t>WSUN(FM)</w:t>
            </w:r>
          </w:p>
        </w:tc>
        <w:tc>
          <w:tcPr>
            <w:tcW w:w="1260" w:type="dxa"/>
            <w:tcBorders>
              <w:top w:val="nil"/>
              <w:left w:val="nil"/>
              <w:bottom w:val="single" w:sz="4" w:space="0" w:color="auto"/>
              <w:right w:val="single" w:sz="4" w:space="0" w:color="auto"/>
            </w:tcBorders>
            <w:shd w:val="clear" w:color="auto" w:fill="auto"/>
            <w:noWrap/>
            <w:vAlign w:val="bottom"/>
            <w:hideMark/>
          </w:tcPr>
          <w:p w:rsidR="00D45C53" w:rsidRPr="00DB4617" w:rsidP="0070478F">
            <w:pPr>
              <w:jc w:val="right"/>
              <w:rPr>
                <w:b/>
                <w:color w:val="000000"/>
              </w:rPr>
            </w:pPr>
            <w:r w:rsidRPr="00DB4617">
              <w:rPr>
                <w:b/>
                <w:color w:val="000000"/>
              </w:rPr>
              <w:t>67136</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DB4617" w:rsidP="0070478F">
            <w:pPr>
              <w:rPr>
                <w:b/>
                <w:color w:val="000000"/>
              </w:rPr>
            </w:pPr>
            <w:r w:rsidRPr="00DB4617">
              <w:rPr>
                <w:b/>
                <w:color w:val="000000"/>
              </w:rPr>
              <w:t>Holiday, 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DB4617" w:rsidP="0070478F">
            <w:pPr>
              <w:rPr>
                <w:b/>
                <w:color w:val="000000"/>
              </w:rPr>
            </w:pPr>
            <w:r w:rsidRPr="00DB4617">
              <w:rPr>
                <w:b/>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252D29" w:rsidP="0070478F">
            <w:pPr>
              <w:rPr>
                <w:b/>
                <w:color w:val="000000"/>
              </w:rPr>
            </w:pPr>
            <w:r w:rsidRPr="00252D29">
              <w:rPr>
                <w:b/>
                <w:color w:val="000000"/>
              </w:rPr>
              <w:t>BALH-20190702ADS</w:t>
            </w:r>
          </w:p>
        </w:tc>
      </w:tr>
      <w:tr w:rsidTr="0070478F">
        <w:tblPrEx>
          <w:tblW w:w="9540" w:type="dxa"/>
          <w:tblInd w:w="18"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WSUN-FM3</w:t>
            </w:r>
          </w:p>
        </w:tc>
        <w:tc>
          <w:tcPr>
            <w:tcW w:w="126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198549</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S</w:t>
            </w:r>
            <w:r w:rsidRPr="006C6118">
              <w:rPr>
                <w:color w:val="000000"/>
              </w:rPr>
              <w:t xml:space="preserve">t. </w:t>
            </w:r>
            <w:r>
              <w:rPr>
                <w:color w:val="000000"/>
              </w:rPr>
              <w:t>P</w:t>
            </w:r>
            <w:r w:rsidRPr="006C6118">
              <w:rPr>
                <w:color w:val="000000"/>
              </w:rPr>
              <w:t>etersburg, 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BALFTB-20190702ADT</w:t>
            </w:r>
          </w:p>
        </w:tc>
      </w:tr>
      <w:tr w:rsidTr="0070478F">
        <w:tblPrEx>
          <w:tblW w:w="9540" w:type="dxa"/>
          <w:tblInd w:w="18"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WSUN-FM4</w:t>
            </w:r>
          </w:p>
        </w:tc>
        <w:tc>
          <w:tcPr>
            <w:tcW w:w="126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jc w:val="right"/>
              <w:rPr>
                <w:color w:val="000000"/>
              </w:rPr>
            </w:pPr>
            <w:r w:rsidRPr="006C6118">
              <w:rPr>
                <w:color w:val="000000"/>
              </w:rPr>
              <w:t>198705</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Pr>
                <w:color w:val="000000"/>
              </w:rPr>
              <w:t>P</w:t>
            </w:r>
            <w:r w:rsidRPr="006C6118">
              <w:rPr>
                <w:color w:val="000000"/>
              </w:rPr>
              <w:t xml:space="preserve">inellas </w:t>
            </w:r>
            <w:r>
              <w:rPr>
                <w:color w:val="000000"/>
              </w:rPr>
              <w:t>P</w:t>
            </w:r>
            <w:r w:rsidRPr="006C6118">
              <w:rPr>
                <w:color w:val="000000"/>
              </w:rPr>
              <w:t>ark, 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6C6118" w:rsidP="0070478F">
            <w:pPr>
              <w:rPr>
                <w:color w:val="000000"/>
              </w:rPr>
            </w:pPr>
            <w:r w:rsidRPr="006C6118">
              <w:rPr>
                <w:color w:val="000000"/>
              </w:rPr>
              <w:t>BALFTB-20190702ADU</w:t>
            </w:r>
          </w:p>
        </w:tc>
      </w:tr>
      <w:tr w:rsidTr="0070478F">
        <w:tblPrEx>
          <w:tblW w:w="9540" w:type="dxa"/>
          <w:tblInd w:w="18" w:type="dxa"/>
          <w:tblLook w:val="04A0"/>
        </w:tblPrEx>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D45C53" w:rsidRPr="00DB4617" w:rsidP="0070478F">
            <w:pPr>
              <w:rPr>
                <w:b/>
                <w:color w:val="000000"/>
              </w:rPr>
            </w:pPr>
            <w:r w:rsidRPr="00DB4617">
              <w:rPr>
                <w:b/>
                <w:color w:val="000000"/>
              </w:rPr>
              <w:t>WPYO(FM)</w:t>
            </w:r>
          </w:p>
        </w:tc>
        <w:tc>
          <w:tcPr>
            <w:tcW w:w="1260" w:type="dxa"/>
            <w:tcBorders>
              <w:top w:val="nil"/>
              <w:left w:val="nil"/>
              <w:bottom w:val="single" w:sz="4" w:space="0" w:color="auto"/>
              <w:right w:val="single" w:sz="4" w:space="0" w:color="auto"/>
            </w:tcBorders>
            <w:shd w:val="clear" w:color="auto" w:fill="auto"/>
            <w:noWrap/>
            <w:vAlign w:val="bottom"/>
            <w:hideMark/>
          </w:tcPr>
          <w:p w:rsidR="00D45C53" w:rsidRPr="00DB4617" w:rsidP="0070478F">
            <w:pPr>
              <w:jc w:val="right"/>
              <w:rPr>
                <w:b/>
                <w:color w:val="000000"/>
              </w:rPr>
            </w:pPr>
            <w:r w:rsidRPr="00DB4617">
              <w:rPr>
                <w:b/>
                <w:color w:val="000000"/>
              </w:rPr>
              <w:t>1186</w:t>
            </w:r>
          </w:p>
        </w:tc>
        <w:tc>
          <w:tcPr>
            <w:tcW w:w="2340" w:type="dxa"/>
            <w:tcBorders>
              <w:top w:val="nil"/>
              <w:left w:val="nil"/>
              <w:bottom w:val="single" w:sz="4" w:space="0" w:color="auto"/>
              <w:right w:val="single" w:sz="4" w:space="0" w:color="auto"/>
            </w:tcBorders>
            <w:shd w:val="clear" w:color="auto" w:fill="auto"/>
            <w:noWrap/>
            <w:vAlign w:val="bottom"/>
            <w:hideMark/>
          </w:tcPr>
          <w:p w:rsidR="00D45C53" w:rsidRPr="00DB4617" w:rsidP="0070478F">
            <w:pPr>
              <w:rPr>
                <w:b/>
                <w:color w:val="000000"/>
              </w:rPr>
            </w:pPr>
            <w:r w:rsidRPr="00DB4617">
              <w:rPr>
                <w:b/>
                <w:color w:val="000000"/>
              </w:rPr>
              <w:t>Maitland, FL</w:t>
            </w:r>
          </w:p>
        </w:tc>
        <w:tc>
          <w:tcPr>
            <w:tcW w:w="1800" w:type="dxa"/>
            <w:tcBorders>
              <w:top w:val="nil"/>
              <w:left w:val="nil"/>
              <w:bottom w:val="single" w:sz="4" w:space="0" w:color="auto"/>
              <w:right w:val="single" w:sz="4" w:space="0" w:color="auto"/>
            </w:tcBorders>
            <w:shd w:val="clear" w:color="auto" w:fill="auto"/>
            <w:noWrap/>
            <w:vAlign w:val="bottom"/>
            <w:hideMark/>
          </w:tcPr>
          <w:p w:rsidR="00D45C53" w:rsidRPr="00DB4617" w:rsidP="0070478F">
            <w:pPr>
              <w:rPr>
                <w:b/>
                <w:color w:val="000000"/>
              </w:rPr>
            </w:pPr>
            <w:r w:rsidRPr="00DB4617">
              <w:rPr>
                <w:b/>
                <w:color w:val="000000"/>
              </w:rPr>
              <w:t>Cox Radio, Inc.</w:t>
            </w:r>
          </w:p>
        </w:tc>
        <w:tc>
          <w:tcPr>
            <w:tcW w:w="2700" w:type="dxa"/>
            <w:tcBorders>
              <w:top w:val="nil"/>
              <w:left w:val="nil"/>
              <w:bottom w:val="single" w:sz="4" w:space="0" w:color="auto"/>
              <w:right w:val="single" w:sz="4" w:space="0" w:color="auto"/>
            </w:tcBorders>
            <w:shd w:val="clear" w:color="auto" w:fill="auto"/>
            <w:noWrap/>
            <w:vAlign w:val="bottom"/>
            <w:hideMark/>
          </w:tcPr>
          <w:p w:rsidR="00D45C53" w:rsidRPr="00252D29" w:rsidP="0070478F">
            <w:pPr>
              <w:rPr>
                <w:b/>
                <w:color w:val="000000"/>
              </w:rPr>
            </w:pPr>
            <w:r w:rsidRPr="00252D29">
              <w:rPr>
                <w:b/>
                <w:color w:val="000000"/>
              </w:rPr>
              <w:t>BALH-20190702ADV</w:t>
            </w:r>
          </w:p>
        </w:tc>
      </w:tr>
    </w:tbl>
    <w:p w:rsidR="00D45C53" w:rsidP="00D45C53"/>
    <w:p w:rsidR="00155FA3" w:rsidRPr="00E96B14" w:rsidP="00D45C53">
      <w:pPr>
        <w:spacing w:before="120" w:after="240"/>
        <w:jc w:val="center"/>
        <w:rPr>
          <w:b/>
          <w:szCs w:val="22"/>
        </w:rPr>
      </w:pPr>
    </w:p>
    <w:p w:rsidR="00822549" w:rsidRPr="00E96B14" w:rsidP="00822549">
      <w:pPr>
        <w:spacing w:after="240"/>
        <w:jc w:val="center"/>
        <w:rPr>
          <w:szCs w:val="22"/>
        </w:rPr>
      </w:pP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375" w:rsidP="0055614C">
    <w:pPr>
      <w:pStyle w:val="Footer"/>
      <w:framePr w:wrap="around" w:vAnchor="text" w:hAnchor="margin" w:xAlign="center" w:y="1"/>
    </w:pPr>
    <w:r>
      <w:fldChar w:fldCharType="begin"/>
    </w:r>
    <w:r>
      <w:instrText xml:space="preserve">PAGE  </w:instrText>
    </w:r>
    <w:r>
      <w:fldChar w:fldCharType="separate"/>
    </w:r>
    <w:r>
      <w:fldChar w:fldCharType="end"/>
    </w:r>
  </w:p>
  <w:p w:rsidR="00207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375"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37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7375">
      <w:r>
        <w:separator/>
      </w:r>
    </w:p>
  </w:footnote>
  <w:footnote w:type="continuationSeparator" w:id="1">
    <w:p w:rsidR="00207375">
      <w:pPr>
        <w:rPr>
          <w:sz w:val="20"/>
        </w:rPr>
      </w:pPr>
      <w:r>
        <w:rPr>
          <w:sz w:val="20"/>
        </w:rPr>
        <w:t xml:space="preserve">(Continued from previous page)  </w:t>
      </w:r>
      <w:r>
        <w:rPr>
          <w:sz w:val="20"/>
        </w:rPr>
        <w:separator/>
      </w:r>
    </w:p>
  </w:footnote>
  <w:footnote w:type="continuationNotice" w:id="2">
    <w:p w:rsidR="00207375" w:rsidP="00910F12">
      <w:pPr>
        <w:jc w:val="right"/>
        <w:rPr>
          <w:sz w:val="20"/>
        </w:rPr>
      </w:pPr>
      <w:r>
        <w:rPr>
          <w:sz w:val="20"/>
        </w:rPr>
        <w:t>(continued….)</w:t>
      </w:r>
    </w:p>
  </w:footnote>
  <w:footnote w:id="3">
    <w:p w:rsidR="001B427F">
      <w:pPr>
        <w:pStyle w:val="FootnoteText"/>
      </w:pPr>
      <w:r>
        <w:rPr>
          <w:rStyle w:val="FootnoteReference"/>
        </w:rPr>
        <w:footnoteRef/>
      </w:r>
      <w:r>
        <w:t xml:space="preserve"> </w:t>
      </w:r>
      <w:r w:rsidRPr="00C27BC2" w:rsidR="00B54A22">
        <w:t xml:space="preserve">A list of the </w:t>
      </w:r>
      <w:r w:rsidR="00B54A22">
        <w:t>A</w:t>
      </w:r>
      <w:r w:rsidRPr="00C27BC2" w:rsidR="00B54A22">
        <w:t>pplications</w:t>
      </w:r>
      <w:r w:rsidR="00B54A22">
        <w:t xml:space="preserve"> </w:t>
      </w:r>
      <w:r w:rsidRPr="00C27BC2" w:rsidR="00B54A22">
        <w:t xml:space="preserve">can be found in the Attachment to this Public Notice.  Copies of the </w:t>
      </w:r>
      <w:r w:rsidR="00B54A22">
        <w:t>A</w:t>
      </w:r>
      <w:r w:rsidRPr="00C27BC2" w:rsidR="00B54A22">
        <w:t>pplications are available in the Commission’s Consolidated Database System (CDBS).</w:t>
      </w:r>
      <w:r w:rsidR="00B54A22">
        <w:t xml:space="preserve">  </w:t>
      </w:r>
      <w:r>
        <w:t xml:space="preserve">Pursuant to the proposed transaction, Terrier also is acquiring Cox’s national advertising representation business and Cox’s Washington, DC news bureau operation.  </w:t>
      </w:r>
    </w:p>
    <w:p w:rsidR="002740DC" w:rsidRPr="00E66B63" w:rsidP="00E66B63">
      <w:pPr>
        <w:widowControl/>
        <w:autoSpaceDE w:val="0"/>
        <w:autoSpaceDN w:val="0"/>
        <w:adjustRightInd w:val="0"/>
        <w:spacing w:after="120"/>
        <w:rPr>
          <w:sz w:val="20"/>
        </w:rPr>
      </w:pPr>
      <w:r w:rsidRPr="00E66B63">
        <w:rPr>
          <w:snapToGrid/>
          <w:kern w:val="0"/>
          <w:sz w:val="20"/>
        </w:rPr>
        <w:t>By a separate and independent transaction, Terrier Media, Cox Parent, and affiliates previously</w:t>
      </w:r>
      <w:r w:rsidRPr="00E66B63" w:rsidR="00E66B63">
        <w:rPr>
          <w:snapToGrid/>
          <w:kern w:val="0"/>
          <w:sz w:val="20"/>
        </w:rPr>
        <w:t xml:space="preserve"> </w:t>
      </w:r>
      <w:r w:rsidRPr="00E66B63">
        <w:rPr>
          <w:snapToGrid/>
          <w:kern w:val="0"/>
          <w:sz w:val="20"/>
        </w:rPr>
        <w:t>entered into a purchase agreement dated as of February 14, 2019, pursuant to which Cox Parent</w:t>
      </w:r>
      <w:r w:rsidRPr="00E66B63" w:rsidR="00E66B63">
        <w:rPr>
          <w:snapToGrid/>
          <w:kern w:val="0"/>
          <w:sz w:val="20"/>
        </w:rPr>
        <w:t xml:space="preserve"> </w:t>
      </w:r>
      <w:r w:rsidRPr="00E66B63">
        <w:rPr>
          <w:snapToGrid/>
          <w:kern w:val="0"/>
          <w:sz w:val="20"/>
        </w:rPr>
        <w:t>and certain of its affiliates agreed to sell their television station portfolio comprised of 13</w:t>
      </w:r>
      <w:r w:rsidRPr="00E66B63" w:rsidR="00E66B63">
        <w:rPr>
          <w:snapToGrid/>
          <w:kern w:val="0"/>
          <w:sz w:val="20"/>
        </w:rPr>
        <w:t xml:space="preserve"> </w:t>
      </w:r>
      <w:r w:rsidRPr="00E66B63">
        <w:rPr>
          <w:snapToGrid/>
          <w:kern w:val="0"/>
          <w:sz w:val="20"/>
        </w:rPr>
        <w:t>broadcast television stations, as well as certain radio stations and newspapers in Dayton, Ohio, to</w:t>
      </w:r>
      <w:r w:rsidRPr="00E66B63" w:rsidR="00E66B63">
        <w:rPr>
          <w:snapToGrid/>
          <w:kern w:val="0"/>
          <w:sz w:val="20"/>
        </w:rPr>
        <w:t xml:space="preserve"> </w:t>
      </w:r>
      <w:r w:rsidRPr="00E66B63">
        <w:rPr>
          <w:snapToGrid/>
          <w:kern w:val="0"/>
          <w:sz w:val="20"/>
        </w:rPr>
        <w:t>Terrier Media (the Cox TV Transaction). In another transaction (the Northwest</w:t>
      </w:r>
      <w:r w:rsidRPr="00E66B63" w:rsidR="00E66B63">
        <w:rPr>
          <w:snapToGrid/>
          <w:kern w:val="0"/>
          <w:sz w:val="20"/>
        </w:rPr>
        <w:t xml:space="preserve"> </w:t>
      </w:r>
      <w:r w:rsidRPr="00E66B63">
        <w:rPr>
          <w:snapToGrid/>
          <w:kern w:val="0"/>
          <w:sz w:val="20"/>
        </w:rPr>
        <w:t>Transaction), Terrier Media has agreed to acquire 100% of the interests of Northwest</w:t>
      </w:r>
      <w:r w:rsidRPr="00E66B63" w:rsidR="00E66B63">
        <w:rPr>
          <w:snapToGrid/>
          <w:kern w:val="0"/>
          <w:sz w:val="20"/>
        </w:rPr>
        <w:t xml:space="preserve"> </w:t>
      </w:r>
      <w:r w:rsidRPr="00E66B63">
        <w:rPr>
          <w:snapToGrid/>
          <w:kern w:val="0"/>
          <w:sz w:val="20"/>
        </w:rPr>
        <w:t>Broadcasting, L.P. (NW Broadcasting) pursuant to a stock purchase agreement</w:t>
      </w:r>
      <w:r w:rsidR="00C40C06">
        <w:rPr>
          <w:snapToGrid/>
          <w:kern w:val="0"/>
          <w:sz w:val="20"/>
        </w:rPr>
        <w:t>.</w:t>
      </w:r>
      <w:r w:rsidRPr="00E66B63">
        <w:rPr>
          <w:sz w:val="20"/>
        </w:rPr>
        <w:t xml:space="preserve"> </w:t>
      </w:r>
      <w:r w:rsidR="00C40C06">
        <w:rPr>
          <w:sz w:val="20"/>
        </w:rPr>
        <w:t xml:space="preserve"> </w:t>
      </w:r>
      <w:r w:rsidRPr="00E66B63">
        <w:rPr>
          <w:i/>
          <w:sz w:val="20"/>
        </w:rPr>
        <w:t xml:space="preserve">See </w:t>
      </w:r>
      <w:r w:rsidRPr="00E66B63" w:rsidR="00E66B63">
        <w:rPr>
          <w:i/>
          <w:sz w:val="20"/>
        </w:rPr>
        <w:t>Media Bureau Establishes Pleading Cycle for Applications to Transfer Control of NBI Holding</w:t>
      </w:r>
      <w:r w:rsidR="00C65E73">
        <w:rPr>
          <w:i/>
          <w:sz w:val="20"/>
        </w:rPr>
        <w:t>s</w:t>
      </w:r>
      <w:r w:rsidRPr="00E66B63" w:rsidR="00E66B63">
        <w:rPr>
          <w:i/>
          <w:sz w:val="20"/>
        </w:rPr>
        <w:t xml:space="preserve">, LLC and Cox Enterprises, Inc. to Terrier Media Buyer, Inc., and Permit-but-Disclose </w:t>
      </w:r>
      <w:r w:rsidR="00C65E73">
        <w:rPr>
          <w:i/>
          <w:sz w:val="20"/>
        </w:rPr>
        <w:t>E</w:t>
      </w:r>
      <w:r w:rsidRPr="00E66B63" w:rsidR="00E66B63">
        <w:rPr>
          <w:i/>
          <w:sz w:val="20"/>
        </w:rPr>
        <w:t>x</w:t>
      </w:r>
      <w:r w:rsidR="00C65E73">
        <w:rPr>
          <w:i/>
          <w:sz w:val="20"/>
        </w:rPr>
        <w:t xml:space="preserve"> P</w:t>
      </w:r>
      <w:r w:rsidRPr="00E66B63" w:rsidR="00E66B63">
        <w:rPr>
          <w:i/>
          <w:sz w:val="20"/>
        </w:rPr>
        <w:t xml:space="preserve">arte Status for the Proceeding, </w:t>
      </w:r>
      <w:r w:rsidR="007F2B6E">
        <w:rPr>
          <w:sz w:val="20"/>
        </w:rPr>
        <w:t xml:space="preserve">MB Docket No. 19-98, </w:t>
      </w:r>
      <w:r w:rsidRPr="00E66B63" w:rsidR="00E66B63">
        <w:rPr>
          <w:sz w:val="20"/>
        </w:rPr>
        <w:t>Public Notice, DA 19-275 (MB Apr. 10, 2019).</w:t>
      </w:r>
    </w:p>
  </w:footnote>
  <w:footnote w:id="4">
    <w:p w:rsidR="00E66B63">
      <w:pPr>
        <w:pStyle w:val="FootnoteText"/>
      </w:pPr>
      <w:r>
        <w:rPr>
          <w:rStyle w:val="FootnoteReference"/>
        </w:rPr>
        <w:footnoteRef/>
      </w:r>
      <w:r>
        <w:t xml:space="preserve"> 47 CFR § 73.3555(a).</w:t>
      </w:r>
    </w:p>
  </w:footnote>
  <w:footnote w:id="5">
    <w:p w:rsidR="007B50B7">
      <w:pPr>
        <w:pStyle w:val="FootnoteText"/>
      </w:pPr>
      <w:r>
        <w:rPr>
          <w:rStyle w:val="FootnoteReference"/>
        </w:rPr>
        <w:footnoteRef/>
      </w:r>
      <w:r>
        <w:t xml:space="preserve"> File Nos. BALH-20190702ADS and BALH-2019002ADV, respectively (the Assignment Applications).</w:t>
      </w:r>
      <w:r w:rsidR="00DF7D6B">
        <w:t xml:space="preserve">  Elliott B. Evers is the Trustee and sole member of CXR Radio, LLC.</w:t>
      </w:r>
    </w:p>
  </w:footnote>
  <w:footnote w:id="6">
    <w:p w:rsidR="00765842">
      <w:pPr>
        <w:pStyle w:val="FootnoteText"/>
      </w:pPr>
      <w:r>
        <w:rPr>
          <w:rStyle w:val="FootnoteReference"/>
        </w:rPr>
        <w:footnoteRef/>
      </w:r>
      <w:r>
        <w:t xml:space="preserve"> Transfer Application, Comprehensive Exhibit at 2</w:t>
      </w:r>
      <w:r w:rsidR="00AE749F">
        <w:t>, 13</w:t>
      </w:r>
      <w:r w:rsidR="00A23C67">
        <w:t>, a</w:t>
      </w:r>
      <w:r w:rsidR="00770633">
        <w:t>nd “Ownership Structure for Terrier Media Buyer, Inc.”</w:t>
      </w:r>
      <w:r>
        <w:t>.</w:t>
      </w:r>
    </w:p>
  </w:footnote>
  <w:footnote w:id="7">
    <w:p w:rsidR="00765842" w:rsidRPr="00765842" w:rsidP="00765842">
      <w:pPr>
        <w:widowControl/>
        <w:autoSpaceDE w:val="0"/>
        <w:autoSpaceDN w:val="0"/>
        <w:adjustRightInd w:val="0"/>
        <w:rPr>
          <w:snapToGrid/>
          <w:kern w:val="0"/>
          <w:sz w:val="20"/>
        </w:rPr>
      </w:pPr>
      <w:r>
        <w:rPr>
          <w:rStyle w:val="FootnoteReference"/>
        </w:rPr>
        <w:footnoteRef/>
      </w:r>
      <w:r>
        <w:t xml:space="preserve"> </w:t>
      </w:r>
      <w:r w:rsidRPr="00765842">
        <w:rPr>
          <w:sz w:val="20"/>
        </w:rPr>
        <w:t xml:space="preserve">47 CFR § 73.3555, Notes 2(f)(1) and (2).  The parties state that </w:t>
      </w:r>
      <w:r w:rsidR="003D10F3">
        <w:rPr>
          <w:snapToGrid/>
          <w:kern w:val="0"/>
          <w:sz w:val="20"/>
        </w:rPr>
        <w:t>t</w:t>
      </w:r>
      <w:r w:rsidRPr="00765842">
        <w:rPr>
          <w:snapToGrid/>
          <w:kern w:val="0"/>
          <w:sz w:val="20"/>
        </w:rPr>
        <w:t>he insulated limited partners of PMC Equity will consist overwhelmingly of entities</w:t>
      </w:r>
      <w:r>
        <w:rPr>
          <w:snapToGrid/>
          <w:kern w:val="0"/>
          <w:sz w:val="20"/>
        </w:rPr>
        <w:t xml:space="preserve"> </w:t>
      </w:r>
      <w:r w:rsidRPr="00765842">
        <w:rPr>
          <w:snapToGrid/>
          <w:kern w:val="0"/>
          <w:sz w:val="20"/>
        </w:rPr>
        <w:t>controlled and owned, directly or indirectly, by citizens of the United States, including private</w:t>
      </w:r>
      <w:r>
        <w:rPr>
          <w:snapToGrid/>
          <w:kern w:val="0"/>
          <w:sz w:val="20"/>
        </w:rPr>
        <w:t xml:space="preserve"> </w:t>
      </w:r>
      <w:r w:rsidRPr="00765842">
        <w:rPr>
          <w:snapToGrid/>
          <w:kern w:val="0"/>
          <w:sz w:val="20"/>
        </w:rPr>
        <w:t>pension funds, insurance companies, endowments, charitable foundations, private companies and</w:t>
      </w:r>
    </w:p>
    <w:p w:rsidR="00765842" w:rsidP="00966396">
      <w:pPr>
        <w:widowControl/>
        <w:autoSpaceDE w:val="0"/>
        <w:autoSpaceDN w:val="0"/>
        <w:adjustRightInd w:val="0"/>
        <w:spacing w:after="120"/>
      </w:pPr>
      <w:r w:rsidRPr="00765842">
        <w:rPr>
          <w:snapToGrid/>
          <w:kern w:val="0"/>
          <w:sz w:val="20"/>
        </w:rPr>
        <w:t xml:space="preserve">high net worth individuals. </w:t>
      </w:r>
      <w:r w:rsidR="001B73B5">
        <w:rPr>
          <w:snapToGrid/>
          <w:kern w:val="0"/>
          <w:sz w:val="20"/>
        </w:rPr>
        <w:t xml:space="preserve"> </w:t>
      </w:r>
      <w:r w:rsidRPr="00765842">
        <w:rPr>
          <w:snapToGrid/>
          <w:kern w:val="0"/>
          <w:sz w:val="20"/>
        </w:rPr>
        <w:t>PMC Equity is anticipated to have 64 limited partner investors, with</w:t>
      </w:r>
      <w:r>
        <w:rPr>
          <w:snapToGrid/>
          <w:kern w:val="0"/>
          <w:sz w:val="20"/>
        </w:rPr>
        <w:t xml:space="preserve"> </w:t>
      </w:r>
      <w:r w:rsidRPr="00765842">
        <w:rPr>
          <w:snapToGrid/>
          <w:kern w:val="0"/>
          <w:sz w:val="20"/>
        </w:rPr>
        <w:t>the largest investor holding slightly less than 10</w:t>
      </w:r>
      <w:r w:rsidR="001B73B5">
        <w:rPr>
          <w:snapToGrid/>
          <w:kern w:val="0"/>
          <w:sz w:val="20"/>
        </w:rPr>
        <w:t>%</w:t>
      </w:r>
      <w:r w:rsidRPr="00765842">
        <w:rPr>
          <w:snapToGrid/>
          <w:kern w:val="0"/>
          <w:sz w:val="20"/>
        </w:rPr>
        <w:t xml:space="preserve"> and with only four other investors</w:t>
      </w:r>
      <w:r>
        <w:rPr>
          <w:snapToGrid/>
          <w:kern w:val="0"/>
          <w:sz w:val="20"/>
        </w:rPr>
        <w:t xml:space="preserve"> </w:t>
      </w:r>
      <w:r w:rsidRPr="00765842">
        <w:rPr>
          <w:snapToGrid/>
          <w:kern w:val="0"/>
          <w:sz w:val="20"/>
        </w:rPr>
        <w:t xml:space="preserve">holding more than </w:t>
      </w:r>
      <w:r w:rsidR="001B73B5">
        <w:rPr>
          <w:snapToGrid/>
          <w:kern w:val="0"/>
          <w:sz w:val="20"/>
        </w:rPr>
        <w:t>5%</w:t>
      </w:r>
      <w:r w:rsidRPr="00765842">
        <w:rPr>
          <w:snapToGrid/>
          <w:kern w:val="0"/>
          <w:sz w:val="20"/>
        </w:rPr>
        <w:t xml:space="preserve"> of the ownership of PMC Equity, each of whom is a large public</w:t>
      </w:r>
      <w:r>
        <w:rPr>
          <w:snapToGrid/>
          <w:kern w:val="0"/>
          <w:sz w:val="20"/>
        </w:rPr>
        <w:t xml:space="preserve"> </w:t>
      </w:r>
      <w:r w:rsidRPr="00765842">
        <w:rPr>
          <w:snapToGrid/>
          <w:kern w:val="0"/>
          <w:sz w:val="20"/>
        </w:rPr>
        <w:t xml:space="preserve">pension fund. </w:t>
      </w:r>
      <w:r w:rsidR="001B73B5">
        <w:rPr>
          <w:snapToGrid/>
          <w:kern w:val="0"/>
          <w:sz w:val="20"/>
        </w:rPr>
        <w:t xml:space="preserve"> </w:t>
      </w:r>
      <w:r w:rsidRPr="00765842">
        <w:rPr>
          <w:snapToGrid/>
          <w:kern w:val="0"/>
          <w:sz w:val="20"/>
        </w:rPr>
        <w:t xml:space="preserve">Over </w:t>
      </w:r>
      <w:r w:rsidR="001B73B5">
        <w:rPr>
          <w:snapToGrid/>
          <w:kern w:val="0"/>
          <w:sz w:val="20"/>
        </w:rPr>
        <w:t>90%</w:t>
      </w:r>
      <w:r w:rsidRPr="00765842">
        <w:rPr>
          <w:snapToGrid/>
          <w:kern w:val="0"/>
          <w:sz w:val="20"/>
        </w:rPr>
        <w:t xml:space="preserve"> of the limited partners of PMC Equity will be entities</w:t>
      </w:r>
      <w:r>
        <w:rPr>
          <w:snapToGrid/>
          <w:kern w:val="0"/>
          <w:sz w:val="20"/>
        </w:rPr>
        <w:t xml:space="preserve"> </w:t>
      </w:r>
      <w:r w:rsidRPr="00765842">
        <w:rPr>
          <w:snapToGrid/>
          <w:kern w:val="0"/>
          <w:sz w:val="20"/>
        </w:rPr>
        <w:t>organized under United States law.</w:t>
      </w:r>
      <w:r w:rsidR="003D10F3">
        <w:rPr>
          <w:snapToGrid/>
          <w:kern w:val="0"/>
          <w:sz w:val="20"/>
        </w:rPr>
        <w:t xml:space="preserve"> </w:t>
      </w:r>
      <w:r>
        <w:rPr>
          <w:snapToGrid/>
          <w:kern w:val="0"/>
          <w:sz w:val="20"/>
        </w:rPr>
        <w:t xml:space="preserve"> Comprehensive Exhibit at 3.</w:t>
      </w:r>
    </w:p>
  </w:footnote>
  <w:footnote w:id="8">
    <w:p w:rsidR="002D00A0" w:rsidP="002D00A0">
      <w:pPr>
        <w:pStyle w:val="FootnoteText"/>
      </w:pPr>
      <w:r>
        <w:rPr>
          <w:rStyle w:val="FootnoteReference"/>
        </w:rPr>
        <w:footnoteRef/>
      </w:r>
      <w:r>
        <w:t xml:space="preserve"> </w:t>
      </w:r>
      <w:r>
        <w:rPr>
          <w:i/>
        </w:rPr>
        <w:t>Id.</w:t>
      </w:r>
      <w:r>
        <w:t xml:space="preserve"> </w:t>
      </w:r>
      <w:r w:rsidRPr="00F544AF">
        <w:t xml:space="preserve">at </w:t>
      </w:r>
      <w:r>
        <w:t>4 and Attachment 3 (Local Radio Market Studies)</w:t>
      </w:r>
      <w:r w:rsidRPr="00F544AF">
        <w:t xml:space="preserve">.  </w:t>
      </w:r>
    </w:p>
  </w:footnote>
  <w:footnote w:id="9">
    <w:p w:rsidR="00DF7D6B" w:rsidP="00DF7D6B">
      <w:pPr>
        <w:pStyle w:val="FootnoteText"/>
      </w:pPr>
      <w:r>
        <w:rPr>
          <w:rStyle w:val="FootnoteReference"/>
        </w:rPr>
        <w:footnoteRef/>
      </w:r>
      <w:r>
        <w:t xml:space="preserve"> </w:t>
      </w:r>
      <w:hyperlink r:id="rId1" w:anchor="co_pp_6ad60000aeea7" w:history="1">
        <w:r w:rsidRPr="00EF797D">
          <w:t>47 U.S.C. § 310(b)(4)</w:t>
        </w:r>
      </w:hyperlink>
      <w:r>
        <w:t>.</w:t>
      </w:r>
    </w:p>
  </w:footnote>
  <w:footnote w:id="10">
    <w:p w:rsidR="00DF7D6B" w:rsidP="00DF7D6B">
      <w:pPr>
        <w:pStyle w:val="FootnoteText"/>
      </w:pPr>
      <w:r>
        <w:rPr>
          <w:rStyle w:val="FootnoteReference"/>
        </w:rPr>
        <w:footnoteRef/>
      </w:r>
      <w:r>
        <w:t xml:space="preserve"> Comprehensive Exhibit at 2.  </w:t>
      </w:r>
    </w:p>
  </w:footnote>
  <w:footnote w:id="11">
    <w:p w:rsidR="00DF7D6B" w:rsidRPr="009B5ADF" w:rsidP="00DF7D6B">
      <w:pPr>
        <w:pStyle w:val="FootnoteText"/>
      </w:pPr>
      <w:r>
        <w:rPr>
          <w:rStyle w:val="FootnoteReference"/>
        </w:rPr>
        <w:footnoteRef/>
      </w:r>
      <w:r>
        <w:t xml:space="preserve"> </w:t>
      </w:r>
      <w:r>
        <w:rPr>
          <w:i/>
        </w:rPr>
        <w:t>Id.</w:t>
      </w:r>
      <w:r>
        <w:t xml:space="preserve"> at 3</w:t>
      </w:r>
    </w:p>
  </w:footnote>
  <w:footnote w:id="12">
    <w:p w:rsidR="00824B40" w:rsidRPr="00824B40">
      <w:pPr>
        <w:pStyle w:val="FootnoteText"/>
      </w:pPr>
      <w:r>
        <w:rPr>
          <w:rStyle w:val="FootnoteReference"/>
        </w:rPr>
        <w:footnoteRef/>
      </w:r>
      <w:r>
        <w:t xml:space="preserve"> </w:t>
      </w:r>
      <w:r>
        <w:rPr>
          <w:i/>
        </w:rPr>
        <w:t xml:space="preserve">Id. </w:t>
      </w:r>
      <w:r>
        <w:t>at 7-8.</w:t>
      </w:r>
    </w:p>
  </w:footnote>
  <w:footnote w:id="13">
    <w:p w:rsidR="00961892" w:rsidP="00961892">
      <w:pPr>
        <w:pStyle w:val="FootnoteText"/>
      </w:pPr>
      <w:r>
        <w:rPr>
          <w:rStyle w:val="FootnoteReference"/>
        </w:rPr>
        <w:footnoteRef/>
      </w:r>
      <w:r>
        <w:t xml:space="preserve"> Comprehensive Exhibit at 8.</w:t>
      </w:r>
    </w:p>
  </w:footnote>
  <w:footnote w:id="14">
    <w:p w:rsidR="006C7D8B" w:rsidP="006C7D8B">
      <w:pPr>
        <w:pStyle w:val="FootnoteText"/>
      </w:pPr>
      <w:r>
        <w:rPr>
          <w:rStyle w:val="FootnoteReference"/>
        </w:rPr>
        <w:footnoteRef/>
      </w:r>
      <w:r>
        <w:t xml:space="preserve"> </w:t>
      </w:r>
      <w:r w:rsidRPr="00DD794D">
        <w:rPr>
          <w:i/>
        </w:rPr>
        <w:t>Id</w:t>
      </w:r>
      <w:r>
        <w:t>. at 4.</w:t>
      </w:r>
    </w:p>
  </w:footnote>
  <w:footnote w:id="15">
    <w:p w:rsidR="007F2B6E" w:rsidP="00E955F7">
      <w:pPr>
        <w:spacing w:after="120"/>
      </w:pPr>
      <w:r>
        <w:rPr>
          <w:rStyle w:val="FootnoteReference"/>
        </w:rPr>
        <w:footnoteRef/>
      </w:r>
      <w:r>
        <w:t xml:space="preserve"> </w:t>
      </w:r>
      <w:r w:rsidR="00075849">
        <w:rPr>
          <w:i/>
          <w:iCs/>
          <w:sz w:val="20"/>
        </w:rPr>
        <w:t xml:space="preserve">Media Bureau Announces Filing of Petition for Declaratory Ruling by Terrier Media Buyer, Inc., and Permit-But-Disclose Ex </w:t>
      </w:r>
      <w:r w:rsidR="00075849">
        <w:rPr>
          <w:i/>
          <w:iCs/>
          <w:sz w:val="20"/>
        </w:rPr>
        <w:t>Parte</w:t>
      </w:r>
      <w:r w:rsidR="00075849">
        <w:rPr>
          <w:i/>
          <w:iCs/>
          <w:sz w:val="20"/>
        </w:rPr>
        <w:t xml:space="preserve"> Status for the Proceeding</w:t>
      </w:r>
      <w:r w:rsidR="00075849">
        <w:rPr>
          <w:sz w:val="20"/>
        </w:rPr>
        <w:t>, MB Docket 19-196, Public Notice, DA No. 19-642 (Med. Bur. rel. July 11, 2019).</w:t>
      </w:r>
    </w:p>
  </w:footnote>
  <w:footnote w:id="16">
    <w:p w:rsidR="00207375" w:rsidRPr="00AA28DD" w:rsidP="00822549">
      <w:pPr>
        <w:pStyle w:val="FootnoteText"/>
      </w:pPr>
      <w:r w:rsidRPr="00212328">
        <w:rPr>
          <w:rStyle w:val="FootnoteReference"/>
        </w:rPr>
        <w:footnoteRef/>
      </w:r>
      <w:r w:rsidRPr="00212328">
        <w:t xml:space="preserve"> </w:t>
      </w:r>
      <w:r>
        <w:t>47 CFR</w:t>
      </w:r>
      <w:r w:rsidRPr="00AA28DD">
        <w:t xml:space="preserve"> § 1.1200(a).</w:t>
      </w:r>
    </w:p>
  </w:footnote>
  <w:footnote w:id="17">
    <w:p w:rsidR="00207375" w:rsidRPr="00F47103" w:rsidP="00822549">
      <w:pPr>
        <w:pStyle w:val="FootnoteText"/>
      </w:pPr>
      <w:r w:rsidRPr="00212328">
        <w:rPr>
          <w:rStyle w:val="FootnoteReference"/>
        </w:rPr>
        <w:footnoteRef/>
      </w:r>
      <w:r w:rsidRPr="00212328">
        <w:t xml:space="preserve"> </w:t>
      </w:r>
      <w:r w:rsidRPr="00212328">
        <w:rPr>
          <w:i/>
        </w:rPr>
        <w:t>See</w:t>
      </w:r>
      <w:r w:rsidRPr="00AA28DD">
        <w:t xml:space="preserve"> </w:t>
      </w:r>
      <w:r w:rsidRPr="00AA28DD">
        <w:rPr>
          <w:i/>
        </w:rPr>
        <w:t>id</w:t>
      </w:r>
      <w:r w:rsidRPr="00AA28DD">
        <w:t>. § 1.1206</w:t>
      </w:r>
      <w:r w:rsidRPr="00F47103">
        <w:t>.</w:t>
      </w:r>
    </w:p>
  </w:footnote>
  <w:footnote w:id="18">
    <w:p w:rsidR="00207375" w:rsidRPr="007D112F" w:rsidP="00822549">
      <w:pPr>
        <w:pStyle w:val="FootnoteText"/>
        <w:rPr>
          <w:i/>
          <w:iCs/>
        </w:rPr>
      </w:pPr>
      <w:r w:rsidRPr="007D112F">
        <w:rPr>
          <w:rStyle w:val="FootnoteReference"/>
        </w:rPr>
        <w:footnoteRef/>
      </w:r>
      <w:r w:rsidRPr="007D112F">
        <w:t xml:space="preserve"> 47 CFR § 1.1200 </w:t>
      </w:r>
      <w:r w:rsidRPr="007D112F">
        <w:rPr>
          <w:i/>
          <w:iCs/>
        </w:rPr>
        <w:t>et seq.</w:t>
      </w:r>
    </w:p>
  </w:footnote>
  <w:footnote w:id="19">
    <w:p w:rsidR="00207375">
      <w:pPr>
        <w:pStyle w:val="FootnoteText"/>
      </w:pPr>
      <w:r>
        <w:rPr>
          <w:rStyle w:val="FootnoteReference"/>
        </w:rPr>
        <w:footnoteRef/>
      </w:r>
      <w:r>
        <w:t xml:space="preserve"> </w:t>
      </w:r>
      <w:r w:rsidRPr="00EC3F81">
        <w:rPr>
          <w:szCs w:val="22"/>
        </w:rPr>
        <w:t>47 CFR § 1.1206(b)</w:t>
      </w:r>
    </w:p>
  </w:footnote>
  <w:footnote w:id="20">
    <w:p w:rsidR="00207375" w:rsidRPr="00F47103" w:rsidP="00822549">
      <w:pPr>
        <w:pStyle w:val="FootnoteText"/>
      </w:pPr>
      <w:r w:rsidRPr="00F47103">
        <w:rPr>
          <w:rStyle w:val="FootnoteReference"/>
        </w:rPr>
        <w:footnoteRef/>
      </w:r>
      <w:r w:rsidRPr="00F47103">
        <w:t xml:space="preserve"> </w:t>
      </w:r>
      <w:r w:rsidRPr="00F47103">
        <w:rPr>
          <w:i/>
        </w:rPr>
        <w:t>Id</w:t>
      </w:r>
      <w:r w:rsidRPr="00F47103">
        <w:t>.</w:t>
      </w:r>
    </w:p>
  </w:footnote>
  <w:footnote w:id="21">
    <w:p w:rsidR="00207375" w:rsidRPr="00F47103" w:rsidP="00822549">
      <w:pPr>
        <w:pStyle w:val="FootnoteText"/>
      </w:pPr>
      <w:r w:rsidRPr="00F47103">
        <w:rPr>
          <w:rStyle w:val="FootnoteReference"/>
        </w:rPr>
        <w:footnoteRef/>
      </w:r>
      <w:r w:rsidRPr="00F47103">
        <w:t xml:space="preserve"> </w:t>
      </w:r>
      <w:r w:rsidRPr="00F47103">
        <w:rPr>
          <w:i/>
        </w:rPr>
        <w:t>Id.</w:t>
      </w:r>
      <w:r w:rsidRPr="00F47103">
        <w:t xml:space="preserve"> § 1.45(c).</w:t>
      </w:r>
    </w:p>
  </w:footnote>
  <w:footnote w:id="22">
    <w:p w:rsidR="00207375" w:rsidRPr="00F47103" w:rsidP="00822549">
      <w:pPr>
        <w:pStyle w:val="FootnoteText"/>
      </w:pPr>
      <w:r w:rsidRPr="00F47103">
        <w:rPr>
          <w:rStyle w:val="FootnoteReference"/>
        </w:rPr>
        <w:footnoteRef/>
      </w:r>
      <w:r w:rsidRPr="00F47103">
        <w:t xml:space="preserve"> </w:t>
      </w:r>
      <w:r w:rsidRPr="00F47103">
        <w:rPr>
          <w:i/>
        </w:rPr>
        <w:t>See id</w:t>
      </w:r>
      <w:r w:rsidRPr="00F47103">
        <w:t>. §§ 1.46(a) and 73.3584(e).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375" w:rsidRPr="009838BC" w:rsidP="009838BC">
    <w:pPr>
      <w:tabs>
        <w:tab w:val="center" w:pos="4680"/>
        <w:tab w:val="right" w:pos="9360"/>
      </w:tabs>
    </w:pPr>
    <w:r w:rsidRPr="009838BC">
      <w:rPr>
        <w:b/>
      </w:rPr>
      <w:tab/>
      <w:t>Federal Communications Commission</w:t>
    </w:r>
    <w:r w:rsidRPr="009838BC">
      <w:rPr>
        <w:b/>
      </w:rPr>
      <w:tab/>
    </w:r>
    <w:r>
      <w:rPr>
        <w:b/>
      </w:rPr>
      <w:t>DA 19-</w:t>
    </w:r>
    <w:r w:rsidR="001F6106">
      <w:rPr>
        <w:b/>
      </w:rPr>
      <w:t>643</w:t>
    </w:r>
  </w:p>
  <w:p w:rsidR="00207375"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207375"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7375"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207375" w:rsidP="009838BC">
                          <w:pPr>
                            <w:rPr>
                              <w:rFonts w:ascii="Arial" w:hAnsi="Arial"/>
                              <w:b/>
                            </w:rPr>
                          </w:pPr>
                          <w:r>
                            <w:rPr>
                              <w:rFonts w:ascii="Arial" w:hAnsi="Arial"/>
                              <w:b/>
                            </w:rPr>
                            <w:t>Federal Communications Commission</w:t>
                          </w:r>
                        </w:p>
                        <w:p w:rsidR="00207375"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07375"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207375" w:rsidP="009838BC">
                    <w:pPr>
                      <w:rPr>
                        <w:rFonts w:ascii="Arial" w:hAnsi="Arial"/>
                        <w:b/>
                      </w:rPr>
                    </w:pPr>
                    <w:r>
                      <w:rPr>
                        <w:rFonts w:ascii="Arial" w:hAnsi="Arial"/>
                        <w:b/>
                      </w:rPr>
                      <w:t>Federal Communications Commission</w:t>
                    </w:r>
                  </w:p>
                  <w:p w:rsidR="00207375"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07375"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10542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207375"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207375" w:rsidP="009838BC">
                          <w:pPr>
                            <w:spacing w:before="40"/>
                            <w:jc w:val="right"/>
                            <w:rPr>
                              <w:rFonts w:ascii="Arial" w:hAnsi="Arial"/>
                              <w:b/>
                              <w:sz w:val="16"/>
                            </w:rPr>
                          </w:pPr>
                          <w:r>
                            <w:rPr>
                              <w:rFonts w:ascii="Arial" w:hAnsi="Arial"/>
                              <w:b/>
                              <w:sz w:val="16"/>
                            </w:rPr>
                            <w:t>News Media Information 202 / 418-0500</w:t>
                          </w:r>
                        </w:p>
                        <w:p w:rsidR="00207375"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207375"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207375" w:rsidP="009838BC">
                    <w:pPr>
                      <w:spacing w:before="40"/>
                      <w:jc w:val="right"/>
                      <w:rPr>
                        <w:rFonts w:ascii="Arial" w:hAnsi="Arial"/>
                        <w:b/>
                        <w:sz w:val="16"/>
                      </w:rPr>
                    </w:pPr>
                    <w:r>
                      <w:rPr>
                        <w:rFonts w:ascii="Arial" w:hAnsi="Arial"/>
                        <w:b/>
                        <w:sz w:val="16"/>
                      </w:rPr>
                      <w:t>News Media Information 202 / 418-0500</w:t>
                    </w:r>
                  </w:p>
                  <w:p w:rsidR="00207375"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207375" w:rsidP="009838BC">
                    <w:pPr>
                      <w:jc w:val="right"/>
                    </w:pPr>
                    <w:r>
                      <w:rPr>
                        <w:rFonts w:ascii="Arial" w:hAnsi="Arial"/>
                        <w:b/>
                        <w:sz w:val="16"/>
                      </w:rPr>
                      <w:t>TTY: 1-888-835-5322</w:t>
                    </w:r>
                  </w:p>
                </w:txbxContent>
              </v:textbox>
            </v:shape>
          </w:pict>
        </mc:Fallback>
      </mc:AlternateContent>
    </w:r>
  </w:p>
  <w:p w:rsidR="00207375"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175FAF"/>
    <w:multiLevelType w:val="hybridMultilevel"/>
    <w:tmpl w:val="D56E8D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35"/>
    <w:rsid w:val="0000005A"/>
    <w:rsid w:val="000072CE"/>
    <w:rsid w:val="000118E1"/>
    <w:rsid w:val="00013A8B"/>
    <w:rsid w:val="00021445"/>
    <w:rsid w:val="00036039"/>
    <w:rsid w:val="00037F90"/>
    <w:rsid w:val="000574C2"/>
    <w:rsid w:val="00061FDB"/>
    <w:rsid w:val="00075849"/>
    <w:rsid w:val="000875BF"/>
    <w:rsid w:val="000947F8"/>
    <w:rsid w:val="000961E7"/>
    <w:rsid w:val="000966C9"/>
    <w:rsid w:val="00096D8C"/>
    <w:rsid w:val="000A45B5"/>
    <w:rsid w:val="000C0B65"/>
    <w:rsid w:val="000C2DF2"/>
    <w:rsid w:val="000C4236"/>
    <w:rsid w:val="000C4445"/>
    <w:rsid w:val="000D1F73"/>
    <w:rsid w:val="000D53CC"/>
    <w:rsid w:val="000E3D42"/>
    <w:rsid w:val="000E3FB8"/>
    <w:rsid w:val="000E5884"/>
    <w:rsid w:val="001112CE"/>
    <w:rsid w:val="00115492"/>
    <w:rsid w:val="00122BD5"/>
    <w:rsid w:val="00140028"/>
    <w:rsid w:val="00155FA3"/>
    <w:rsid w:val="00186243"/>
    <w:rsid w:val="00192742"/>
    <w:rsid w:val="001979D9"/>
    <w:rsid w:val="001B427F"/>
    <w:rsid w:val="001B73B5"/>
    <w:rsid w:val="001D4035"/>
    <w:rsid w:val="001D603A"/>
    <w:rsid w:val="001D6779"/>
    <w:rsid w:val="001D6845"/>
    <w:rsid w:val="001D6BCF"/>
    <w:rsid w:val="001E01CA"/>
    <w:rsid w:val="001F11BA"/>
    <w:rsid w:val="001F1318"/>
    <w:rsid w:val="001F6106"/>
    <w:rsid w:val="002060D9"/>
    <w:rsid w:val="00207375"/>
    <w:rsid w:val="00212328"/>
    <w:rsid w:val="00216947"/>
    <w:rsid w:val="00225548"/>
    <w:rsid w:val="00225D44"/>
    <w:rsid w:val="00226822"/>
    <w:rsid w:val="002365FE"/>
    <w:rsid w:val="0023722D"/>
    <w:rsid w:val="00252D29"/>
    <w:rsid w:val="00260594"/>
    <w:rsid w:val="00272369"/>
    <w:rsid w:val="002740DC"/>
    <w:rsid w:val="00285017"/>
    <w:rsid w:val="002A2D2E"/>
    <w:rsid w:val="002C4113"/>
    <w:rsid w:val="002D00A0"/>
    <w:rsid w:val="002E031D"/>
    <w:rsid w:val="00300C5D"/>
    <w:rsid w:val="00306411"/>
    <w:rsid w:val="00324985"/>
    <w:rsid w:val="00325A09"/>
    <w:rsid w:val="00343749"/>
    <w:rsid w:val="00346AD1"/>
    <w:rsid w:val="00350948"/>
    <w:rsid w:val="0035538F"/>
    <w:rsid w:val="00357D50"/>
    <w:rsid w:val="00361A2A"/>
    <w:rsid w:val="0037080D"/>
    <w:rsid w:val="0037149F"/>
    <w:rsid w:val="00372C0C"/>
    <w:rsid w:val="003925DC"/>
    <w:rsid w:val="00395FC4"/>
    <w:rsid w:val="003979EF"/>
    <w:rsid w:val="003A29D4"/>
    <w:rsid w:val="003B0550"/>
    <w:rsid w:val="003B694F"/>
    <w:rsid w:val="003C10A2"/>
    <w:rsid w:val="003C38C6"/>
    <w:rsid w:val="003D10F3"/>
    <w:rsid w:val="003D69AB"/>
    <w:rsid w:val="003F0D21"/>
    <w:rsid w:val="003F171C"/>
    <w:rsid w:val="004045AE"/>
    <w:rsid w:val="00412FC5"/>
    <w:rsid w:val="0041306A"/>
    <w:rsid w:val="00422276"/>
    <w:rsid w:val="004242F1"/>
    <w:rsid w:val="004260B5"/>
    <w:rsid w:val="00432C97"/>
    <w:rsid w:val="00432DFE"/>
    <w:rsid w:val="00433124"/>
    <w:rsid w:val="00445A00"/>
    <w:rsid w:val="00451B0F"/>
    <w:rsid w:val="004535ED"/>
    <w:rsid w:val="00455091"/>
    <w:rsid w:val="0045513E"/>
    <w:rsid w:val="004573A2"/>
    <w:rsid w:val="0046125F"/>
    <w:rsid w:val="00487524"/>
    <w:rsid w:val="00492DDD"/>
    <w:rsid w:val="00496106"/>
    <w:rsid w:val="004B0C02"/>
    <w:rsid w:val="004B7A88"/>
    <w:rsid w:val="004C12D0"/>
    <w:rsid w:val="004C2EE3"/>
    <w:rsid w:val="004C59BD"/>
    <w:rsid w:val="004D79E1"/>
    <w:rsid w:val="004E0992"/>
    <w:rsid w:val="004E4A22"/>
    <w:rsid w:val="004F2C58"/>
    <w:rsid w:val="00503B1D"/>
    <w:rsid w:val="00511968"/>
    <w:rsid w:val="005234C8"/>
    <w:rsid w:val="0053754C"/>
    <w:rsid w:val="0055614C"/>
    <w:rsid w:val="00580050"/>
    <w:rsid w:val="00580E86"/>
    <w:rsid w:val="005849D6"/>
    <w:rsid w:val="00590CB0"/>
    <w:rsid w:val="00591221"/>
    <w:rsid w:val="005959BC"/>
    <w:rsid w:val="005A0315"/>
    <w:rsid w:val="005B6B96"/>
    <w:rsid w:val="005C3935"/>
    <w:rsid w:val="005E4183"/>
    <w:rsid w:val="0060646C"/>
    <w:rsid w:val="00607BA5"/>
    <w:rsid w:val="00621BC2"/>
    <w:rsid w:val="00626EB6"/>
    <w:rsid w:val="0063331A"/>
    <w:rsid w:val="006353A3"/>
    <w:rsid w:val="00652DA9"/>
    <w:rsid w:val="00653839"/>
    <w:rsid w:val="00655D03"/>
    <w:rsid w:val="00656E7D"/>
    <w:rsid w:val="00660294"/>
    <w:rsid w:val="00672F75"/>
    <w:rsid w:val="0068295D"/>
    <w:rsid w:val="006829F0"/>
    <w:rsid w:val="006834C7"/>
    <w:rsid w:val="00683856"/>
    <w:rsid w:val="00683F84"/>
    <w:rsid w:val="00686A11"/>
    <w:rsid w:val="006A531B"/>
    <w:rsid w:val="006A6A81"/>
    <w:rsid w:val="006B1CE2"/>
    <w:rsid w:val="006C2933"/>
    <w:rsid w:val="006C57CE"/>
    <w:rsid w:val="006C5DEC"/>
    <w:rsid w:val="006C6118"/>
    <w:rsid w:val="006C7D8B"/>
    <w:rsid w:val="006D4AB7"/>
    <w:rsid w:val="006D5ABE"/>
    <w:rsid w:val="006E02ED"/>
    <w:rsid w:val="006E13F1"/>
    <w:rsid w:val="006E26AF"/>
    <w:rsid w:val="006F39F2"/>
    <w:rsid w:val="006F586A"/>
    <w:rsid w:val="006F7393"/>
    <w:rsid w:val="0070224F"/>
    <w:rsid w:val="0070478F"/>
    <w:rsid w:val="007115F7"/>
    <w:rsid w:val="00725261"/>
    <w:rsid w:val="00727CFB"/>
    <w:rsid w:val="0073721D"/>
    <w:rsid w:val="007466A9"/>
    <w:rsid w:val="00750AA5"/>
    <w:rsid w:val="0075558A"/>
    <w:rsid w:val="007564FF"/>
    <w:rsid w:val="00756A92"/>
    <w:rsid w:val="00761901"/>
    <w:rsid w:val="00765842"/>
    <w:rsid w:val="00765AE3"/>
    <w:rsid w:val="00770633"/>
    <w:rsid w:val="00770F27"/>
    <w:rsid w:val="00772C02"/>
    <w:rsid w:val="007811FB"/>
    <w:rsid w:val="00785689"/>
    <w:rsid w:val="00793EF0"/>
    <w:rsid w:val="0079754B"/>
    <w:rsid w:val="00797FCF"/>
    <w:rsid w:val="007A1E6D"/>
    <w:rsid w:val="007A745B"/>
    <w:rsid w:val="007B50B7"/>
    <w:rsid w:val="007C0DDC"/>
    <w:rsid w:val="007C17B6"/>
    <w:rsid w:val="007D112F"/>
    <w:rsid w:val="007D1F9C"/>
    <w:rsid w:val="007F2B6E"/>
    <w:rsid w:val="008021CD"/>
    <w:rsid w:val="00822549"/>
    <w:rsid w:val="00822CE0"/>
    <w:rsid w:val="00824B40"/>
    <w:rsid w:val="00827379"/>
    <w:rsid w:val="00837C62"/>
    <w:rsid w:val="00841AB1"/>
    <w:rsid w:val="00857E7C"/>
    <w:rsid w:val="00875CAB"/>
    <w:rsid w:val="00876EC5"/>
    <w:rsid w:val="008821C9"/>
    <w:rsid w:val="008C22FD"/>
    <w:rsid w:val="008F2FAF"/>
    <w:rsid w:val="009035CD"/>
    <w:rsid w:val="00910F12"/>
    <w:rsid w:val="0092191A"/>
    <w:rsid w:val="00921D2F"/>
    <w:rsid w:val="00926503"/>
    <w:rsid w:val="00930ECF"/>
    <w:rsid w:val="00935943"/>
    <w:rsid w:val="0094532F"/>
    <w:rsid w:val="009542DE"/>
    <w:rsid w:val="00961892"/>
    <w:rsid w:val="00963B48"/>
    <w:rsid w:val="00966396"/>
    <w:rsid w:val="0097285A"/>
    <w:rsid w:val="009746A7"/>
    <w:rsid w:val="009838BC"/>
    <w:rsid w:val="0098474D"/>
    <w:rsid w:val="009B36C9"/>
    <w:rsid w:val="009B5ADF"/>
    <w:rsid w:val="009C4B67"/>
    <w:rsid w:val="009D0155"/>
    <w:rsid w:val="009D0624"/>
    <w:rsid w:val="009D3A24"/>
    <w:rsid w:val="009D3C70"/>
    <w:rsid w:val="009E5752"/>
    <w:rsid w:val="00A04E30"/>
    <w:rsid w:val="00A05361"/>
    <w:rsid w:val="00A23C67"/>
    <w:rsid w:val="00A45F4F"/>
    <w:rsid w:val="00A50F6D"/>
    <w:rsid w:val="00A55E29"/>
    <w:rsid w:val="00A600A9"/>
    <w:rsid w:val="00A657F1"/>
    <w:rsid w:val="00A866AC"/>
    <w:rsid w:val="00AA28DD"/>
    <w:rsid w:val="00AA55B7"/>
    <w:rsid w:val="00AA5B9E"/>
    <w:rsid w:val="00AA7F8F"/>
    <w:rsid w:val="00AB2407"/>
    <w:rsid w:val="00AB53DF"/>
    <w:rsid w:val="00AD3B7F"/>
    <w:rsid w:val="00AE6381"/>
    <w:rsid w:val="00AE749F"/>
    <w:rsid w:val="00B02273"/>
    <w:rsid w:val="00B06D88"/>
    <w:rsid w:val="00B07E5C"/>
    <w:rsid w:val="00B20363"/>
    <w:rsid w:val="00B2212B"/>
    <w:rsid w:val="00B326E3"/>
    <w:rsid w:val="00B456D3"/>
    <w:rsid w:val="00B46AAD"/>
    <w:rsid w:val="00B47298"/>
    <w:rsid w:val="00B54A22"/>
    <w:rsid w:val="00B753F4"/>
    <w:rsid w:val="00B76BE2"/>
    <w:rsid w:val="00B811F7"/>
    <w:rsid w:val="00BA2273"/>
    <w:rsid w:val="00BA5DC6"/>
    <w:rsid w:val="00BA6196"/>
    <w:rsid w:val="00BA7D5C"/>
    <w:rsid w:val="00BB0DA0"/>
    <w:rsid w:val="00BC0C03"/>
    <w:rsid w:val="00BC6D8C"/>
    <w:rsid w:val="00BD65CA"/>
    <w:rsid w:val="00BD6C61"/>
    <w:rsid w:val="00BE43A0"/>
    <w:rsid w:val="00C055CA"/>
    <w:rsid w:val="00C06B4F"/>
    <w:rsid w:val="00C07472"/>
    <w:rsid w:val="00C15D95"/>
    <w:rsid w:val="00C16AF2"/>
    <w:rsid w:val="00C22E30"/>
    <w:rsid w:val="00C27BC2"/>
    <w:rsid w:val="00C34006"/>
    <w:rsid w:val="00C35A10"/>
    <w:rsid w:val="00C40C06"/>
    <w:rsid w:val="00C426B1"/>
    <w:rsid w:val="00C65E73"/>
    <w:rsid w:val="00C71809"/>
    <w:rsid w:val="00C82B6B"/>
    <w:rsid w:val="00C85EDF"/>
    <w:rsid w:val="00C90D6A"/>
    <w:rsid w:val="00C92553"/>
    <w:rsid w:val="00CA5116"/>
    <w:rsid w:val="00CB0C87"/>
    <w:rsid w:val="00CB3368"/>
    <w:rsid w:val="00CB5127"/>
    <w:rsid w:val="00CC72B6"/>
    <w:rsid w:val="00D0218D"/>
    <w:rsid w:val="00D110F7"/>
    <w:rsid w:val="00D216CD"/>
    <w:rsid w:val="00D36B91"/>
    <w:rsid w:val="00D45C53"/>
    <w:rsid w:val="00D51802"/>
    <w:rsid w:val="00D657BE"/>
    <w:rsid w:val="00D7262C"/>
    <w:rsid w:val="00D90EA5"/>
    <w:rsid w:val="00DA2529"/>
    <w:rsid w:val="00DB130A"/>
    <w:rsid w:val="00DB4617"/>
    <w:rsid w:val="00DC10A1"/>
    <w:rsid w:val="00DC655F"/>
    <w:rsid w:val="00DD48B7"/>
    <w:rsid w:val="00DD794D"/>
    <w:rsid w:val="00DD7EBD"/>
    <w:rsid w:val="00DE131D"/>
    <w:rsid w:val="00DF4189"/>
    <w:rsid w:val="00DF62B6"/>
    <w:rsid w:val="00DF798F"/>
    <w:rsid w:val="00DF7D6B"/>
    <w:rsid w:val="00E07225"/>
    <w:rsid w:val="00E155B7"/>
    <w:rsid w:val="00E22A72"/>
    <w:rsid w:val="00E23B0C"/>
    <w:rsid w:val="00E31AA7"/>
    <w:rsid w:val="00E4428B"/>
    <w:rsid w:val="00E5409F"/>
    <w:rsid w:val="00E6376F"/>
    <w:rsid w:val="00E66B63"/>
    <w:rsid w:val="00E727C9"/>
    <w:rsid w:val="00E769E8"/>
    <w:rsid w:val="00E8331A"/>
    <w:rsid w:val="00E91DF3"/>
    <w:rsid w:val="00E93CF2"/>
    <w:rsid w:val="00E93D25"/>
    <w:rsid w:val="00E955F7"/>
    <w:rsid w:val="00E96B14"/>
    <w:rsid w:val="00E97964"/>
    <w:rsid w:val="00EB33CF"/>
    <w:rsid w:val="00EC0185"/>
    <w:rsid w:val="00EC07A0"/>
    <w:rsid w:val="00EC3F81"/>
    <w:rsid w:val="00EC40D8"/>
    <w:rsid w:val="00ED3AF0"/>
    <w:rsid w:val="00EE1C82"/>
    <w:rsid w:val="00EF2BFA"/>
    <w:rsid w:val="00EF5BD9"/>
    <w:rsid w:val="00EF797D"/>
    <w:rsid w:val="00EF7EAB"/>
    <w:rsid w:val="00F021FA"/>
    <w:rsid w:val="00F32370"/>
    <w:rsid w:val="00F357DF"/>
    <w:rsid w:val="00F43A17"/>
    <w:rsid w:val="00F4494A"/>
    <w:rsid w:val="00F47103"/>
    <w:rsid w:val="00F544AF"/>
    <w:rsid w:val="00F57ACA"/>
    <w:rsid w:val="00F60054"/>
    <w:rsid w:val="00F62E97"/>
    <w:rsid w:val="00F64209"/>
    <w:rsid w:val="00F646BB"/>
    <w:rsid w:val="00F64A60"/>
    <w:rsid w:val="00F72F14"/>
    <w:rsid w:val="00F8652D"/>
    <w:rsid w:val="00F93BF5"/>
    <w:rsid w:val="00F96F63"/>
    <w:rsid w:val="00FA2983"/>
    <w:rsid w:val="00FB544E"/>
    <w:rsid w:val="00FD1033"/>
    <w:rsid w:val="00FE22E1"/>
    <w:rsid w:val="00FE6DBA"/>
    <w:rsid w:val="00FE724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0A0484D3-E181-41CF-A41E-FEE1DDCB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822549"/>
  </w:style>
  <w:style w:type="paragraph" w:styleId="ListParagraph">
    <w:name w:val="List Paragraph"/>
    <w:basedOn w:val="Normal"/>
    <w:uiPriority w:val="34"/>
    <w:qFormat/>
    <w:rsid w:val="00822549"/>
    <w:pPr>
      <w:widowControl/>
      <w:ind w:left="720"/>
    </w:pPr>
    <w:rPr>
      <w:snapToGrid/>
      <w:kern w:val="0"/>
      <w:sz w:val="24"/>
    </w:rPr>
  </w:style>
  <w:style w:type="character" w:customStyle="1" w:styleId="ParaNumChar">
    <w:name w:val="ParaNum Char"/>
    <w:link w:val="ParaNum"/>
    <w:rsid w:val="00155FA3"/>
    <w:rPr>
      <w:snapToGrid w:val="0"/>
      <w:kern w:val="28"/>
      <w:sz w:val="22"/>
    </w:rPr>
  </w:style>
  <w:style w:type="character" w:customStyle="1" w:styleId="UnresolvedMention1">
    <w:name w:val="Unresolved Mention1"/>
    <w:basedOn w:val="DefaultParagraphFont"/>
    <w:uiPriority w:val="99"/>
    <w:semiHidden/>
    <w:unhideWhenUsed/>
    <w:rsid w:val="002365FE"/>
    <w:rPr>
      <w:color w:val="605E5C"/>
      <w:shd w:val="clear" w:color="auto" w:fill="E1DFDD"/>
    </w:rPr>
  </w:style>
  <w:style w:type="paragraph" w:styleId="BalloonText">
    <w:name w:val="Balloon Text"/>
    <w:basedOn w:val="Normal"/>
    <w:link w:val="BalloonTextChar"/>
    <w:uiPriority w:val="99"/>
    <w:semiHidden/>
    <w:unhideWhenUsed/>
    <w:rsid w:val="009D0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624"/>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72C0C"/>
    <w:rPr>
      <w:sz w:val="16"/>
      <w:szCs w:val="16"/>
    </w:rPr>
  </w:style>
  <w:style w:type="paragraph" w:styleId="CommentText">
    <w:name w:val="annotation text"/>
    <w:basedOn w:val="Normal"/>
    <w:link w:val="CommentTextChar"/>
    <w:uiPriority w:val="99"/>
    <w:semiHidden/>
    <w:unhideWhenUsed/>
    <w:rsid w:val="00372C0C"/>
    <w:rPr>
      <w:sz w:val="20"/>
    </w:rPr>
  </w:style>
  <w:style w:type="character" w:customStyle="1" w:styleId="CommentTextChar">
    <w:name w:val="Comment Text Char"/>
    <w:basedOn w:val="DefaultParagraphFont"/>
    <w:link w:val="CommentText"/>
    <w:uiPriority w:val="99"/>
    <w:semiHidden/>
    <w:rsid w:val="00372C0C"/>
    <w:rPr>
      <w:snapToGrid w:val="0"/>
      <w:kern w:val="28"/>
    </w:rPr>
  </w:style>
  <w:style w:type="paragraph" w:styleId="CommentSubject">
    <w:name w:val="annotation subject"/>
    <w:basedOn w:val="CommentText"/>
    <w:next w:val="CommentText"/>
    <w:link w:val="CommentSubjectChar"/>
    <w:uiPriority w:val="99"/>
    <w:semiHidden/>
    <w:unhideWhenUsed/>
    <w:rsid w:val="00372C0C"/>
    <w:rPr>
      <w:b/>
      <w:bCs/>
    </w:rPr>
  </w:style>
  <w:style w:type="character" w:customStyle="1" w:styleId="CommentSubjectChar">
    <w:name w:val="Comment Subject Char"/>
    <w:basedOn w:val="CommentTextChar"/>
    <w:link w:val="CommentSubject"/>
    <w:uiPriority w:val="99"/>
    <w:semiHidden/>
    <w:rsid w:val="00372C0C"/>
    <w:rPr>
      <w:b/>
      <w:bCs/>
      <w:snapToGrid w:val="0"/>
      <w:kern w:val="28"/>
    </w:rPr>
  </w:style>
  <w:style w:type="character" w:customStyle="1" w:styleId="UnresolvedMention">
    <w:name w:val="Unresolved Mention"/>
    <w:basedOn w:val="DefaultParagraphFont"/>
    <w:uiPriority w:val="99"/>
    <w:rsid w:val="00903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Michael.Wagner@fcc.gov" TargetMode="External" /><Relationship Id="rId7" Type="http://schemas.openxmlformats.org/officeDocument/2006/relationships/hyperlink" Target="mailto:Lisa.Scanlan@fcc.gov" TargetMode="External" /><Relationship Id="rId8" Type="http://schemas.openxmlformats.org/officeDocument/2006/relationships/hyperlink" Target="mailto:Albert.Shuldiner@fcc.gov" TargetMode="External" /><Relationship Id="rId9" Type="http://schemas.openxmlformats.org/officeDocument/2006/relationships/hyperlink" Target="mailto:Jim.Bir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6&amp;cite=47USCAS310&amp;originatingDoc=I2ae9ee007a3411e5a807ad48145ed9f1&amp;refType=RB&amp;originationContext=document&amp;transitionType=DocumentItem&amp;contextData=(sc.Search)"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