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6D348C" w:rsidP="00EE5672" w14:paraId="14A7DE93" w14:textId="77777777">
      <w:pPr>
        <w:widowControl/>
        <w:jc w:val="center"/>
        <w:rPr>
          <w:b/>
        </w:rPr>
      </w:pPr>
      <w:r w:rsidRPr="006D348C">
        <w:rPr>
          <w:rFonts w:ascii="Times New Roman Bold" w:hAnsi="Times New Roman Bold"/>
          <w:b/>
          <w:kern w:val="0"/>
          <w:szCs w:val="22"/>
        </w:rPr>
        <w:t>Before</w:t>
      </w:r>
      <w:r w:rsidRPr="006D348C">
        <w:rPr>
          <w:b/>
        </w:rPr>
        <w:t xml:space="preserve"> the</w:t>
      </w:r>
    </w:p>
    <w:p w:rsidR="00921803" w:rsidRPr="006D348C" w:rsidP="00EE5672" w14:paraId="0712776F" w14:textId="77777777">
      <w:pPr>
        <w:pStyle w:val="StyleBoldCentered"/>
        <w:widowControl/>
      </w:pPr>
      <w:r w:rsidRPr="006D348C">
        <w:t>F</w:t>
      </w:r>
      <w:r w:rsidRPr="006D348C">
        <w:rPr>
          <w:caps w:val="0"/>
        </w:rPr>
        <w:t>ederal Communications Commission</w:t>
      </w:r>
    </w:p>
    <w:p w:rsidR="004C2EE3" w:rsidRPr="006D348C" w:rsidP="00EE5672" w14:paraId="6A7CA27B" w14:textId="77777777">
      <w:pPr>
        <w:pStyle w:val="StyleBoldCentered"/>
        <w:widowControl/>
      </w:pPr>
      <w:r w:rsidRPr="006D348C">
        <w:rPr>
          <w:caps w:val="0"/>
        </w:rPr>
        <w:t>Washington, D.C. 20554</w:t>
      </w:r>
    </w:p>
    <w:p w:rsidR="004C2EE3" w:rsidRPr="006D348C" w:rsidP="00EE5672" w14:paraId="4A723BA0" w14:textId="77777777">
      <w:pPr>
        <w:widowControl/>
      </w:pPr>
    </w:p>
    <w:p w:rsidR="004C2EE3" w:rsidRPr="006D348C" w:rsidP="00EE5672" w14:paraId="1B663508" w14:textId="77777777">
      <w:pPr>
        <w:widowControl/>
      </w:pPr>
    </w:p>
    <w:tbl>
      <w:tblPr>
        <w:tblW w:w="0" w:type="dxa"/>
        <w:tblLayout w:type="fixed"/>
        <w:tblLook w:val="0000"/>
      </w:tblPr>
      <w:tblGrid>
        <w:gridCol w:w="4698"/>
        <w:gridCol w:w="630"/>
        <w:gridCol w:w="4248"/>
      </w:tblGrid>
      <w:tr w14:paraId="1C2E2FA7" w14:textId="77777777">
        <w:tblPrEx>
          <w:tblW w:w="0" w:type="dxa"/>
          <w:tblLayout w:type="fixed"/>
          <w:tblLook w:val="0000"/>
        </w:tblPrEx>
        <w:tc>
          <w:tcPr>
            <w:tcW w:w="4698" w:type="dxa"/>
          </w:tcPr>
          <w:p w:rsidR="004C2EE3" w:rsidRPr="006D348C" w:rsidP="00EE5672" w14:paraId="3B0D2775" w14:textId="77777777">
            <w:pPr>
              <w:widowControl/>
              <w:tabs>
                <w:tab w:val="center" w:pos="4680"/>
              </w:tabs>
              <w:suppressAutoHyphens/>
              <w:rPr>
                <w:spacing w:val="-2"/>
              </w:rPr>
            </w:pPr>
            <w:r w:rsidRPr="006D348C">
              <w:rPr>
                <w:spacing w:val="-2"/>
              </w:rPr>
              <w:t>In the Matter of</w:t>
            </w:r>
          </w:p>
          <w:p w:rsidR="004C2EE3" w:rsidRPr="006D348C" w:rsidP="00EE5672" w14:paraId="02AF8C26" w14:textId="77777777">
            <w:pPr>
              <w:widowControl/>
              <w:tabs>
                <w:tab w:val="center" w:pos="4680"/>
              </w:tabs>
              <w:suppressAutoHyphens/>
              <w:rPr>
                <w:spacing w:val="-2"/>
              </w:rPr>
            </w:pPr>
          </w:p>
          <w:p w:rsidR="00E93942" w:rsidP="00EE5672" w14:paraId="23A03CB6" w14:textId="77777777">
            <w:pPr>
              <w:widowControl/>
              <w:tabs>
                <w:tab w:val="center" w:pos="4680"/>
              </w:tabs>
              <w:suppressAutoHyphens/>
            </w:pPr>
            <w:r>
              <w:t xml:space="preserve">NE Colorado Cellular, Inc. </w:t>
            </w:r>
            <w:r w:rsidR="00246D89">
              <w:t xml:space="preserve">dba </w:t>
            </w:r>
            <w:r w:rsidR="00246D89">
              <w:t>Viaero</w:t>
            </w:r>
            <w:r w:rsidR="00246D89">
              <w:t xml:space="preserve"> Wireless</w:t>
            </w:r>
            <w:r>
              <w:t>,</w:t>
            </w:r>
          </w:p>
          <w:p w:rsidR="00A262E4" w:rsidRPr="006D348C" w:rsidP="00EE5672" w14:paraId="5545E0B8" w14:textId="77777777">
            <w:pPr>
              <w:widowControl/>
              <w:tabs>
                <w:tab w:val="center" w:pos="4680"/>
              </w:tabs>
              <w:suppressAutoHyphens/>
              <w:rPr>
                <w:spacing w:val="-2"/>
              </w:rPr>
            </w:pPr>
            <w:r>
              <w:t>Kersey, CO</w:t>
            </w:r>
          </w:p>
        </w:tc>
        <w:tc>
          <w:tcPr>
            <w:tcW w:w="630" w:type="dxa"/>
          </w:tcPr>
          <w:p w:rsidR="004C2EE3" w:rsidRPr="006D348C" w:rsidP="00EE5672" w14:paraId="74CAD213" w14:textId="77777777">
            <w:pPr>
              <w:widowControl/>
              <w:tabs>
                <w:tab w:val="center" w:pos="4680"/>
              </w:tabs>
              <w:suppressAutoHyphens/>
              <w:rPr>
                <w:b/>
                <w:spacing w:val="-2"/>
              </w:rPr>
            </w:pPr>
            <w:r w:rsidRPr="006D348C">
              <w:rPr>
                <w:b/>
                <w:spacing w:val="-2"/>
              </w:rPr>
              <w:t>)</w:t>
            </w:r>
          </w:p>
          <w:p w:rsidR="004C2EE3" w:rsidRPr="006D348C" w:rsidP="00EE5672" w14:paraId="23EA1DF0" w14:textId="77777777">
            <w:pPr>
              <w:widowControl/>
              <w:tabs>
                <w:tab w:val="center" w:pos="4680"/>
              </w:tabs>
              <w:suppressAutoHyphens/>
              <w:rPr>
                <w:b/>
                <w:spacing w:val="-2"/>
              </w:rPr>
            </w:pPr>
            <w:r w:rsidRPr="006D348C">
              <w:rPr>
                <w:b/>
                <w:spacing w:val="-2"/>
              </w:rPr>
              <w:t>)</w:t>
            </w:r>
          </w:p>
          <w:p w:rsidR="004C2EE3" w:rsidRPr="006D348C" w:rsidP="00EE5672" w14:paraId="678B3D8D" w14:textId="77777777">
            <w:pPr>
              <w:widowControl/>
              <w:tabs>
                <w:tab w:val="center" w:pos="4680"/>
              </w:tabs>
              <w:suppressAutoHyphens/>
              <w:rPr>
                <w:b/>
                <w:spacing w:val="-2"/>
              </w:rPr>
            </w:pPr>
            <w:r w:rsidRPr="006D348C">
              <w:rPr>
                <w:b/>
                <w:spacing w:val="-2"/>
              </w:rPr>
              <w:t>)</w:t>
            </w:r>
          </w:p>
          <w:p w:rsidR="004C2EE3" w:rsidRPr="006D348C" w:rsidP="00EE5672" w14:paraId="63C5415B" w14:textId="77777777">
            <w:pPr>
              <w:widowControl/>
              <w:tabs>
                <w:tab w:val="center" w:pos="4680"/>
              </w:tabs>
              <w:suppressAutoHyphens/>
              <w:rPr>
                <w:b/>
                <w:spacing w:val="-2"/>
              </w:rPr>
            </w:pPr>
            <w:r w:rsidRPr="006D348C">
              <w:rPr>
                <w:b/>
                <w:spacing w:val="-2"/>
              </w:rPr>
              <w:t>)</w:t>
            </w:r>
          </w:p>
          <w:p w:rsidR="004C2EE3" w:rsidRPr="006D348C" w:rsidP="00EE5672" w14:paraId="216938EC" w14:textId="77777777">
            <w:pPr>
              <w:widowControl/>
              <w:tabs>
                <w:tab w:val="center" w:pos="4680"/>
              </w:tabs>
              <w:suppressAutoHyphens/>
              <w:rPr>
                <w:b/>
                <w:spacing w:val="-2"/>
              </w:rPr>
            </w:pPr>
            <w:r w:rsidRPr="006D348C">
              <w:rPr>
                <w:b/>
                <w:spacing w:val="-2"/>
              </w:rPr>
              <w:t>)</w:t>
            </w:r>
          </w:p>
        </w:tc>
        <w:tc>
          <w:tcPr>
            <w:tcW w:w="4248" w:type="dxa"/>
          </w:tcPr>
          <w:p w:rsidR="004C2EE3" w:rsidRPr="006D348C" w:rsidP="00EE5672" w14:paraId="5CB968AF" w14:textId="77777777">
            <w:pPr>
              <w:widowControl/>
              <w:tabs>
                <w:tab w:val="center" w:pos="4680"/>
              </w:tabs>
              <w:suppressAutoHyphens/>
              <w:rPr>
                <w:spacing w:val="-2"/>
              </w:rPr>
            </w:pPr>
          </w:p>
          <w:p w:rsidR="004C2EE3" w:rsidRPr="00EE44DB" w:rsidP="00EE5672" w14:paraId="4FF1EF32" w14:textId="77777777">
            <w:pPr>
              <w:widowControl/>
              <w:tabs>
                <w:tab w:val="center" w:pos="4680"/>
              </w:tabs>
              <w:suppressAutoHyphens/>
              <w:rPr>
                <w:spacing w:val="-2"/>
                <w:szCs w:val="22"/>
              </w:rPr>
            </w:pPr>
            <w:r w:rsidRPr="00EE44DB">
              <w:rPr>
                <w:spacing w:val="-2"/>
                <w:szCs w:val="22"/>
              </w:rPr>
              <w:t xml:space="preserve">File No.: </w:t>
            </w:r>
            <w:r w:rsidRPr="00EE44DB" w:rsidR="00D8321F">
              <w:rPr>
                <w:szCs w:val="22"/>
              </w:rPr>
              <w:t>EB-FIELDWR-18-00026229</w:t>
            </w:r>
          </w:p>
          <w:p w:rsidR="00A262E4" w:rsidRPr="00EE44DB" w:rsidP="00EE5672" w14:paraId="0F72210A" w14:textId="77777777">
            <w:pPr>
              <w:widowControl/>
              <w:tabs>
                <w:tab w:val="center" w:pos="4680"/>
              </w:tabs>
              <w:suppressAutoHyphens/>
              <w:rPr>
                <w:spacing w:val="-2"/>
                <w:szCs w:val="22"/>
              </w:rPr>
            </w:pPr>
            <w:r w:rsidRPr="00EE44DB">
              <w:rPr>
                <w:spacing w:val="-2"/>
                <w:szCs w:val="22"/>
              </w:rPr>
              <w:t xml:space="preserve">NAL/Acct No.: </w:t>
            </w:r>
            <w:r w:rsidRPr="00EE44DB" w:rsidR="005338A1">
              <w:rPr>
                <w:color w:val="222222"/>
                <w:szCs w:val="22"/>
                <w:shd w:val="clear" w:color="auto" w:fill="FFFFFF"/>
              </w:rPr>
              <w:t>201932030001</w:t>
            </w:r>
          </w:p>
          <w:p w:rsidR="00A262E4" w:rsidRPr="00EE44DB" w:rsidP="00EE5672" w14:paraId="286A483D" w14:textId="77777777">
            <w:pPr>
              <w:widowControl/>
              <w:tabs>
                <w:tab w:val="center" w:pos="4680"/>
              </w:tabs>
              <w:suppressAutoHyphens/>
              <w:rPr>
                <w:spacing w:val="-2"/>
                <w:szCs w:val="22"/>
              </w:rPr>
            </w:pPr>
            <w:r w:rsidRPr="00EE44DB">
              <w:rPr>
                <w:spacing w:val="-2"/>
                <w:szCs w:val="22"/>
              </w:rPr>
              <w:t xml:space="preserve">FRN: </w:t>
            </w:r>
            <w:r w:rsidRPr="00EE44DB" w:rsidR="00B55137">
              <w:rPr>
                <w:spacing w:val="-2"/>
                <w:szCs w:val="22"/>
              </w:rPr>
              <w:t xml:space="preserve">0001607225  </w:t>
            </w:r>
          </w:p>
          <w:p w:rsidR="00A262E4" w:rsidRPr="006D348C" w:rsidP="00EE5672" w14:paraId="10620A34" w14:textId="77777777">
            <w:pPr>
              <w:widowControl/>
              <w:tabs>
                <w:tab w:val="center" w:pos="4680"/>
              </w:tabs>
              <w:suppressAutoHyphens/>
              <w:rPr>
                <w:spacing w:val="-2"/>
              </w:rPr>
            </w:pPr>
          </w:p>
        </w:tc>
      </w:tr>
    </w:tbl>
    <w:p w:rsidR="004C2EE3" w:rsidRPr="006D348C" w:rsidP="00EE5672" w14:paraId="32E6ED70" w14:textId="77777777">
      <w:pPr>
        <w:widowControl/>
      </w:pPr>
    </w:p>
    <w:p w:rsidR="00841AB1" w:rsidRPr="006D348C" w:rsidP="00EE5672" w14:paraId="602FBE5F" w14:textId="77777777">
      <w:pPr>
        <w:pStyle w:val="StyleBoldCentered"/>
        <w:widowControl/>
      </w:pPr>
      <w:r w:rsidRPr="006D348C">
        <w:t>Notice of Apparent Liability for Forfeiture</w:t>
      </w:r>
    </w:p>
    <w:p w:rsidR="004C2EE3" w:rsidRPr="006D348C" w:rsidP="00EE5672" w14:paraId="22A736CD" w14:textId="77777777">
      <w:pPr>
        <w:widowControl/>
        <w:tabs>
          <w:tab w:val="left" w:pos="-720"/>
        </w:tabs>
        <w:suppressAutoHyphens/>
        <w:spacing w:line="227" w:lineRule="auto"/>
        <w:rPr>
          <w:spacing w:val="-2"/>
        </w:rPr>
      </w:pPr>
    </w:p>
    <w:p w:rsidR="004C2EE3" w:rsidRPr="006D348C" w:rsidP="00EE5672" w14:paraId="03EE2CB8" w14:textId="77777777">
      <w:pPr>
        <w:widowControl/>
        <w:tabs>
          <w:tab w:val="left" w:pos="720"/>
          <w:tab w:val="right" w:pos="9360"/>
        </w:tabs>
        <w:suppressAutoHyphens/>
        <w:spacing w:line="227" w:lineRule="auto"/>
        <w:rPr>
          <w:spacing w:val="-2"/>
        </w:rPr>
      </w:pPr>
      <w:r w:rsidRPr="00FD1D4A">
        <w:rPr>
          <w:b/>
          <w:spacing w:val="-2"/>
        </w:rPr>
        <w:t xml:space="preserve">Adopted:  </w:t>
      </w:r>
      <w:r w:rsidRPr="00FD1D4A" w:rsidR="005338A1">
        <w:rPr>
          <w:b/>
          <w:spacing w:val="-2"/>
        </w:rPr>
        <w:t>F</w:t>
      </w:r>
      <w:r w:rsidRPr="00FD1D4A" w:rsidR="00FD1D4A">
        <w:rPr>
          <w:b/>
          <w:spacing w:val="-2"/>
        </w:rPr>
        <w:t>e</w:t>
      </w:r>
      <w:r w:rsidRPr="00FD1D4A" w:rsidR="005338A1">
        <w:rPr>
          <w:b/>
          <w:spacing w:val="-2"/>
        </w:rPr>
        <w:t>bruary</w:t>
      </w:r>
      <w:r w:rsidRPr="00FD1D4A" w:rsidR="00FD1D4A">
        <w:rPr>
          <w:b/>
          <w:spacing w:val="-2"/>
        </w:rPr>
        <w:t xml:space="preserve"> 8</w:t>
      </w:r>
      <w:r w:rsidRPr="00FD1D4A" w:rsidR="00C544C1">
        <w:rPr>
          <w:b/>
          <w:spacing w:val="-2"/>
        </w:rPr>
        <w:t>, 201</w:t>
      </w:r>
      <w:r w:rsidRPr="00FD1D4A" w:rsidR="00B55137">
        <w:rPr>
          <w:b/>
          <w:spacing w:val="-2"/>
        </w:rPr>
        <w:t>9</w:t>
      </w:r>
      <w:r w:rsidRPr="00FD1D4A">
        <w:rPr>
          <w:b/>
          <w:spacing w:val="-2"/>
        </w:rPr>
        <w:tab/>
      </w:r>
      <w:r w:rsidRPr="00FD1D4A" w:rsidR="00822CE0">
        <w:rPr>
          <w:b/>
          <w:spacing w:val="-2"/>
        </w:rPr>
        <w:t>Released</w:t>
      </w:r>
      <w:r w:rsidRPr="00FD1D4A">
        <w:rPr>
          <w:b/>
          <w:spacing w:val="-2"/>
        </w:rPr>
        <w:t>:</w:t>
      </w:r>
      <w:r w:rsidRPr="00FD1D4A" w:rsidR="00822CE0">
        <w:rPr>
          <w:b/>
          <w:spacing w:val="-2"/>
        </w:rPr>
        <w:t xml:space="preserve"> </w:t>
      </w:r>
      <w:r w:rsidRPr="00FD1D4A">
        <w:rPr>
          <w:b/>
          <w:spacing w:val="-2"/>
        </w:rPr>
        <w:t xml:space="preserve"> </w:t>
      </w:r>
      <w:r w:rsidRPr="00FD1D4A" w:rsidR="00FD1D4A">
        <w:rPr>
          <w:b/>
          <w:spacing w:val="-2"/>
        </w:rPr>
        <w:t>February 8</w:t>
      </w:r>
      <w:r w:rsidRPr="00FD1D4A" w:rsidR="00C544C1">
        <w:rPr>
          <w:b/>
          <w:spacing w:val="-2"/>
        </w:rPr>
        <w:t>,</w:t>
      </w:r>
      <w:r w:rsidRPr="006D348C" w:rsidR="00C544C1">
        <w:rPr>
          <w:b/>
          <w:spacing w:val="-2"/>
        </w:rPr>
        <w:t xml:space="preserve"> 201</w:t>
      </w:r>
      <w:r w:rsidR="00B55137">
        <w:rPr>
          <w:b/>
          <w:spacing w:val="-2"/>
        </w:rPr>
        <w:t>9</w:t>
      </w:r>
    </w:p>
    <w:p w:rsidR="00822CE0" w:rsidRPr="006D348C" w:rsidP="00EE5672" w14:paraId="633644F1" w14:textId="77777777">
      <w:pPr>
        <w:widowControl/>
      </w:pPr>
      <w:bookmarkStart w:id="0" w:name="_GoBack"/>
      <w:bookmarkEnd w:id="0"/>
    </w:p>
    <w:p w:rsidR="004C2EE3" w:rsidRPr="006D348C" w:rsidP="00EE5672" w14:paraId="33FFB0F0" w14:textId="77777777">
      <w:pPr>
        <w:widowControl/>
        <w:rPr>
          <w:spacing w:val="-2"/>
        </w:rPr>
      </w:pPr>
      <w:r w:rsidRPr="006D348C">
        <w:t xml:space="preserve">By </w:t>
      </w:r>
      <w:r w:rsidRPr="006D348C" w:rsidR="004E4A22">
        <w:t>the</w:t>
      </w:r>
      <w:r w:rsidRPr="006D348C" w:rsidR="002A2D2E">
        <w:t xml:space="preserve"> </w:t>
      </w:r>
      <w:r w:rsidRPr="006D348C" w:rsidR="00D66D44">
        <w:rPr>
          <w:spacing w:val="-2"/>
        </w:rPr>
        <w:t xml:space="preserve">Regional Director, Region </w:t>
      </w:r>
      <w:r w:rsidR="00D8321F">
        <w:rPr>
          <w:spacing w:val="-2"/>
        </w:rPr>
        <w:t>Three</w:t>
      </w:r>
      <w:r w:rsidRPr="006D348C" w:rsidR="00D66D44">
        <w:rPr>
          <w:spacing w:val="-2"/>
        </w:rPr>
        <w:t>, Enforcement Bureau:</w:t>
      </w:r>
    </w:p>
    <w:p w:rsidR="00412FC5" w:rsidRPr="006D348C" w:rsidP="00EE5672" w14:paraId="7333A36D" w14:textId="77777777">
      <w:pPr>
        <w:widowControl/>
      </w:pPr>
    </w:p>
    <w:p w:rsidR="002C00E8" w:rsidRPr="006D348C" w:rsidP="00EE5672" w14:paraId="1F118E4D" w14:textId="77777777">
      <w:pPr>
        <w:pStyle w:val="Heading1"/>
        <w:widowControl/>
      </w:pPr>
      <w:r w:rsidRPr="006D348C">
        <w:t>Introduction</w:t>
      </w:r>
    </w:p>
    <w:p w:rsidR="00B231A2" w:rsidRPr="006D348C" w:rsidP="00EE5672" w14:paraId="7F8CE3A1" w14:textId="77777777">
      <w:pPr>
        <w:pStyle w:val="ParaNum"/>
        <w:widowControl/>
      </w:pPr>
      <w:bookmarkStart w:id="1" w:name="_Hlk191268"/>
      <w:r w:rsidRPr="006D348C">
        <w:t>We propose a penalty of $</w:t>
      </w:r>
      <w:r w:rsidRPr="006D348C" w:rsidR="00711DD9">
        <w:t>2</w:t>
      </w:r>
      <w:r w:rsidR="00711DD9">
        <w:t>0</w:t>
      </w:r>
      <w:r w:rsidRPr="006D348C" w:rsidR="00D66D44">
        <w:t>,000</w:t>
      </w:r>
      <w:r w:rsidRPr="006D348C">
        <w:t xml:space="preserve"> against </w:t>
      </w:r>
      <w:r w:rsidR="00D8321F">
        <w:t>NE Colorado Cellular, Inc.</w:t>
      </w:r>
      <w:r w:rsidR="00D735E7">
        <w:t xml:space="preserve"> </w:t>
      </w:r>
      <w:r w:rsidR="00D8321F">
        <w:t xml:space="preserve">dba </w:t>
      </w:r>
      <w:r w:rsidR="00D8321F">
        <w:t>Viaero</w:t>
      </w:r>
      <w:r w:rsidR="00D8321F">
        <w:t xml:space="preserve"> Wireless (</w:t>
      </w:r>
      <w:r w:rsidR="00F6470F">
        <w:t>Viaero</w:t>
      </w:r>
      <w:r w:rsidR="00D8321F">
        <w:t>)</w:t>
      </w:r>
      <w:r w:rsidR="000D15DB">
        <w:t>,</w:t>
      </w:r>
      <w:r w:rsidRPr="00640A95" w:rsidR="00D8321F">
        <w:rPr>
          <w:spacing w:val="-2"/>
        </w:rPr>
        <w:t xml:space="preserve"> </w:t>
      </w:r>
      <w:r w:rsidRPr="00640A95" w:rsidR="000D15DB">
        <w:rPr>
          <w:spacing w:val="-2"/>
        </w:rPr>
        <w:t>licensee of FCC radio station WQUP435</w:t>
      </w:r>
      <w:r w:rsidR="00E356E9">
        <w:rPr>
          <w:spacing w:val="-2"/>
        </w:rPr>
        <w:t xml:space="preserve"> in Kersey Colorado</w:t>
      </w:r>
      <w:r w:rsidRPr="00640A95" w:rsidR="000D15DB">
        <w:rPr>
          <w:spacing w:val="-2"/>
        </w:rPr>
        <w:t xml:space="preserve">, </w:t>
      </w:r>
      <w:r w:rsidRPr="006D348C">
        <w:t xml:space="preserve">for </w:t>
      </w:r>
      <w:r w:rsidR="00BC497F">
        <w:t xml:space="preserve">apparently </w:t>
      </w:r>
      <w:r w:rsidR="00FC0AF0">
        <w:t>transmitting</w:t>
      </w:r>
      <w:r w:rsidRPr="00147D19" w:rsidR="00147D19">
        <w:t xml:space="preserve"> </w:t>
      </w:r>
      <w:r w:rsidR="00147D19">
        <w:t xml:space="preserve">in the </w:t>
      </w:r>
      <w:r w:rsidRPr="00147D19" w:rsidR="00147D19">
        <w:t xml:space="preserve">3650-3700 MHz band </w:t>
      </w:r>
      <w:r w:rsidR="00D86DC3">
        <w:t>with an unregistered</w:t>
      </w:r>
      <w:r w:rsidR="0086184A">
        <w:t xml:space="preserve">, </w:t>
      </w:r>
      <w:r w:rsidR="00DF30D6">
        <w:t xml:space="preserve">and therefore </w:t>
      </w:r>
      <w:r w:rsidR="0086184A">
        <w:t>unauthorized</w:t>
      </w:r>
      <w:r w:rsidR="00DF30D6">
        <w:t>,</w:t>
      </w:r>
      <w:r w:rsidR="00D86DC3">
        <w:t xml:space="preserve"> station</w:t>
      </w:r>
      <w:r w:rsidRPr="006D348C">
        <w:t>.</w:t>
      </w:r>
      <w:r>
        <w:rPr>
          <w:rStyle w:val="FootnoteReference"/>
        </w:rPr>
        <w:footnoteReference w:id="3"/>
      </w:r>
      <w:r w:rsidRPr="006D348C">
        <w:t xml:space="preserve">  </w:t>
      </w:r>
      <w:r w:rsidRPr="006D348C" w:rsidR="008052C2">
        <w:t xml:space="preserve">Operating </w:t>
      </w:r>
      <w:r w:rsidR="00FC0AF0">
        <w:t>an</w:t>
      </w:r>
      <w:r w:rsidRPr="006D348C" w:rsidR="00FC0AF0">
        <w:t xml:space="preserve"> </w:t>
      </w:r>
      <w:r w:rsidR="00147D19">
        <w:t xml:space="preserve">unregistered </w:t>
      </w:r>
      <w:r w:rsidR="00286D1D">
        <w:t xml:space="preserve">station </w:t>
      </w:r>
      <w:r w:rsidR="00147D19">
        <w:t xml:space="preserve">in the </w:t>
      </w:r>
      <w:r w:rsidRPr="00147D19" w:rsidR="00147D19">
        <w:t>3650-3700 MHz band</w:t>
      </w:r>
      <w:r w:rsidRPr="006D348C" w:rsidR="008052C2">
        <w:t xml:space="preserve"> is illegal under </w:t>
      </w:r>
      <w:r w:rsidR="00E57629">
        <w:t xml:space="preserve">Section 301 of the Communications Act of 1934, as amended (Act) and </w:t>
      </w:r>
      <w:r w:rsidR="0086184A">
        <w:t>S</w:t>
      </w:r>
      <w:r w:rsidR="00ED333E">
        <w:t>ections 1.903</w:t>
      </w:r>
      <w:r w:rsidR="00787679">
        <w:t>(a)</w:t>
      </w:r>
      <w:r w:rsidR="00ED333E">
        <w:t xml:space="preserve"> and 90.1307(a) of the Commission’s rules</w:t>
      </w:r>
      <w:r w:rsidRPr="006D348C" w:rsidR="008052C2">
        <w:t>.</w:t>
      </w:r>
      <w:r>
        <w:rPr>
          <w:rStyle w:val="FootnoteReference"/>
        </w:rPr>
        <w:footnoteReference w:id="4"/>
      </w:r>
      <w:r w:rsidRPr="006D348C" w:rsidR="008052C2">
        <w:t xml:space="preserve"> </w:t>
      </w:r>
      <w:r w:rsidR="0086184A">
        <w:t xml:space="preserve"> </w:t>
      </w:r>
      <w:r w:rsidR="001473FA">
        <w:t xml:space="preserve">Such </w:t>
      </w:r>
      <w:r w:rsidR="0086184A">
        <w:t>u</w:t>
      </w:r>
      <w:r w:rsidR="00ED333E">
        <w:t>nregistered</w:t>
      </w:r>
      <w:r w:rsidRPr="006D348C" w:rsidR="00ED333E">
        <w:t xml:space="preserve"> </w:t>
      </w:r>
      <w:r w:rsidRPr="006D348C" w:rsidR="008052C2">
        <w:t>station</w:t>
      </w:r>
      <w:r w:rsidR="001473FA">
        <w:t>s</w:t>
      </w:r>
      <w:r w:rsidRPr="006D348C" w:rsidR="008052C2">
        <w:t xml:space="preserve"> undermine the Commission’s primary mission to manage radio spectrum.  </w:t>
      </w:r>
      <w:bookmarkStart w:id="3" w:name="_Hlk181462"/>
      <w:bookmarkStart w:id="4" w:name="_Hlk181519"/>
      <w:r w:rsidR="000C4E84">
        <w:t xml:space="preserve">This spectrum </w:t>
      </w:r>
      <w:r w:rsidR="00640A95">
        <w:t>band is shared</w:t>
      </w:r>
      <w:bookmarkEnd w:id="3"/>
      <w:bookmarkEnd w:id="4"/>
      <w:r w:rsidRPr="00E62526" w:rsidR="00E62526">
        <w:t xml:space="preserve"> by a limited number of DoD radar systems, </w:t>
      </w:r>
      <w:r w:rsidRPr="00712E8D" w:rsidR="00ED7AFC">
        <w:t xml:space="preserve">fixed satellite service </w:t>
      </w:r>
      <w:r w:rsidRPr="00E62526" w:rsidR="00E62526">
        <w:t xml:space="preserve">earth stations, </w:t>
      </w:r>
      <w:r w:rsidR="00DF30D6">
        <w:t xml:space="preserve">certain </w:t>
      </w:r>
      <w:r w:rsidRPr="00E62526" w:rsidR="00E62526">
        <w:t xml:space="preserve">wireless </w:t>
      </w:r>
      <w:r w:rsidR="0086184A">
        <w:t>broadband service</w:t>
      </w:r>
      <w:r w:rsidR="00DF30D6">
        <w:t>s</w:t>
      </w:r>
      <w:r w:rsidR="0086184A">
        <w:t xml:space="preserve"> </w:t>
      </w:r>
      <w:r w:rsidR="00DF30D6">
        <w:t>(</w:t>
      </w:r>
      <w:r w:rsidRPr="00E62526" w:rsidR="00E62526">
        <w:t>authorized under Part 90, subpart Z of the Commission’s rules</w:t>
      </w:r>
      <w:r w:rsidR="00DF30D6">
        <w:t>), and, in the future, the citizens band radio service (Part 60 of the Commission’s rules)</w:t>
      </w:r>
      <w:r w:rsidR="00640A95">
        <w:t>.</w:t>
      </w:r>
      <w:r>
        <w:rPr>
          <w:rStyle w:val="FootnoteReference"/>
        </w:rPr>
        <w:footnoteReference w:id="5"/>
      </w:r>
      <w:r w:rsidR="00640A95">
        <w:t xml:space="preserve">  </w:t>
      </w:r>
      <w:r w:rsidR="00CC638D">
        <w:t>Because this</w:t>
      </w:r>
      <w:r w:rsidR="00DA71DA">
        <w:t xml:space="preserve"> band operates on a shared basis</w:t>
      </w:r>
      <w:r w:rsidR="001473FA">
        <w:t>,</w:t>
      </w:r>
      <w:r w:rsidR="00B00C90">
        <w:t xml:space="preserve"> knowledge of the location of the registered emitters is essential</w:t>
      </w:r>
      <w:r w:rsidR="007E7899">
        <w:t xml:space="preserve"> for frequency coordination</w:t>
      </w:r>
      <w:r w:rsidR="001473FA">
        <w:t>.</w:t>
      </w:r>
      <w:r w:rsidR="00CC638D">
        <w:t xml:space="preserve"> </w:t>
      </w:r>
      <w:r w:rsidR="00EE70F3">
        <w:t xml:space="preserve"> </w:t>
      </w:r>
      <w:r w:rsidR="001473FA">
        <w:t>U</w:t>
      </w:r>
      <w:r w:rsidR="00CC638D">
        <w:t xml:space="preserve">nregistered stations </w:t>
      </w:r>
      <w:r w:rsidRPr="006D348C" w:rsidR="00CC638D">
        <w:t xml:space="preserve">can </w:t>
      </w:r>
      <w:r w:rsidR="007E7899">
        <w:t xml:space="preserve">undermine successful coordination and </w:t>
      </w:r>
      <w:r w:rsidR="00EE70F3">
        <w:t xml:space="preserve">cause </w:t>
      </w:r>
      <w:r w:rsidR="007E7899">
        <w:t>harmful interfere</w:t>
      </w:r>
      <w:r w:rsidR="00EE70F3">
        <w:t>nce</w:t>
      </w:r>
      <w:r w:rsidRPr="006D348C" w:rsidR="007E7899">
        <w:t xml:space="preserve"> </w:t>
      </w:r>
      <w:r w:rsidR="00DC535A">
        <w:t>to</w:t>
      </w:r>
      <w:r w:rsidRPr="006D348C" w:rsidR="00CC638D">
        <w:t xml:space="preserve"> </w:t>
      </w:r>
      <w:r w:rsidR="00CC638D">
        <w:t xml:space="preserve">other </w:t>
      </w:r>
      <w:r w:rsidRPr="006D348C" w:rsidR="00CC638D">
        <w:t xml:space="preserve">licensed </w:t>
      </w:r>
      <w:r w:rsidR="00CC329A">
        <w:t>stations</w:t>
      </w:r>
      <w:r w:rsidR="00E92856">
        <w:t xml:space="preserve">. </w:t>
      </w:r>
      <w:r w:rsidR="00364B6C">
        <w:t xml:space="preserve"> </w:t>
      </w:r>
      <w:r w:rsidRPr="006D348C" w:rsidR="008052C2">
        <w:t xml:space="preserve">Accordingly, </w:t>
      </w:r>
      <w:r w:rsidRPr="006D348C">
        <w:t xml:space="preserve">Commission action in this area </w:t>
      </w:r>
      <w:r w:rsidR="00CC329A">
        <w:t xml:space="preserve">against unregistered operators </w:t>
      </w:r>
      <w:r w:rsidRPr="006D348C">
        <w:t>is essential.</w:t>
      </w:r>
    </w:p>
    <w:bookmarkEnd w:id="1"/>
    <w:p w:rsidR="00B231A2" w:rsidRPr="006D348C" w:rsidP="00EE5672" w14:paraId="5B059883" w14:textId="77777777">
      <w:pPr>
        <w:pStyle w:val="Heading1"/>
        <w:widowControl/>
      </w:pPr>
      <w:r w:rsidRPr="006D348C">
        <w:t>Background</w:t>
      </w:r>
    </w:p>
    <w:p w:rsidR="002A32CE" w:rsidRPr="006D348C" w:rsidP="00EE5672" w14:paraId="00B8D1B4" w14:textId="77777777">
      <w:pPr>
        <w:pStyle w:val="ParaNum"/>
        <w:widowControl/>
      </w:pPr>
      <w:r w:rsidRPr="006D348C">
        <w:t xml:space="preserve">On </w:t>
      </w:r>
      <w:r w:rsidR="00E92856">
        <w:t>February</w:t>
      </w:r>
      <w:r w:rsidRPr="006D348C" w:rsidR="00E92856">
        <w:t xml:space="preserve"> </w:t>
      </w:r>
      <w:r w:rsidRPr="006D348C" w:rsidR="00561F16">
        <w:t>8</w:t>
      </w:r>
      <w:r w:rsidRPr="006D348C">
        <w:t xml:space="preserve">, </w:t>
      </w:r>
      <w:r w:rsidRPr="006D348C" w:rsidR="00E92856">
        <w:t>201</w:t>
      </w:r>
      <w:r w:rsidR="00E92856">
        <w:t>8</w:t>
      </w:r>
      <w:r w:rsidRPr="006D348C">
        <w:t xml:space="preserve">, the </w:t>
      </w:r>
      <w:r w:rsidRPr="006D348C" w:rsidR="00D81757">
        <w:t>Commission</w:t>
      </w:r>
      <w:r w:rsidRPr="006D348C">
        <w:t xml:space="preserve"> received a complaint </w:t>
      </w:r>
      <w:r w:rsidR="00E92856">
        <w:t>of harmful interference near Kersey, Colorado</w:t>
      </w:r>
      <w:r w:rsidR="0046775A">
        <w:t xml:space="preserve"> to licensed and registered base stations operating in the </w:t>
      </w:r>
      <w:r w:rsidRPr="00147D19" w:rsidR="0046775A">
        <w:t>3650-3700 MHz</w:t>
      </w:r>
      <w:r w:rsidR="0046775A">
        <w:t xml:space="preserve"> band</w:t>
      </w:r>
      <w:r w:rsidRPr="006D348C">
        <w:t xml:space="preserve">.  On </w:t>
      </w:r>
      <w:r w:rsidR="00E92856">
        <w:t>February 13</w:t>
      </w:r>
      <w:r w:rsidRPr="006D348C">
        <w:t xml:space="preserve">, </w:t>
      </w:r>
      <w:r w:rsidRPr="006D348C" w:rsidR="00E92856">
        <w:t>201</w:t>
      </w:r>
      <w:r w:rsidR="00E92856">
        <w:t>8</w:t>
      </w:r>
      <w:r w:rsidRPr="006D348C">
        <w:t xml:space="preserve">, </w:t>
      </w:r>
      <w:r w:rsidRPr="006D348C" w:rsidR="00C27425">
        <w:t>an agent</w:t>
      </w:r>
      <w:r w:rsidRPr="006D348C">
        <w:t xml:space="preserve"> from the Enforcement Bureau</w:t>
      </w:r>
      <w:r w:rsidRPr="006D348C" w:rsidR="00D81757">
        <w:t>’s</w:t>
      </w:r>
      <w:r w:rsidRPr="006D348C">
        <w:t xml:space="preserve"> </w:t>
      </w:r>
      <w:r w:rsidRPr="006D348C" w:rsidR="009B18C8">
        <w:t xml:space="preserve">(Bureau) </w:t>
      </w:r>
      <w:r w:rsidR="00E92856">
        <w:t>Denver</w:t>
      </w:r>
      <w:r w:rsidRPr="006D348C" w:rsidR="00F15F18">
        <w:t xml:space="preserve"> </w:t>
      </w:r>
      <w:r w:rsidRPr="006D348C">
        <w:t xml:space="preserve">Field Office </w:t>
      </w:r>
      <w:r w:rsidRPr="006D348C" w:rsidR="004F4DE0">
        <w:t>(</w:t>
      </w:r>
      <w:r w:rsidR="00E92856">
        <w:t>Denver</w:t>
      </w:r>
      <w:r w:rsidRPr="006D348C" w:rsidR="00F15F18">
        <w:t xml:space="preserve"> </w:t>
      </w:r>
      <w:r w:rsidRPr="006D348C">
        <w:t xml:space="preserve">Office) </w:t>
      </w:r>
      <w:r w:rsidRPr="006D348C" w:rsidR="00F34F10">
        <w:t xml:space="preserve">began </w:t>
      </w:r>
      <w:r w:rsidRPr="006D348C">
        <w:t>investigating the complaint</w:t>
      </w:r>
      <w:r w:rsidR="00FC0AF0">
        <w:t>.  U</w:t>
      </w:r>
      <w:r w:rsidR="00F6470F">
        <w:t>sing</w:t>
      </w:r>
      <w:r w:rsidRPr="006D348C" w:rsidR="00CB24C9">
        <w:rPr>
          <w:szCs w:val="22"/>
        </w:rPr>
        <w:t xml:space="preserve"> direction-finding techniques, </w:t>
      </w:r>
      <w:r w:rsidR="00FC0AF0">
        <w:rPr>
          <w:szCs w:val="22"/>
        </w:rPr>
        <w:t xml:space="preserve">the agent </w:t>
      </w:r>
      <w:r w:rsidRPr="006D348C">
        <w:rPr>
          <w:szCs w:val="22"/>
        </w:rPr>
        <w:t>determine</w:t>
      </w:r>
      <w:r w:rsidRPr="006D348C" w:rsidR="00CB24C9">
        <w:rPr>
          <w:szCs w:val="22"/>
        </w:rPr>
        <w:t>d</w:t>
      </w:r>
      <w:r w:rsidRPr="006D348C">
        <w:rPr>
          <w:szCs w:val="22"/>
        </w:rPr>
        <w:t xml:space="preserve"> that the source</w:t>
      </w:r>
      <w:r w:rsidR="00F6470F">
        <w:rPr>
          <w:szCs w:val="22"/>
        </w:rPr>
        <w:t xml:space="preserve"> of the</w:t>
      </w:r>
      <w:r w:rsidRPr="006D348C">
        <w:rPr>
          <w:szCs w:val="22"/>
        </w:rPr>
        <w:t xml:space="preserve"> </w:t>
      </w:r>
      <w:r w:rsidR="00F6470F">
        <w:rPr>
          <w:szCs w:val="22"/>
        </w:rPr>
        <w:t>interference was</w:t>
      </w:r>
      <w:r w:rsidR="00447122">
        <w:rPr>
          <w:szCs w:val="22"/>
        </w:rPr>
        <w:t xml:space="preserve"> a transmission</w:t>
      </w:r>
      <w:r w:rsidR="00F6470F">
        <w:rPr>
          <w:szCs w:val="22"/>
        </w:rPr>
        <w:t xml:space="preserve"> </w:t>
      </w:r>
      <w:r w:rsidR="001473FA">
        <w:rPr>
          <w:szCs w:val="22"/>
        </w:rPr>
        <w:t xml:space="preserve">by </w:t>
      </w:r>
      <w:r w:rsidR="001473FA">
        <w:rPr>
          <w:szCs w:val="22"/>
        </w:rPr>
        <w:t>Viaero</w:t>
      </w:r>
      <w:r w:rsidR="001473FA">
        <w:rPr>
          <w:szCs w:val="22"/>
        </w:rPr>
        <w:t xml:space="preserve"> </w:t>
      </w:r>
      <w:r w:rsidR="00F6470F">
        <w:rPr>
          <w:szCs w:val="22"/>
        </w:rPr>
        <w:t xml:space="preserve">from </w:t>
      </w:r>
      <w:r w:rsidR="00D735E7">
        <w:rPr>
          <w:szCs w:val="22"/>
        </w:rPr>
        <w:t xml:space="preserve">a communications tower with </w:t>
      </w:r>
      <w:r w:rsidR="00F6470F">
        <w:rPr>
          <w:szCs w:val="22"/>
        </w:rPr>
        <w:t>FCC Antenna Structure Registration #1278898</w:t>
      </w:r>
      <w:r w:rsidR="00DF30D6">
        <w:rPr>
          <w:szCs w:val="22"/>
        </w:rPr>
        <w:t>,</w:t>
      </w:r>
      <w:r>
        <w:rPr>
          <w:rStyle w:val="FootnoteReference"/>
          <w:szCs w:val="22"/>
        </w:rPr>
        <w:footnoteReference w:id="6"/>
      </w:r>
      <w:r w:rsidR="00F6470F">
        <w:rPr>
          <w:szCs w:val="22"/>
        </w:rPr>
        <w:t xml:space="preserve"> near Kersey, Colorado</w:t>
      </w:r>
      <w:r w:rsidRPr="006D348C" w:rsidR="00F6470F">
        <w:rPr>
          <w:szCs w:val="22"/>
        </w:rPr>
        <w:t xml:space="preserve"> </w:t>
      </w:r>
      <w:r w:rsidRPr="006D348C" w:rsidR="00B30149">
        <w:rPr>
          <w:szCs w:val="22"/>
        </w:rPr>
        <w:t>(</w:t>
      </w:r>
      <w:r w:rsidR="00F6470F">
        <w:rPr>
          <w:szCs w:val="22"/>
        </w:rPr>
        <w:t>Kersey</w:t>
      </w:r>
      <w:r w:rsidRPr="006D348C" w:rsidR="00561F16">
        <w:rPr>
          <w:szCs w:val="22"/>
        </w:rPr>
        <w:t xml:space="preserve"> </w:t>
      </w:r>
      <w:r w:rsidR="00FC0AF0">
        <w:rPr>
          <w:szCs w:val="22"/>
        </w:rPr>
        <w:t>Location</w:t>
      </w:r>
      <w:r w:rsidRPr="006D348C" w:rsidR="00B30149">
        <w:rPr>
          <w:szCs w:val="22"/>
        </w:rPr>
        <w:t>)</w:t>
      </w:r>
      <w:r w:rsidRPr="006D348C">
        <w:rPr>
          <w:szCs w:val="22"/>
        </w:rPr>
        <w:t>.</w:t>
      </w:r>
      <w:r w:rsidRPr="006D348C" w:rsidR="00CB24C9">
        <w:rPr>
          <w:szCs w:val="22"/>
        </w:rPr>
        <w:t xml:space="preserve"> </w:t>
      </w:r>
      <w:r w:rsidRPr="006D348C">
        <w:rPr>
          <w:szCs w:val="22"/>
        </w:rPr>
        <w:t xml:space="preserve"> </w:t>
      </w:r>
      <w:r w:rsidRPr="006D348C" w:rsidR="00CB24C9">
        <w:rPr>
          <w:szCs w:val="22"/>
        </w:rPr>
        <w:t xml:space="preserve">The agent </w:t>
      </w:r>
      <w:r w:rsidR="0078687F">
        <w:rPr>
          <w:szCs w:val="22"/>
        </w:rPr>
        <w:t xml:space="preserve">contacted </w:t>
      </w:r>
      <w:r w:rsidR="0078687F">
        <w:rPr>
          <w:szCs w:val="22"/>
        </w:rPr>
        <w:t>Vi</w:t>
      </w:r>
      <w:r w:rsidR="00FC0AF0">
        <w:rPr>
          <w:szCs w:val="22"/>
        </w:rPr>
        <w:t>a</w:t>
      </w:r>
      <w:r w:rsidR="0078687F">
        <w:rPr>
          <w:szCs w:val="22"/>
        </w:rPr>
        <w:t>ero</w:t>
      </w:r>
      <w:r w:rsidR="00D735E7">
        <w:rPr>
          <w:szCs w:val="22"/>
        </w:rPr>
        <w:t>,</w:t>
      </w:r>
      <w:r w:rsidR="0078687F">
        <w:rPr>
          <w:szCs w:val="22"/>
        </w:rPr>
        <w:t xml:space="preserve"> </w:t>
      </w:r>
      <w:r w:rsidR="00FC0AF0">
        <w:rPr>
          <w:szCs w:val="22"/>
        </w:rPr>
        <w:t>which</w:t>
      </w:r>
      <w:r w:rsidR="0078687F">
        <w:rPr>
          <w:szCs w:val="22"/>
        </w:rPr>
        <w:t xml:space="preserve"> agreed to end </w:t>
      </w:r>
      <w:r w:rsidR="00447122">
        <w:rPr>
          <w:szCs w:val="22"/>
        </w:rPr>
        <w:t xml:space="preserve">the </w:t>
      </w:r>
      <w:r w:rsidR="00E356E9">
        <w:rPr>
          <w:szCs w:val="22"/>
        </w:rPr>
        <w:t xml:space="preserve">3650-3700 MHz band </w:t>
      </w:r>
      <w:r w:rsidR="0078687F">
        <w:rPr>
          <w:szCs w:val="22"/>
        </w:rPr>
        <w:t xml:space="preserve">transmission from the Kersey </w:t>
      </w:r>
      <w:r w:rsidR="00FC0AF0">
        <w:rPr>
          <w:szCs w:val="22"/>
        </w:rPr>
        <w:t xml:space="preserve">Location.  The agent </w:t>
      </w:r>
      <w:r w:rsidR="0078687F">
        <w:rPr>
          <w:szCs w:val="22"/>
        </w:rPr>
        <w:t xml:space="preserve">confirmed with the complainant that the interference subsequently ceased. </w:t>
      </w:r>
      <w:r w:rsidR="00681F6B">
        <w:rPr>
          <w:szCs w:val="22"/>
        </w:rPr>
        <w:t xml:space="preserve"> </w:t>
      </w:r>
      <w:r w:rsidR="00FC0AF0">
        <w:rPr>
          <w:szCs w:val="22"/>
        </w:rPr>
        <w:t>The</w:t>
      </w:r>
      <w:r w:rsidRPr="006D348C" w:rsidR="007C7BD3">
        <w:t xml:space="preserve"> agent </w:t>
      </w:r>
      <w:r w:rsidR="00FC0AF0">
        <w:t xml:space="preserve">also </w:t>
      </w:r>
      <w:r w:rsidRPr="006D348C" w:rsidR="007C7BD3">
        <w:t xml:space="preserve">consulted the Commission’s records and confirmed that </w:t>
      </w:r>
      <w:r w:rsidR="0078687F">
        <w:t>Vi</w:t>
      </w:r>
      <w:r w:rsidR="003F6558">
        <w:t>a</w:t>
      </w:r>
      <w:r w:rsidR="0078687F">
        <w:t>ero</w:t>
      </w:r>
      <w:r w:rsidRPr="006D348C" w:rsidR="0078687F">
        <w:t xml:space="preserve"> </w:t>
      </w:r>
      <w:r w:rsidR="00447122">
        <w:t>had</w:t>
      </w:r>
      <w:r w:rsidRPr="006D348C" w:rsidR="00447122">
        <w:t xml:space="preserve"> </w:t>
      </w:r>
      <w:r w:rsidRPr="006D348C" w:rsidR="007C7BD3">
        <w:t xml:space="preserve">not </w:t>
      </w:r>
      <w:r w:rsidR="0078687F">
        <w:t xml:space="preserve">registered </w:t>
      </w:r>
      <w:r w:rsidRPr="006D348C" w:rsidR="007C7BD3">
        <w:t xml:space="preserve">to operate at or near the </w:t>
      </w:r>
      <w:r w:rsidR="0078687F">
        <w:t xml:space="preserve">Kersey </w:t>
      </w:r>
      <w:r w:rsidR="00ED333E">
        <w:t>Location</w:t>
      </w:r>
      <w:r w:rsidRPr="006D348C" w:rsidR="007C7BD3">
        <w:t xml:space="preserve">.  </w:t>
      </w:r>
    </w:p>
    <w:p w:rsidR="00450208" w:rsidP="00EE5672" w14:paraId="4D51A062" w14:textId="77777777">
      <w:pPr>
        <w:pStyle w:val="ParaNum"/>
        <w:widowControl/>
      </w:pPr>
      <w:r w:rsidRPr="006D348C">
        <w:rPr>
          <w:szCs w:val="22"/>
        </w:rPr>
        <w:t xml:space="preserve">On </w:t>
      </w:r>
      <w:r w:rsidR="0078687F">
        <w:rPr>
          <w:szCs w:val="22"/>
        </w:rPr>
        <w:t>April 4</w:t>
      </w:r>
      <w:r w:rsidRPr="006D348C">
        <w:rPr>
          <w:szCs w:val="22"/>
        </w:rPr>
        <w:t xml:space="preserve">, </w:t>
      </w:r>
      <w:r w:rsidRPr="006D348C" w:rsidR="0078687F">
        <w:rPr>
          <w:szCs w:val="22"/>
        </w:rPr>
        <w:t>201</w:t>
      </w:r>
      <w:r w:rsidR="0078687F">
        <w:rPr>
          <w:szCs w:val="22"/>
        </w:rPr>
        <w:t>8</w:t>
      </w:r>
      <w:r w:rsidRPr="006D348C">
        <w:rPr>
          <w:szCs w:val="22"/>
        </w:rPr>
        <w:t xml:space="preserve">, the </w:t>
      </w:r>
      <w:r w:rsidRPr="006D348C" w:rsidR="0078687F">
        <w:t>Bureau’s</w:t>
      </w:r>
      <w:r w:rsidR="0078687F">
        <w:t xml:space="preserve"> </w:t>
      </w:r>
      <w:r w:rsidR="00D735E7">
        <w:t xml:space="preserve">Regional Director for Region Three </w:t>
      </w:r>
      <w:r w:rsidRPr="006D348C" w:rsidR="009B18C8">
        <w:rPr>
          <w:szCs w:val="22"/>
        </w:rPr>
        <w:t xml:space="preserve">mailed </w:t>
      </w:r>
      <w:r w:rsidR="0078687F">
        <w:rPr>
          <w:szCs w:val="22"/>
        </w:rPr>
        <w:t>Vi</w:t>
      </w:r>
      <w:r w:rsidR="003F6558">
        <w:rPr>
          <w:szCs w:val="22"/>
        </w:rPr>
        <w:t>a</w:t>
      </w:r>
      <w:r w:rsidR="0078687F">
        <w:rPr>
          <w:szCs w:val="22"/>
        </w:rPr>
        <w:t>ero</w:t>
      </w:r>
      <w:r w:rsidRPr="006D348C" w:rsidR="00247019">
        <w:rPr>
          <w:szCs w:val="22"/>
        </w:rPr>
        <w:t xml:space="preserve"> </w:t>
      </w:r>
      <w:r w:rsidRPr="006D348C" w:rsidR="0012237E">
        <w:rPr>
          <w:szCs w:val="22"/>
        </w:rPr>
        <w:t xml:space="preserve">a Notice of </w:t>
      </w:r>
      <w:r w:rsidR="0078687F">
        <w:rPr>
          <w:szCs w:val="22"/>
        </w:rPr>
        <w:t>Violation</w:t>
      </w:r>
      <w:r w:rsidRPr="006D348C" w:rsidR="0012237E">
        <w:rPr>
          <w:szCs w:val="22"/>
        </w:rPr>
        <w:t xml:space="preserve"> (</w:t>
      </w:r>
      <w:r w:rsidR="0078687F">
        <w:rPr>
          <w:szCs w:val="22"/>
        </w:rPr>
        <w:t>NOV</w:t>
      </w:r>
      <w:r w:rsidRPr="006D348C" w:rsidR="0012237E">
        <w:rPr>
          <w:szCs w:val="22"/>
        </w:rPr>
        <w:t>)</w:t>
      </w:r>
      <w:r w:rsidRPr="006D348C" w:rsidR="00423B47">
        <w:rPr>
          <w:szCs w:val="22"/>
        </w:rPr>
        <w:t xml:space="preserve"> relat</w:t>
      </w:r>
      <w:r w:rsidRPr="006D348C" w:rsidR="001267BA">
        <w:rPr>
          <w:szCs w:val="22"/>
        </w:rPr>
        <w:t xml:space="preserve">ing to the </w:t>
      </w:r>
      <w:r w:rsidR="0078687F">
        <w:rPr>
          <w:szCs w:val="22"/>
        </w:rPr>
        <w:t>unregistered</w:t>
      </w:r>
      <w:r w:rsidRPr="006D348C" w:rsidR="0078687F">
        <w:rPr>
          <w:szCs w:val="22"/>
        </w:rPr>
        <w:t xml:space="preserve"> </w:t>
      </w:r>
      <w:r w:rsidRPr="006D348C" w:rsidR="001267BA">
        <w:rPr>
          <w:szCs w:val="22"/>
        </w:rPr>
        <w:t>operation</w:t>
      </w:r>
      <w:r w:rsidRPr="006D348C" w:rsidR="00423B47">
        <w:rPr>
          <w:szCs w:val="22"/>
        </w:rPr>
        <w:t xml:space="preserve"> on </w:t>
      </w:r>
      <w:r w:rsidR="0078687F">
        <w:rPr>
          <w:szCs w:val="22"/>
        </w:rPr>
        <w:t>February</w:t>
      </w:r>
      <w:r w:rsidRPr="006D348C" w:rsidR="0078687F">
        <w:rPr>
          <w:szCs w:val="22"/>
        </w:rPr>
        <w:t xml:space="preserve"> </w:t>
      </w:r>
      <w:r w:rsidR="0078687F">
        <w:rPr>
          <w:szCs w:val="22"/>
        </w:rPr>
        <w:t>13</w:t>
      </w:r>
      <w:r w:rsidRPr="006D348C" w:rsidR="00423B47">
        <w:rPr>
          <w:szCs w:val="22"/>
        </w:rPr>
        <w:t xml:space="preserve">, </w:t>
      </w:r>
      <w:r w:rsidRPr="006D348C" w:rsidR="00247019">
        <w:rPr>
          <w:szCs w:val="22"/>
        </w:rPr>
        <w:t>201</w:t>
      </w:r>
      <w:r w:rsidR="0078687F">
        <w:rPr>
          <w:szCs w:val="22"/>
        </w:rPr>
        <w:t>8</w:t>
      </w:r>
      <w:r w:rsidRPr="006D348C">
        <w:rPr>
          <w:szCs w:val="22"/>
        </w:rPr>
        <w:t>.</w:t>
      </w:r>
      <w:r>
        <w:rPr>
          <w:rStyle w:val="FootnoteReference"/>
          <w:sz w:val="22"/>
          <w:szCs w:val="22"/>
        </w:rPr>
        <w:footnoteReference w:id="7"/>
      </w:r>
      <w:r w:rsidRPr="006D348C">
        <w:t xml:space="preserve"> </w:t>
      </w:r>
      <w:r w:rsidRPr="006D348C" w:rsidR="00F623AD">
        <w:t xml:space="preserve"> The </w:t>
      </w:r>
      <w:r w:rsidR="0078687F">
        <w:t>NOV</w:t>
      </w:r>
      <w:r w:rsidRPr="006D348C" w:rsidR="00F623AD">
        <w:t xml:space="preserve"> stated that a Commission agent has determined that </w:t>
      </w:r>
      <w:r w:rsidR="0078687F">
        <w:t>Vi</w:t>
      </w:r>
      <w:r w:rsidR="003F6558">
        <w:t>a</w:t>
      </w:r>
      <w:r w:rsidR="0078687F">
        <w:t>ero</w:t>
      </w:r>
      <w:r w:rsidR="0078687F">
        <w:t xml:space="preserve"> </w:t>
      </w:r>
      <w:r w:rsidRPr="006D348C" w:rsidR="00F623AD">
        <w:t xml:space="preserve">was </w:t>
      </w:r>
      <w:r w:rsidR="00447122">
        <w:t>transmitting</w:t>
      </w:r>
      <w:r w:rsidRPr="006D348C" w:rsidR="0078687F">
        <w:t xml:space="preserve"> </w:t>
      </w:r>
      <w:r w:rsidR="00D704AE">
        <w:t xml:space="preserve">in the </w:t>
      </w:r>
      <w:r w:rsidRPr="00147D19" w:rsidR="00D704AE">
        <w:t>3650-3700 MHz band</w:t>
      </w:r>
      <w:r w:rsidRPr="006D348C" w:rsidR="00D704AE">
        <w:t xml:space="preserve"> </w:t>
      </w:r>
      <w:r w:rsidRPr="006D348C" w:rsidR="00F623AD">
        <w:t xml:space="preserve">from </w:t>
      </w:r>
      <w:r w:rsidR="00D704AE">
        <w:rPr>
          <w:szCs w:val="22"/>
        </w:rPr>
        <w:t>t</w:t>
      </w:r>
      <w:r w:rsidR="0078687F">
        <w:rPr>
          <w:szCs w:val="22"/>
        </w:rPr>
        <w:t xml:space="preserve">he Kersey </w:t>
      </w:r>
      <w:r w:rsidR="00D704AE">
        <w:rPr>
          <w:szCs w:val="22"/>
        </w:rPr>
        <w:t>Location</w:t>
      </w:r>
      <w:r w:rsidRPr="006D348C" w:rsidR="00F623AD">
        <w:rPr>
          <w:szCs w:val="22"/>
        </w:rPr>
        <w:t xml:space="preserve"> and that </w:t>
      </w:r>
      <w:r w:rsidR="0078687F">
        <w:rPr>
          <w:szCs w:val="22"/>
        </w:rPr>
        <w:t>Vi</w:t>
      </w:r>
      <w:r w:rsidR="003F6558">
        <w:rPr>
          <w:szCs w:val="22"/>
        </w:rPr>
        <w:t>a</w:t>
      </w:r>
      <w:r w:rsidR="0078687F">
        <w:rPr>
          <w:szCs w:val="22"/>
        </w:rPr>
        <w:t>ero</w:t>
      </w:r>
      <w:r w:rsidR="0078687F">
        <w:rPr>
          <w:szCs w:val="22"/>
        </w:rPr>
        <w:t xml:space="preserve"> had not registered </w:t>
      </w:r>
      <w:r w:rsidR="00447122">
        <w:rPr>
          <w:szCs w:val="22"/>
        </w:rPr>
        <w:t xml:space="preserve">to </w:t>
      </w:r>
      <w:r w:rsidRPr="006D348C" w:rsidR="00F623AD">
        <w:rPr>
          <w:szCs w:val="22"/>
        </w:rPr>
        <w:t>operate at that location.</w:t>
      </w:r>
      <w:r>
        <w:rPr>
          <w:rStyle w:val="FootnoteReference"/>
          <w:szCs w:val="22"/>
        </w:rPr>
        <w:footnoteReference w:id="8"/>
      </w:r>
      <w:r w:rsidRPr="006D348C" w:rsidR="00F623AD">
        <w:rPr>
          <w:szCs w:val="22"/>
        </w:rPr>
        <w:t xml:space="preserve">  It also stated that the operation was in violation of </w:t>
      </w:r>
      <w:r w:rsidR="0078687F">
        <w:t>Sections 1.903(a) and 90.1307(a)</w:t>
      </w:r>
      <w:r w:rsidRPr="006D348C" w:rsidR="0078687F">
        <w:rPr>
          <w:szCs w:val="22"/>
        </w:rPr>
        <w:t xml:space="preserve"> </w:t>
      </w:r>
      <w:r w:rsidRPr="006D348C" w:rsidR="00F623AD">
        <w:rPr>
          <w:szCs w:val="22"/>
        </w:rPr>
        <w:t>of the Commission’s rules.</w:t>
      </w:r>
      <w:r>
        <w:rPr>
          <w:rStyle w:val="FootnoteReference"/>
          <w:szCs w:val="22"/>
        </w:rPr>
        <w:footnoteReference w:id="9"/>
      </w:r>
      <w:r w:rsidRPr="006D348C" w:rsidR="00E01E5B">
        <w:t xml:space="preserve">  </w:t>
      </w:r>
      <w:r>
        <w:t xml:space="preserve">The NOV ordered </w:t>
      </w:r>
      <w:r>
        <w:t>Vi</w:t>
      </w:r>
      <w:r w:rsidR="003F6558">
        <w:t>a</w:t>
      </w:r>
      <w:r>
        <w:t>ero</w:t>
      </w:r>
      <w:r>
        <w:t xml:space="preserve"> to respond and fully explain each violation, including all relevant surrounding facts and circumstances, make a statement of the specific action(s) taken to correct each violation and preclude recurrence</w:t>
      </w:r>
      <w:r w:rsidR="00447122">
        <w:t>, and</w:t>
      </w:r>
      <w:r>
        <w:t xml:space="preserve"> include a timeline for completion of any pending corrective action(s).</w:t>
      </w:r>
      <w:r>
        <w:rPr>
          <w:rStyle w:val="FootnoteReference"/>
        </w:rPr>
        <w:footnoteReference w:id="10"/>
      </w:r>
    </w:p>
    <w:p w:rsidR="0051283C" w:rsidRPr="00AA090E" w:rsidP="00EE5672" w14:paraId="4F82C012" w14:textId="77777777">
      <w:pPr>
        <w:pStyle w:val="ParaNum"/>
        <w:widowControl/>
        <w:rPr>
          <w:szCs w:val="22"/>
        </w:rPr>
      </w:pPr>
      <w:r w:rsidRPr="006D348C">
        <w:t xml:space="preserve"> </w:t>
      </w:r>
      <w:bookmarkStart w:id="5" w:name="_Ref533159835"/>
      <w:r w:rsidRPr="006D348C">
        <w:t xml:space="preserve">On </w:t>
      </w:r>
      <w:r>
        <w:t>April 20</w:t>
      </w:r>
      <w:r w:rsidRPr="006D348C">
        <w:t xml:space="preserve">, 2018, the Commission received a response </w:t>
      </w:r>
      <w:r w:rsidR="00447122">
        <w:t xml:space="preserve">to the NOV </w:t>
      </w:r>
      <w:r w:rsidRPr="006D348C">
        <w:t xml:space="preserve">from </w:t>
      </w:r>
      <w:r>
        <w:t>Viaero</w:t>
      </w:r>
      <w:r w:rsidRPr="006D348C">
        <w:t>.</w:t>
      </w:r>
      <w:r>
        <w:rPr>
          <w:rStyle w:val="FootnoteReference"/>
        </w:rPr>
        <w:footnoteReference w:id="11"/>
      </w:r>
      <w:r w:rsidRPr="006D348C">
        <w:t xml:space="preserve">  In </w:t>
      </w:r>
      <w:r>
        <w:t xml:space="preserve">its </w:t>
      </w:r>
      <w:r w:rsidRPr="006D348C">
        <w:t>response,</w:t>
      </w:r>
      <w:r w:rsidR="00D73BC4">
        <w:t xml:space="preserve"> </w:t>
      </w:r>
      <w:r w:rsidR="00D73BC4">
        <w:t>Vi</w:t>
      </w:r>
      <w:r w:rsidR="00447122">
        <w:t>a</w:t>
      </w:r>
      <w:r w:rsidR="00D73BC4">
        <w:t>ero</w:t>
      </w:r>
      <w:r w:rsidR="00D73BC4">
        <w:t xml:space="preserve"> admitted that its engineers had </w:t>
      </w:r>
      <w:r w:rsidR="00447122">
        <w:t>transmitted</w:t>
      </w:r>
      <w:r w:rsidR="00D73BC4">
        <w:t xml:space="preserve"> </w:t>
      </w:r>
      <w:r w:rsidR="00447122">
        <w:t>from</w:t>
      </w:r>
      <w:r w:rsidR="00D73BC4">
        <w:t xml:space="preserve"> the Kersey </w:t>
      </w:r>
      <w:r w:rsidR="00ED333E">
        <w:t xml:space="preserve">Location </w:t>
      </w:r>
      <w:r w:rsidR="00447122">
        <w:t>in</w:t>
      </w:r>
      <w:r w:rsidR="002C7B99">
        <w:t xml:space="preserve"> the </w:t>
      </w:r>
      <w:r w:rsidRPr="00D73BC4" w:rsidR="00D73BC4">
        <w:t xml:space="preserve">3650-3700 MHz frequency band </w:t>
      </w:r>
      <w:r w:rsidR="00D73BC4">
        <w:t xml:space="preserve">without first registering </w:t>
      </w:r>
      <w:r w:rsidR="00287F16">
        <w:t xml:space="preserve">a station at </w:t>
      </w:r>
      <w:r w:rsidR="00D73BC4">
        <w:t>that site</w:t>
      </w:r>
      <w:r w:rsidRPr="006D348C">
        <w:rPr>
          <w:szCs w:val="22"/>
        </w:rPr>
        <w:t>.</w:t>
      </w:r>
      <w:r>
        <w:rPr>
          <w:rStyle w:val="FootnoteReference"/>
          <w:szCs w:val="22"/>
        </w:rPr>
        <w:footnoteReference w:id="12"/>
      </w:r>
      <w:r w:rsidR="00D73BC4">
        <w:rPr>
          <w:szCs w:val="22"/>
        </w:rPr>
        <w:t xml:space="preserve"> </w:t>
      </w:r>
      <w:r w:rsidR="002C7B99">
        <w:rPr>
          <w:szCs w:val="22"/>
        </w:rPr>
        <w:t xml:space="preserve"> </w:t>
      </w:r>
      <w:r w:rsidR="00D73BC4">
        <w:rPr>
          <w:szCs w:val="22"/>
        </w:rPr>
        <w:t>Viaero</w:t>
      </w:r>
      <w:r w:rsidR="00D73BC4">
        <w:rPr>
          <w:szCs w:val="22"/>
        </w:rPr>
        <w:t xml:space="preserve"> stated that “o</w:t>
      </w:r>
      <w:r w:rsidRPr="00D73BC4" w:rsidR="00D73BC4">
        <w:rPr>
          <w:szCs w:val="22"/>
        </w:rPr>
        <w:t>n or</w:t>
      </w:r>
      <w:r w:rsidR="00D73BC4">
        <w:rPr>
          <w:szCs w:val="22"/>
        </w:rPr>
        <w:t xml:space="preserve"> </w:t>
      </w:r>
      <w:r w:rsidRPr="00AA090E" w:rsidR="00D73BC4">
        <w:rPr>
          <w:szCs w:val="22"/>
        </w:rPr>
        <w:t xml:space="preserve">about February 12, 2018, </w:t>
      </w:r>
      <w:r w:rsidRPr="00AA090E" w:rsidR="00D73BC4">
        <w:rPr>
          <w:szCs w:val="22"/>
        </w:rPr>
        <w:t>Viaero's</w:t>
      </w:r>
      <w:r w:rsidRPr="00AA090E" w:rsidR="00D73BC4">
        <w:rPr>
          <w:szCs w:val="22"/>
        </w:rPr>
        <w:t xml:space="preserve"> operations team, working on the incorrect assumption that the Kersey Location had already been registered, conducted periodic testing at the Kersey Location that continued through February 13, 2018.</w:t>
      </w:r>
      <w:r w:rsidR="00D73BC4">
        <w:rPr>
          <w:szCs w:val="22"/>
        </w:rPr>
        <w:t>”</w:t>
      </w:r>
      <w:r>
        <w:rPr>
          <w:rStyle w:val="FootnoteReference"/>
          <w:szCs w:val="22"/>
        </w:rPr>
        <w:footnoteReference w:id="13"/>
      </w:r>
      <w:r w:rsidR="002C7B99">
        <w:rPr>
          <w:szCs w:val="22"/>
        </w:rPr>
        <w:t xml:space="preserve">  </w:t>
      </w:r>
      <w:r w:rsidR="00CD2B59">
        <w:rPr>
          <w:szCs w:val="22"/>
        </w:rPr>
        <w:t>It also states that it failed coordinate with other licensees prior to this testing.</w:t>
      </w:r>
      <w:r>
        <w:rPr>
          <w:rStyle w:val="FootnoteReference"/>
          <w:szCs w:val="22"/>
        </w:rPr>
        <w:footnoteReference w:id="14"/>
      </w:r>
      <w:r w:rsidR="00CD2B59">
        <w:rPr>
          <w:szCs w:val="22"/>
        </w:rPr>
        <w:t xml:space="preserve">  </w:t>
      </w:r>
      <w:r w:rsidR="002C7B99">
        <w:rPr>
          <w:szCs w:val="22"/>
        </w:rPr>
        <w:t>Further</w:t>
      </w:r>
      <w:r w:rsidR="00447122">
        <w:rPr>
          <w:szCs w:val="22"/>
        </w:rPr>
        <w:t>,</w:t>
      </w:r>
      <w:r w:rsidR="002C7B99">
        <w:rPr>
          <w:szCs w:val="22"/>
        </w:rPr>
        <w:t xml:space="preserve"> </w:t>
      </w:r>
      <w:r w:rsidR="002C7B99">
        <w:rPr>
          <w:szCs w:val="22"/>
        </w:rPr>
        <w:t>Viaero</w:t>
      </w:r>
      <w:r w:rsidR="002C7B99">
        <w:rPr>
          <w:szCs w:val="22"/>
        </w:rPr>
        <w:t xml:space="preserve"> stated that o</w:t>
      </w:r>
      <w:r w:rsidRPr="002C7B99" w:rsidR="002C7B99">
        <w:rPr>
          <w:szCs w:val="22"/>
        </w:rPr>
        <w:t>n March 29, 2018,</w:t>
      </w:r>
      <w:r w:rsidR="002C7B99">
        <w:rPr>
          <w:szCs w:val="22"/>
        </w:rPr>
        <w:t xml:space="preserve"> it</w:t>
      </w:r>
      <w:r w:rsidRPr="00AA090E" w:rsidR="002C7B99">
        <w:rPr>
          <w:szCs w:val="22"/>
        </w:rPr>
        <w:t xml:space="preserve"> registered the Kersey </w:t>
      </w:r>
      <w:r w:rsidR="00ED333E">
        <w:rPr>
          <w:szCs w:val="22"/>
        </w:rPr>
        <w:t xml:space="preserve">Location </w:t>
      </w:r>
      <w:r w:rsidR="002C7B99">
        <w:rPr>
          <w:szCs w:val="22"/>
        </w:rPr>
        <w:t>and that it</w:t>
      </w:r>
      <w:r w:rsidRPr="002C7B99" w:rsidR="002C7B99">
        <w:rPr>
          <w:szCs w:val="22"/>
        </w:rPr>
        <w:t xml:space="preserve"> </w:t>
      </w:r>
      <w:r w:rsidR="00BC4AB2">
        <w:rPr>
          <w:szCs w:val="22"/>
        </w:rPr>
        <w:t>would</w:t>
      </w:r>
      <w:r w:rsidRPr="002C7B99" w:rsidR="002C7B99">
        <w:rPr>
          <w:szCs w:val="22"/>
        </w:rPr>
        <w:t xml:space="preserve"> commence operations only after it complete</w:t>
      </w:r>
      <w:r w:rsidR="00BC4AB2">
        <w:rPr>
          <w:szCs w:val="22"/>
        </w:rPr>
        <w:t>d</w:t>
      </w:r>
      <w:r w:rsidRPr="002C7B99" w:rsidR="002C7B99">
        <w:rPr>
          <w:szCs w:val="22"/>
        </w:rPr>
        <w:t xml:space="preserve"> frequency coordination with other </w:t>
      </w:r>
      <w:r w:rsidR="00BC4AB2">
        <w:rPr>
          <w:szCs w:val="22"/>
        </w:rPr>
        <w:t>l</w:t>
      </w:r>
      <w:r w:rsidRPr="002C7B99" w:rsidR="002C7B99">
        <w:rPr>
          <w:szCs w:val="22"/>
        </w:rPr>
        <w:t>icensees</w:t>
      </w:r>
      <w:r w:rsidR="002C7B99">
        <w:rPr>
          <w:szCs w:val="22"/>
        </w:rPr>
        <w:t xml:space="preserve"> </w:t>
      </w:r>
      <w:r w:rsidRPr="002C7B99" w:rsidR="002C7B99">
        <w:rPr>
          <w:szCs w:val="22"/>
        </w:rPr>
        <w:t xml:space="preserve">to ensure that no harmful interference </w:t>
      </w:r>
      <w:r w:rsidR="00286D1D">
        <w:rPr>
          <w:szCs w:val="22"/>
        </w:rPr>
        <w:t xml:space="preserve">would </w:t>
      </w:r>
      <w:r w:rsidRPr="002C7B99" w:rsidR="002C7B99">
        <w:rPr>
          <w:szCs w:val="22"/>
        </w:rPr>
        <w:t>happen in the future</w:t>
      </w:r>
      <w:r w:rsidR="002C7B99">
        <w:rPr>
          <w:szCs w:val="22"/>
        </w:rPr>
        <w:t>.</w:t>
      </w:r>
      <w:r>
        <w:rPr>
          <w:rStyle w:val="FootnoteReference"/>
          <w:szCs w:val="22"/>
        </w:rPr>
        <w:footnoteReference w:id="15"/>
      </w:r>
      <w:bookmarkEnd w:id="5"/>
      <w:r w:rsidR="006F5CB7">
        <w:rPr>
          <w:szCs w:val="22"/>
        </w:rPr>
        <w:t xml:space="preserve">  Commission records show that </w:t>
      </w:r>
      <w:r w:rsidR="006F5CB7">
        <w:rPr>
          <w:szCs w:val="22"/>
        </w:rPr>
        <w:t>Viaero</w:t>
      </w:r>
      <w:r w:rsidR="006F5CB7">
        <w:rPr>
          <w:szCs w:val="22"/>
        </w:rPr>
        <w:t xml:space="preserve"> registered the Kersey Location on that date.</w:t>
      </w:r>
      <w:r>
        <w:rPr>
          <w:rStyle w:val="FootnoteReference"/>
          <w:szCs w:val="22"/>
        </w:rPr>
        <w:footnoteReference w:id="16"/>
      </w:r>
    </w:p>
    <w:p w:rsidR="00705760" w:rsidRPr="006D348C" w:rsidP="00EE5672" w14:paraId="660F4A21" w14:textId="77777777">
      <w:pPr>
        <w:pStyle w:val="Heading1"/>
        <w:widowControl/>
      </w:pPr>
      <w:r w:rsidRPr="006D348C">
        <w:t>Discussion</w:t>
      </w:r>
    </w:p>
    <w:p w:rsidR="000741C8" w:rsidRPr="002941D6" w:rsidP="00EE5672" w14:paraId="739BBAC9" w14:textId="77777777">
      <w:pPr>
        <w:pStyle w:val="ParaNum"/>
        <w:widowControl/>
      </w:pPr>
      <w:r w:rsidRPr="006D348C">
        <w:t xml:space="preserve">We find that </w:t>
      </w:r>
      <w:r w:rsidR="002C7B99">
        <w:rPr>
          <w:spacing w:val="-2"/>
        </w:rPr>
        <w:t>Viaero</w:t>
      </w:r>
      <w:r w:rsidRPr="006D348C" w:rsidR="002D49FA">
        <w:t xml:space="preserve"> </w:t>
      </w:r>
      <w:r w:rsidRPr="006D348C">
        <w:t xml:space="preserve">apparently willfully </w:t>
      </w:r>
      <w:r w:rsidR="009C70F7">
        <w:t xml:space="preserve">and repeatedly </w:t>
      </w:r>
      <w:r w:rsidRPr="006D348C">
        <w:t xml:space="preserve">violated </w:t>
      </w:r>
      <w:r w:rsidR="00ED71D1">
        <w:t xml:space="preserve">Section 301 of the Act, </w:t>
      </w:r>
      <w:r w:rsidR="00AE3DA6">
        <w:t>and S</w:t>
      </w:r>
      <w:r w:rsidR="002C7B99">
        <w:t>ections 1.903(a) and 90.1307(a)</w:t>
      </w:r>
      <w:r w:rsidRPr="006D348C" w:rsidR="002C7B99">
        <w:rPr>
          <w:szCs w:val="22"/>
        </w:rPr>
        <w:t xml:space="preserve"> </w:t>
      </w:r>
      <w:r w:rsidRPr="006D348C" w:rsidR="002C7B99">
        <w:rPr>
          <w:szCs w:val="22"/>
        </w:rPr>
        <w:t>of the Commission’s rules.</w:t>
      </w:r>
      <w:r w:rsidRPr="006D348C">
        <w:t xml:space="preserve">  </w:t>
      </w:r>
      <w:r w:rsidRPr="00E806B5" w:rsidR="00ED71D1">
        <w:t xml:space="preserve">Section 301 of the Act states that no person shall use or operate any apparatus for the transmission of energy or communications or signals by radio within the United States </w:t>
      </w:r>
      <w:r w:rsidRPr="00ED71D1" w:rsidR="00ED71D1">
        <w:t>beyond the terms, conditions, and periods of the</w:t>
      </w:r>
      <w:r w:rsidR="00ED71D1">
        <w:t xml:space="preserve"> license </w:t>
      </w:r>
      <w:r w:rsidRPr="00E806B5" w:rsidR="00ED71D1">
        <w:t>granted by the Commission.</w:t>
      </w:r>
      <w:r>
        <w:rPr>
          <w:rStyle w:val="FootnoteReference"/>
        </w:rPr>
        <w:footnoteReference w:id="17"/>
      </w:r>
      <w:r w:rsidR="00ED71D1">
        <w:t xml:space="preserve">  </w:t>
      </w:r>
      <w:r w:rsidRPr="006D348C">
        <w:t xml:space="preserve">Section </w:t>
      </w:r>
      <w:r w:rsidR="002C7B99">
        <w:t xml:space="preserve">1.903(a) </w:t>
      </w:r>
      <w:r w:rsidRPr="006D348C">
        <w:t xml:space="preserve">states that </w:t>
      </w:r>
      <w:r w:rsidR="00A273E1">
        <w:t>“</w:t>
      </w:r>
      <w:r w:rsidRPr="00FF4B7C" w:rsidR="002C7B99">
        <w:rPr>
          <w:szCs w:val="22"/>
        </w:rPr>
        <w:t>Stations in the Wireless Radio Services must be used and operated only in accordance with the rules applicable to their particular service as set forth in this title and with a valid authorization granted by the Commission</w:t>
      </w:r>
      <w:r w:rsidR="002C7B99">
        <w:rPr>
          <w:szCs w:val="22"/>
        </w:rPr>
        <w:t>.</w:t>
      </w:r>
      <w:r w:rsidR="00A273E1">
        <w:rPr>
          <w:szCs w:val="22"/>
        </w:rPr>
        <w:t>”</w:t>
      </w:r>
      <w:r>
        <w:rPr>
          <w:rStyle w:val="FootnoteReference"/>
        </w:rPr>
        <w:footnoteReference w:id="18"/>
      </w:r>
      <w:r w:rsidRPr="006D348C">
        <w:t xml:space="preserve"> </w:t>
      </w:r>
      <w:r w:rsidR="00A273E1">
        <w:t xml:space="preserve"> </w:t>
      </w:r>
      <w:r w:rsidR="00ED71D1">
        <w:rPr>
          <w:spacing w:val="-2"/>
          <w:szCs w:val="22"/>
        </w:rPr>
        <w:t xml:space="preserve">Section 90.1307 of the </w:t>
      </w:r>
      <w:r w:rsidR="006F5CB7">
        <w:rPr>
          <w:spacing w:val="-2"/>
          <w:szCs w:val="22"/>
        </w:rPr>
        <w:t>Commission’s r</w:t>
      </w:r>
      <w:r w:rsidR="00ED71D1">
        <w:rPr>
          <w:spacing w:val="-2"/>
          <w:szCs w:val="22"/>
        </w:rPr>
        <w:t xml:space="preserve">ules </w:t>
      </w:r>
      <w:r w:rsidR="00ED71D1">
        <w:rPr>
          <w:spacing w:val="-2"/>
          <w:szCs w:val="22"/>
        </w:rPr>
        <w:t>states that</w:t>
      </w:r>
      <w:r w:rsidR="006F5CB7">
        <w:rPr>
          <w:spacing w:val="-2"/>
          <w:szCs w:val="22"/>
        </w:rPr>
        <w:t xml:space="preserve"> in the </w:t>
      </w:r>
      <w:r w:rsidR="00ED71D1">
        <w:rPr>
          <w:spacing w:val="-2"/>
          <w:szCs w:val="22"/>
        </w:rPr>
        <w:t xml:space="preserve"> </w:t>
      </w:r>
      <w:r w:rsidR="006F5CB7">
        <w:rPr>
          <w:spacing w:val="-2"/>
          <w:szCs w:val="22"/>
        </w:rPr>
        <w:t xml:space="preserve">3650-3700 MHz band </w:t>
      </w:r>
      <w:r w:rsidR="00ED71D1">
        <w:rPr>
          <w:spacing w:val="-2"/>
          <w:szCs w:val="22"/>
        </w:rPr>
        <w:t>“</w:t>
      </w:r>
      <w:r w:rsidR="00A16513">
        <w:rPr>
          <w:spacing w:val="-2"/>
          <w:szCs w:val="22"/>
        </w:rPr>
        <w:t>[a]</w:t>
      </w:r>
      <w:r w:rsidR="00ED71D1">
        <w:rPr>
          <w:spacing w:val="-2"/>
          <w:szCs w:val="22"/>
        </w:rPr>
        <w:t xml:space="preserve"> licensee cannot operate a fixed or base station before registering it under its license</w:t>
      </w:r>
      <w:r w:rsidR="00A16513">
        <w:rPr>
          <w:spacing w:val="-2"/>
          <w:szCs w:val="22"/>
        </w:rPr>
        <w:t xml:space="preserve"> </w:t>
      </w:r>
      <w:r w:rsidR="00ED71D1">
        <w:rPr>
          <w:spacing w:val="-2"/>
          <w:szCs w:val="22"/>
        </w:rPr>
        <w:t>. . . .”</w:t>
      </w:r>
      <w:r>
        <w:rPr>
          <w:rStyle w:val="FootnoteReference"/>
          <w:spacing w:val="-2"/>
          <w:szCs w:val="22"/>
        </w:rPr>
        <w:footnoteReference w:id="19"/>
      </w:r>
      <w:r w:rsidR="00ED71D1">
        <w:rPr>
          <w:spacing w:val="-2"/>
          <w:szCs w:val="22"/>
        </w:rPr>
        <w:t xml:space="preserve">  </w:t>
      </w:r>
      <w:r w:rsidR="00286D1D">
        <w:t xml:space="preserve">The Commission </w:t>
      </w:r>
      <w:r w:rsidR="00DD30A0">
        <w:t xml:space="preserve">previously </w:t>
      </w:r>
      <w:r w:rsidR="00286D1D">
        <w:t>grant</w:t>
      </w:r>
      <w:r w:rsidR="00DD30A0">
        <w:t>ed</w:t>
      </w:r>
      <w:r w:rsidR="00286D1D">
        <w:t xml:space="preserve"> l</w:t>
      </w:r>
      <w:r w:rsidR="005E3CC0">
        <w:t>icenses in t</w:t>
      </w:r>
      <w:r w:rsidRPr="0022132D" w:rsidR="0022132D">
        <w:t xml:space="preserve">he 3650-3700 MHz band </w:t>
      </w:r>
      <w:r w:rsidR="005E3CC0">
        <w:t>on a</w:t>
      </w:r>
      <w:r w:rsidRPr="0022132D" w:rsidR="0022132D">
        <w:t xml:space="preserve"> non-exclusive nationwide </w:t>
      </w:r>
      <w:r w:rsidR="005E3CC0">
        <w:t>basis.</w:t>
      </w:r>
      <w:r>
        <w:rPr>
          <w:rStyle w:val="FootnoteReference"/>
        </w:rPr>
        <w:footnoteReference w:id="20"/>
      </w:r>
      <w:r w:rsidR="0022132D">
        <w:t xml:space="preserve"> </w:t>
      </w:r>
      <w:r w:rsidRPr="0022132D" w:rsidR="0022132D">
        <w:t xml:space="preserve"> </w:t>
      </w:r>
      <w:r w:rsidR="0022132D">
        <w:t>Once an entity obtain</w:t>
      </w:r>
      <w:r w:rsidR="000D15DB">
        <w:t>ed</w:t>
      </w:r>
      <w:r w:rsidR="0022132D">
        <w:t xml:space="preserve"> a </w:t>
      </w:r>
      <w:r w:rsidR="007828C5">
        <w:t>such a license</w:t>
      </w:r>
      <w:r w:rsidR="0022132D">
        <w:t xml:space="preserve">, it </w:t>
      </w:r>
      <w:r w:rsidR="00A16513">
        <w:t>is</w:t>
      </w:r>
      <w:r w:rsidR="008901E8">
        <w:t xml:space="preserve"> re</w:t>
      </w:r>
      <w:r w:rsidR="00FE4636">
        <w:t>q</w:t>
      </w:r>
      <w:r w:rsidR="008901E8">
        <w:t xml:space="preserve">uired to </w:t>
      </w:r>
      <w:r w:rsidR="0022132D">
        <w:t xml:space="preserve">register </w:t>
      </w:r>
      <w:r w:rsidRPr="0022132D" w:rsidR="0022132D">
        <w:t>individual fixed and base stations</w:t>
      </w:r>
      <w:r w:rsidR="00AE3DA6">
        <w:t xml:space="preserve"> before operation</w:t>
      </w:r>
      <w:r w:rsidRPr="0022132D" w:rsidR="0022132D">
        <w:t>.</w:t>
      </w:r>
      <w:r>
        <w:rPr>
          <w:rStyle w:val="FootnoteReference"/>
        </w:rPr>
        <w:footnoteReference w:id="21"/>
      </w:r>
      <w:r w:rsidR="0022132D">
        <w:t xml:space="preserve">  </w:t>
      </w:r>
      <w:r w:rsidR="00286D1D">
        <w:t>A</w:t>
      </w:r>
      <w:r w:rsidRPr="006A5148" w:rsidR="002C7B99">
        <w:rPr>
          <w:szCs w:val="22"/>
        </w:rPr>
        <w:t xml:space="preserve"> licensee </w:t>
      </w:r>
      <w:r w:rsidR="00A16513">
        <w:rPr>
          <w:szCs w:val="22"/>
        </w:rPr>
        <w:t>has no authority to</w:t>
      </w:r>
      <w:r w:rsidRPr="006A5148" w:rsidR="00A16513">
        <w:rPr>
          <w:szCs w:val="22"/>
        </w:rPr>
        <w:t xml:space="preserve"> </w:t>
      </w:r>
      <w:r w:rsidRPr="006A5148" w:rsidR="002C7B99">
        <w:rPr>
          <w:szCs w:val="22"/>
        </w:rPr>
        <w:t xml:space="preserve">operate a fixed or base station </w:t>
      </w:r>
      <w:r w:rsidR="006F5CB7">
        <w:rPr>
          <w:szCs w:val="22"/>
        </w:rPr>
        <w:t xml:space="preserve">in this band </w:t>
      </w:r>
      <w:r w:rsidRPr="006A5148" w:rsidR="002C7B99">
        <w:rPr>
          <w:szCs w:val="22"/>
        </w:rPr>
        <w:t>before registering it under its license</w:t>
      </w:r>
      <w:r w:rsidR="002C7B99">
        <w:rPr>
          <w:szCs w:val="22"/>
        </w:rPr>
        <w:t>.</w:t>
      </w:r>
      <w:r>
        <w:rPr>
          <w:rStyle w:val="FootnoteReference"/>
          <w:szCs w:val="22"/>
        </w:rPr>
        <w:footnoteReference w:id="22"/>
      </w:r>
      <w:r w:rsidR="002C7B99">
        <w:rPr>
          <w:szCs w:val="22"/>
        </w:rPr>
        <w:t xml:space="preserve"> </w:t>
      </w:r>
      <w:r w:rsidR="002C7B99">
        <w:t xml:space="preserve"> </w:t>
      </w:r>
      <w:r w:rsidR="007828C5">
        <w:rPr>
          <w:spacing w:val="-2"/>
          <w:szCs w:val="22"/>
        </w:rPr>
        <w:t xml:space="preserve">Further, </w:t>
      </w:r>
      <w:r w:rsidR="007828C5">
        <w:rPr>
          <w:spacing w:val="-2"/>
          <w:szCs w:val="22"/>
        </w:rPr>
        <w:t>Viaero’s</w:t>
      </w:r>
      <w:r w:rsidR="007828C5">
        <w:rPr>
          <w:spacing w:val="-2"/>
          <w:szCs w:val="22"/>
        </w:rPr>
        <w:t xml:space="preserve"> </w:t>
      </w:r>
      <w:r w:rsidR="006D1722">
        <w:rPr>
          <w:spacing w:val="-2"/>
          <w:szCs w:val="22"/>
        </w:rPr>
        <w:t xml:space="preserve">nationwide </w:t>
      </w:r>
      <w:r w:rsidR="00A16513">
        <w:rPr>
          <w:spacing w:val="-2"/>
          <w:szCs w:val="22"/>
        </w:rPr>
        <w:t xml:space="preserve">license for Station </w:t>
      </w:r>
      <w:r w:rsidRPr="00640A95" w:rsidR="00A16513">
        <w:rPr>
          <w:spacing w:val="-2"/>
        </w:rPr>
        <w:t>WQUP435</w:t>
      </w:r>
      <w:r w:rsidR="00A16513">
        <w:rPr>
          <w:spacing w:val="-2"/>
          <w:szCs w:val="22"/>
        </w:rPr>
        <w:t xml:space="preserve"> states that it “does not authorize any operation of a fixed or base station that is not posted by the FCC as a registered fixed or base station</w:t>
      </w:r>
      <w:r w:rsidR="007828C5">
        <w:rPr>
          <w:spacing w:val="-2"/>
          <w:szCs w:val="22"/>
        </w:rPr>
        <w:t>.</w:t>
      </w:r>
      <w:r w:rsidR="00A16513">
        <w:rPr>
          <w:spacing w:val="-2"/>
          <w:szCs w:val="22"/>
        </w:rPr>
        <w:t>”</w:t>
      </w:r>
      <w:r>
        <w:rPr>
          <w:rStyle w:val="FootnoteReference"/>
          <w:spacing w:val="-2"/>
        </w:rPr>
        <w:footnoteReference w:id="23"/>
      </w:r>
      <w:r w:rsidRPr="002941D6" w:rsidR="00A16513">
        <w:rPr>
          <w:spacing w:val="-2"/>
        </w:rPr>
        <w:t xml:space="preserve">  </w:t>
      </w:r>
    </w:p>
    <w:p w:rsidR="00AE33B0" w:rsidRPr="006D348C" w:rsidP="00EE5672" w14:paraId="3859B951" w14:textId="77777777">
      <w:pPr>
        <w:pStyle w:val="ParaNum"/>
        <w:widowControl/>
      </w:pPr>
      <w:r w:rsidRPr="002941D6">
        <w:rPr>
          <w:spacing w:val="-2"/>
        </w:rPr>
        <w:t xml:space="preserve">As </w:t>
      </w:r>
      <w:r w:rsidRPr="006D348C" w:rsidR="001D78E2">
        <w:t>stated</w:t>
      </w:r>
      <w:r w:rsidRPr="006D348C" w:rsidR="004F4DE0">
        <w:t xml:space="preserve"> above, </w:t>
      </w:r>
      <w:r w:rsidR="002C7B99">
        <w:t>Viaero</w:t>
      </w:r>
      <w:r w:rsidR="002C7B99">
        <w:t xml:space="preserve"> </w:t>
      </w:r>
      <w:r w:rsidR="009C70F7">
        <w:t xml:space="preserve">admitted </w:t>
      </w:r>
      <w:r w:rsidR="00711DD9">
        <w:t>to transmitting</w:t>
      </w:r>
      <w:r w:rsidR="009C70F7">
        <w:t xml:space="preserve"> in the </w:t>
      </w:r>
      <w:r w:rsidRPr="00D73BC4" w:rsidR="009C70F7">
        <w:t>3650-3700 MHz frequency band</w:t>
      </w:r>
      <w:r w:rsidR="009C70F7">
        <w:t xml:space="preserve"> for two days</w:t>
      </w:r>
      <w:r w:rsidRPr="006D348C" w:rsidR="00D60B7A">
        <w:t xml:space="preserve"> </w:t>
      </w:r>
      <w:r w:rsidRPr="006D348C" w:rsidR="00A92C4E">
        <w:t>(</w:t>
      </w:r>
      <w:r w:rsidR="009C70F7">
        <w:t>February 12</w:t>
      </w:r>
      <w:r w:rsidRPr="006D348C" w:rsidR="000261FC">
        <w:t>, 201</w:t>
      </w:r>
      <w:r w:rsidRPr="006D348C" w:rsidR="00A92205">
        <w:t>8</w:t>
      </w:r>
      <w:r w:rsidRPr="006D348C" w:rsidR="00274D07">
        <w:t xml:space="preserve"> </w:t>
      </w:r>
      <w:r w:rsidRPr="006D348C" w:rsidR="00575A00">
        <w:t xml:space="preserve">and </w:t>
      </w:r>
      <w:r w:rsidR="009C70F7">
        <w:t>February 13</w:t>
      </w:r>
      <w:r w:rsidRPr="006D348C" w:rsidR="00575A00">
        <w:t>, 2018</w:t>
      </w:r>
      <w:r w:rsidRPr="006D348C" w:rsidR="00A92C4E">
        <w:t>)</w:t>
      </w:r>
      <w:r w:rsidR="00711DD9">
        <w:t xml:space="preserve"> </w:t>
      </w:r>
      <w:r w:rsidR="006C517E">
        <w:t xml:space="preserve">at the Kersey </w:t>
      </w:r>
      <w:r w:rsidR="00791349">
        <w:t>Location</w:t>
      </w:r>
      <w:r w:rsidR="006C517E">
        <w:t xml:space="preserve"> without </w:t>
      </w:r>
      <w:r w:rsidR="000D15DB">
        <w:t xml:space="preserve">first </w:t>
      </w:r>
      <w:r w:rsidR="006C517E">
        <w:t>regist</w:t>
      </w:r>
      <w:r w:rsidR="000D15DB">
        <w:t xml:space="preserve">ering </w:t>
      </w:r>
      <w:r w:rsidR="007828C5">
        <w:t>its</w:t>
      </w:r>
      <w:r w:rsidR="000D15DB">
        <w:t xml:space="preserve"> </w:t>
      </w:r>
      <w:r w:rsidR="007828C5">
        <w:t>stations</w:t>
      </w:r>
      <w:r w:rsidRPr="006D348C" w:rsidR="001B45F6">
        <w:t>.</w:t>
      </w:r>
      <w:r>
        <w:rPr>
          <w:rStyle w:val="FootnoteReference"/>
        </w:rPr>
        <w:footnoteReference w:id="24"/>
      </w:r>
      <w:r w:rsidRPr="006D348C" w:rsidR="00BC6F2C">
        <w:t xml:space="preserve"> </w:t>
      </w:r>
      <w:r w:rsidR="007961FF">
        <w:t xml:space="preserve"> </w:t>
      </w:r>
      <w:r w:rsidR="009C70F7">
        <w:t>An FCC agent</w:t>
      </w:r>
      <w:r w:rsidRPr="006D348C" w:rsidR="001B45F6">
        <w:t xml:space="preserve"> </w:t>
      </w:r>
      <w:r w:rsidR="009C70F7">
        <w:t xml:space="preserve">also confirmed </w:t>
      </w:r>
      <w:r w:rsidR="00791349">
        <w:t xml:space="preserve">that </w:t>
      </w:r>
      <w:r w:rsidR="006C517E">
        <w:t xml:space="preserve">unregistered operation </w:t>
      </w:r>
      <w:r w:rsidR="008901E8">
        <w:t xml:space="preserve">occurred </w:t>
      </w:r>
      <w:r w:rsidRPr="006D348C" w:rsidR="000B25C4">
        <w:t xml:space="preserve">on </w:t>
      </w:r>
      <w:r w:rsidR="009C70F7">
        <w:t>February 13, 2018</w:t>
      </w:r>
      <w:r w:rsidR="006C517E">
        <w:t>.</w:t>
      </w:r>
      <w:r w:rsidRPr="006D348C" w:rsidR="001B45F6">
        <w:t xml:space="preserve">  </w:t>
      </w:r>
      <w:r w:rsidR="00A15316">
        <w:t>Vi</w:t>
      </w:r>
      <w:r>
        <w:t>a</w:t>
      </w:r>
      <w:r w:rsidR="00A15316">
        <w:t>ero</w:t>
      </w:r>
      <w:r w:rsidR="00A15316">
        <w:t xml:space="preserve"> also </w:t>
      </w:r>
      <w:r>
        <w:t>admitted</w:t>
      </w:r>
      <w:r w:rsidR="00A15316">
        <w:t xml:space="preserve"> that it failed to coordinate</w:t>
      </w:r>
      <w:r>
        <w:t xml:space="preserve"> with</w:t>
      </w:r>
      <w:r w:rsidR="00A15316">
        <w:t xml:space="preserve"> other licensees </w:t>
      </w:r>
      <w:r>
        <w:t xml:space="preserve">before operation </w:t>
      </w:r>
      <w:r w:rsidR="00A15316">
        <w:t>as required by our rules.</w:t>
      </w:r>
      <w:r>
        <w:rPr>
          <w:rStyle w:val="FootnoteReference"/>
        </w:rPr>
        <w:footnoteReference w:id="25"/>
      </w:r>
      <w:r w:rsidR="00A15316">
        <w:t xml:space="preserve">  </w:t>
      </w:r>
      <w:r w:rsidR="00791349">
        <w:t>Moreover</w:t>
      </w:r>
      <w:r w:rsidR="009C70F7">
        <w:t xml:space="preserve">, </w:t>
      </w:r>
      <w:r w:rsidR="009C70F7">
        <w:t>Viaero</w:t>
      </w:r>
      <w:r w:rsidR="009C70F7">
        <w:t xml:space="preserve"> stated that the site was not registered until over a month </w:t>
      </w:r>
      <w:r w:rsidR="00791349">
        <w:t>after the unauthorized transmission</w:t>
      </w:r>
      <w:r w:rsidR="009C70F7">
        <w:t>.</w:t>
      </w:r>
      <w:r>
        <w:rPr>
          <w:rStyle w:val="FootnoteReference"/>
        </w:rPr>
        <w:footnoteReference w:id="26"/>
      </w:r>
      <w:r w:rsidR="009C70F7">
        <w:t xml:space="preserve">  </w:t>
      </w:r>
      <w:r w:rsidRPr="006D348C" w:rsidR="001B45F6">
        <w:t xml:space="preserve">Thus, </w:t>
      </w:r>
      <w:r w:rsidR="009C70F7">
        <w:t>Viaero</w:t>
      </w:r>
      <w:r w:rsidRPr="006D348C" w:rsidR="001B45F6">
        <w:t xml:space="preserve"> </w:t>
      </w:r>
      <w:r w:rsidR="000741C8">
        <w:t>apparently</w:t>
      </w:r>
      <w:r w:rsidR="00182004">
        <w:t xml:space="preserve"> </w:t>
      </w:r>
      <w:r w:rsidRPr="006D348C" w:rsidR="001B45F6">
        <w:t xml:space="preserve">violated </w:t>
      </w:r>
      <w:r>
        <w:t xml:space="preserve">Section 301 of the Act and </w:t>
      </w:r>
      <w:r w:rsidR="009C70F7">
        <w:t>Sections 1.903(a) and 90.1307(a)</w:t>
      </w:r>
      <w:r w:rsidRPr="006D348C" w:rsidR="009C70F7">
        <w:rPr>
          <w:szCs w:val="22"/>
        </w:rPr>
        <w:t xml:space="preserve"> </w:t>
      </w:r>
      <w:r w:rsidRPr="006D348C" w:rsidR="009C70F7">
        <w:rPr>
          <w:szCs w:val="22"/>
        </w:rPr>
        <w:t>of the Commission’s rules</w:t>
      </w:r>
      <w:r w:rsidRPr="006D348C" w:rsidR="009C70F7">
        <w:t xml:space="preserve"> </w:t>
      </w:r>
      <w:r w:rsidRPr="006D348C" w:rsidR="001B45F6">
        <w:t xml:space="preserve">on </w:t>
      </w:r>
      <w:r w:rsidR="006E2FE1">
        <w:t>February 12 and 13, 2018</w:t>
      </w:r>
      <w:r w:rsidRPr="006D348C" w:rsidR="001B45F6">
        <w:t>.</w:t>
      </w:r>
      <w:r w:rsidRPr="006D348C" w:rsidR="00A92C4E">
        <w:t xml:space="preserve"> </w:t>
      </w:r>
      <w:r w:rsidRPr="006D348C" w:rsidR="005B4764">
        <w:t xml:space="preserve"> </w:t>
      </w:r>
    </w:p>
    <w:p w:rsidR="000741C8" w:rsidP="00EE5672" w14:paraId="65271B7C" w14:textId="77777777">
      <w:pPr>
        <w:pStyle w:val="ParaNum"/>
        <w:widowControl/>
        <w:tabs>
          <w:tab w:val="clear" w:pos="1080"/>
          <w:tab w:val="num" w:pos="1440"/>
        </w:tabs>
      </w:pPr>
      <w:r w:rsidRPr="006D348C">
        <w:t xml:space="preserve">Section 503(b) of the </w:t>
      </w:r>
      <w:r w:rsidR="0030047A">
        <w:t xml:space="preserve">Communications </w:t>
      </w:r>
      <w:r w:rsidRPr="006D348C">
        <w:t>Act</w:t>
      </w:r>
      <w:r w:rsidR="0030047A">
        <w:t xml:space="preserve"> of 1934, as amended</w:t>
      </w:r>
      <w:r w:rsidRPr="006D348C">
        <w:t xml:space="preserve"> </w:t>
      </w:r>
      <w:r w:rsidR="00E82868">
        <w:t xml:space="preserve">(Act) </w:t>
      </w:r>
      <w:r w:rsidRPr="006D348C">
        <w:t xml:space="preserve">authorizes the Commission to impose a forfeiture against any </w:t>
      </w:r>
      <w:r w:rsidR="00141BB4">
        <w:t>person</w:t>
      </w:r>
      <w:r w:rsidRPr="006D348C">
        <w:t xml:space="preserve"> that “willfully or repeatedly fail[s] to comply with any of the provisions of [the Act] or of any rule, </w:t>
      </w:r>
      <w:r w:rsidRPr="00693461">
        <w:rPr>
          <w:szCs w:val="22"/>
        </w:rPr>
        <w:t>regulation, or order issued by the Commission.”</w:t>
      </w:r>
      <w:r>
        <w:rPr>
          <w:rStyle w:val="FootnoteReference"/>
          <w:sz w:val="22"/>
          <w:szCs w:val="22"/>
        </w:rPr>
        <w:footnoteReference w:id="27"/>
      </w:r>
      <w:r w:rsidRPr="00693461">
        <w:rPr>
          <w:szCs w:val="22"/>
        </w:rPr>
        <w:t xml:space="preserve">  </w:t>
      </w:r>
      <w:r w:rsidRPr="00693461" w:rsidR="00AE33B0">
        <w:rPr>
          <w:szCs w:val="22"/>
        </w:rPr>
        <w:t>Here, Section 503(b)(2)(D) of the Act authorizes us to assess a forfeiture of up to $</w:t>
      </w:r>
      <w:r w:rsidRPr="00BF400B" w:rsidR="00693461">
        <w:rPr>
          <w:szCs w:val="22"/>
        </w:rPr>
        <w:t>20,134</w:t>
      </w:r>
      <w:r w:rsidR="00AE3DA6">
        <w:rPr>
          <w:szCs w:val="22"/>
        </w:rPr>
        <w:t xml:space="preserve"> </w:t>
      </w:r>
      <w:r w:rsidRPr="00BF400B" w:rsidR="00AE33B0">
        <w:rPr>
          <w:szCs w:val="22"/>
        </w:rPr>
        <w:t>for each day of a continuing violation, up to a statutory maximum of $</w:t>
      </w:r>
      <w:r w:rsidRPr="00A60445" w:rsidR="00693461">
        <w:rPr>
          <w:szCs w:val="22"/>
        </w:rPr>
        <w:t>151,005</w:t>
      </w:r>
      <w:r w:rsidR="00AE3DA6">
        <w:rPr>
          <w:szCs w:val="22"/>
        </w:rPr>
        <w:t xml:space="preserve"> </w:t>
      </w:r>
      <w:r w:rsidRPr="00A60445" w:rsidR="00AE33B0">
        <w:rPr>
          <w:szCs w:val="22"/>
        </w:rPr>
        <w:t>for a single act or failure to act</w:t>
      </w:r>
      <w:r w:rsidRPr="00A60445">
        <w:rPr>
          <w:szCs w:val="22"/>
        </w:rPr>
        <w:t>.</w:t>
      </w:r>
      <w:r>
        <w:rPr>
          <w:rStyle w:val="FootnoteReference"/>
          <w:sz w:val="22"/>
          <w:szCs w:val="22"/>
        </w:rPr>
        <w:footnoteReference w:id="28"/>
      </w:r>
      <w:r w:rsidRPr="00693461">
        <w:rPr>
          <w:szCs w:val="22"/>
        </w:rPr>
        <w:t xml:space="preserve">  In exercising our forfeiture authority, we must consider the “nature, circumstances</w:t>
      </w:r>
      <w:r w:rsidRPr="006D348C">
        <w:t>, extent, and gravity of the violation and, with respect to the violator, the degree of culpability, any history of prior offenses, ability to pay, and such other matters as justice may require.”</w:t>
      </w:r>
      <w:r>
        <w:rPr>
          <w:rStyle w:val="FootnoteReference"/>
        </w:rPr>
        <w:footnoteReference w:id="29"/>
      </w:r>
      <w:r w:rsidRPr="006D348C">
        <w:t xml:space="preserve">  In addition, the Commission has established </w:t>
      </w:r>
      <w:r w:rsidRPr="006D348C">
        <w:t>forfeiture guidelines; they establish base penalties for certain violations and identify criteria that we consider when determining the appropriate penalty in any given case.</w:t>
      </w:r>
      <w:r>
        <w:rPr>
          <w:rStyle w:val="FootnoteReference"/>
        </w:rPr>
        <w:footnoteReference w:id="30"/>
      </w:r>
      <w:r w:rsidRPr="006D348C">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31"/>
      </w:r>
      <w:r w:rsidRPr="006D348C">
        <w:t xml:space="preserve">  </w:t>
      </w:r>
    </w:p>
    <w:p w:rsidR="00925877" w:rsidRPr="006D348C" w:rsidP="00182004" w14:paraId="285653B1" w14:textId="77777777">
      <w:pPr>
        <w:pStyle w:val="ParaNum"/>
        <w:widowControl/>
        <w:tabs>
          <w:tab w:val="clear" w:pos="1080"/>
          <w:tab w:val="num" w:pos="1440"/>
        </w:tabs>
      </w:pPr>
      <w:r w:rsidRPr="006D348C">
        <w:t xml:space="preserve">Section 1.80(b) of the </w:t>
      </w:r>
      <w:r w:rsidR="000741C8">
        <w:t>Commission’s r</w:t>
      </w:r>
      <w:r w:rsidRPr="006D348C">
        <w:t>ules sets a base forfeiture of $10,000 for operation without an instrument of authorization for each violation or each day of a continuing violation.</w:t>
      </w:r>
      <w:r>
        <w:rPr>
          <w:rStyle w:val="FootnoteReference"/>
        </w:rPr>
        <w:footnoteReference w:id="32"/>
      </w:r>
      <w:r w:rsidRPr="006D348C">
        <w:t xml:space="preserve">  Through its investigation</w:t>
      </w:r>
      <w:r w:rsidR="00D86DC3">
        <w:t xml:space="preserve"> </w:t>
      </w:r>
      <w:r w:rsidRPr="006D348C" w:rsidR="00731E76">
        <w:t>discussed above</w:t>
      </w:r>
      <w:r w:rsidRPr="006D348C">
        <w:t xml:space="preserve">, the Bureau has determined that </w:t>
      </w:r>
      <w:r w:rsidR="00BF33CA">
        <w:t>Viaero</w:t>
      </w:r>
      <w:r w:rsidRPr="006D348C" w:rsidR="00BF33CA">
        <w:t xml:space="preserve"> </w:t>
      </w:r>
      <w:r w:rsidRPr="00711DD9" w:rsidR="00BF33CA">
        <w:t>transmitted</w:t>
      </w:r>
      <w:r w:rsidR="00711DD9">
        <w:t xml:space="preserve"> in the </w:t>
      </w:r>
      <w:r w:rsidRPr="00D73BC4" w:rsidR="00711DD9">
        <w:t>3650-3700 MHz frequency band</w:t>
      </w:r>
      <w:r w:rsidR="00711DD9">
        <w:t xml:space="preserve"> </w:t>
      </w:r>
      <w:r w:rsidR="003B163A">
        <w:t>on</w:t>
      </w:r>
      <w:r w:rsidR="00711DD9">
        <w:t xml:space="preserve"> two days</w:t>
      </w:r>
      <w:r w:rsidRPr="006D348C" w:rsidR="00711DD9">
        <w:t xml:space="preserve"> (</w:t>
      </w:r>
      <w:r w:rsidR="00711DD9">
        <w:t>February 12</w:t>
      </w:r>
      <w:r w:rsidRPr="006D348C" w:rsidR="00711DD9">
        <w:t xml:space="preserve">, 2018 and </w:t>
      </w:r>
      <w:r w:rsidR="00711DD9">
        <w:t>February 13</w:t>
      </w:r>
      <w:r w:rsidRPr="006D348C" w:rsidR="00711DD9">
        <w:t>, 2018)</w:t>
      </w:r>
      <w:r w:rsidR="00711DD9">
        <w:t xml:space="preserve"> at the Kersey </w:t>
      </w:r>
      <w:r w:rsidR="003B163A">
        <w:t>Location</w:t>
      </w:r>
      <w:r w:rsidR="00711DD9">
        <w:t xml:space="preserve"> without </w:t>
      </w:r>
      <w:r w:rsidR="00535F21">
        <w:t xml:space="preserve">authorization </w:t>
      </w:r>
      <w:r w:rsidR="00711DD9">
        <w:t>in</w:t>
      </w:r>
      <w:r w:rsidRPr="006D348C">
        <w:t xml:space="preserve"> apparent violation </w:t>
      </w:r>
      <w:r w:rsidRPr="000741C8" w:rsidR="00711DD9">
        <w:rPr>
          <w:szCs w:val="22"/>
        </w:rPr>
        <w:t xml:space="preserve">of </w:t>
      </w:r>
      <w:r w:rsidRPr="00182004" w:rsidR="00535F21">
        <w:rPr>
          <w:szCs w:val="22"/>
        </w:rPr>
        <w:t>Section 301 of the A</w:t>
      </w:r>
      <w:r w:rsidRPr="00182004" w:rsidR="009F19B9">
        <w:rPr>
          <w:szCs w:val="22"/>
        </w:rPr>
        <w:t>ct</w:t>
      </w:r>
      <w:r w:rsidRPr="00182004" w:rsidR="00535F21">
        <w:rPr>
          <w:szCs w:val="22"/>
        </w:rPr>
        <w:t xml:space="preserve">, and </w:t>
      </w:r>
      <w:r w:rsidR="00711DD9">
        <w:t>Sections 1.903(a) and 90.1307(a)</w:t>
      </w:r>
      <w:r w:rsidRPr="000741C8" w:rsidR="00711DD9">
        <w:rPr>
          <w:szCs w:val="22"/>
        </w:rPr>
        <w:t xml:space="preserve"> </w:t>
      </w:r>
      <w:r w:rsidRPr="000741C8" w:rsidR="00711DD9">
        <w:rPr>
          <w:szCs w:val="22"/>
        </w:rPr>
        <w:t>of the Commission’s rules</w:t>
      </w:r>
      <w:r w:rsidRPr="006D348C">
        <w:t>.</w:t>
      </w:r>
      <w:r w:rsidRPr="006D348C" w:rsidR="00733198">
        <w:t xml:space="preserve"> </w:t>
      </w:r>
      <w:r w:rsidRPr="006D348C">
        <w:t xml:space="preserve"> </w:t>
      </w:r>
      <w:r w:rsidRPr="00A622D6">
        <w:t xml:space="preserve">In light of these </w:t>
      </w:r>
      <w:r w:rsidRPr="00A622D6" w:rsidR="00A30C2D">
        <w:t xml:space="preserve">apparent </w:t>
      </w:r>
      <w:r w:rsidRPr="00A622D6">
        <w:t xml:space="preserve">findings, we propose </w:t>
      </w:r>
      <w:r w:rsidRPr="00A622D6" w:rsidR="00D66C8C">
        <w:t xml:space="preserve">a base forfeiture of $10,000 for each </w:t>
      </w:r>
      <w:r w:rsidR="00182004">
        <w:t xml:space="preserve">day of the </w:t>
      </w:r>
      <w:r w:rsidRPr="00A622D6" w:rsidR="00D66C8C">
        <w:t xml:space="preserve">apparent violation of </w:t>
      </w:r>
      <w:r w:rsidR="00182004">
        <w:t xml:space="preserve">Section 301 of the Act and </w:t>
      </w:r>
      <w:r w:rsidRPr="00A622D6" w:rsidR="00787679">
        <w:t>Sections 1.903(a) and 90.1307(a)</w:t>
      </w:r>
      <w:r w:rsidR="00182004">
        <w:t xml:space="preserve"> of the Commission’s rules</w:t>
      </w:r>
      <w:r w:rsidRPr="00A622D6" w:rsidR="00D66C8C">
        <w:t xml:space="preserve">, resulting in an </w:t>
      </w:r>
      <w:r w:rsidRPr="00A622D6">
        <w:t>aggregate base forfeiture of $</w:t>
      </w:r>
      <w:r w:rsidRPr="00A622D6" w:rsidR="000B25C4">
        <w:t>2</w:t>
      </w:r>
      <w:r w:rsidRPr="00A622D6" w:rsidR="00B110E0">
        <w:t>0</w:t>
      </w:r>
      <w:r w:rsidRPr="00A622D6">
        <w:t>,000.</w:t>
      </w:r>
      <w:r>
        <w:rPr>
          <w:rStyle w:val="FootnoteReference"/>
        </w:rPr>
        <w:footnoteReference w:id="33"/>
      </w:r>
      <w:r w:rsidRPr="006D348C">
        <w:t xml:space="preserve">  We have discretion, however, to depart from these guidelines, taking into account the particular facts of each individual case.</w:t>
      </w:r>
      <w:r>
        <w:rPr>
          <w:rStyle w:val="FootnoteReference"/>
        </w:rPr>
        <w:footnoteReference w:id="34"/>
      </w:r>
      <w:r w:rsidRPr="006D348C">
        <w:t xml:space="preserve">  Given the totality of the circumstances, and consistent with the </w:t>
      </w:r>
      <w:r w:rsidRPr="000741C8">
        <w:rPr>
          <w:i/>
        </w:rPr>
        <w:t>Forfeiture Policy Statement</w:t>
      </w:r>
      <w:r w:rsidRPr="006D348C">
        <w:t xml:space="preserve">, </w:t>
      </w:r>
      <w:r w:rsidR="008901E8">
        <w:t xml:space="preserve">however, </w:t>
      </w:r>
      <w:r w:rsidRPr="006D348C">
        <w:t xml:space="preserve">we conclude that </w:t>
      </w:r>
      <w:r w:rsidR="00711DD9">
        <w:t>no</w:t>
      </w:r>
      <w:r w:rsidRPr="006D348C" w:rsidR="00711DD9">
        <w:t xml:space="preserve"> </w:t>
      </w:r>
      <w:r w:rsidRPr="006D348C">
        <w:t xml:space="preserve">upward </w:t>
      </w:r>
      <w:r w:rsidR="006A62B6">
        <w:t xml:space="preserve">or downward </w:t>
      </w:r>
      <w:r w:rsidRPr="006D348C">
        <w:t xml:space="preserve">adjustment is warranted.  After applying the </w:t>
      </w:r>
      <w:r w:rsidRPr="000741C8">
        <w:rPr>
          <w:i/>
        </w:rPr>
        <w:t>Forfeiture Policy Statement</w:t>
      </w:r>
      <w:r w:rsidRPr="006D348C">
        <w:t>, Section 1.80 of the Rules, and the statutory factors, we therefore propose a total monetary forfeiture of $</w:t>
      </w:r>
      <w:r w:rsidRPr="006D348C" w:rsidR="00711DD9">
        <w:t>2</w:t>
      </w:r>
      <w:r w:rsidR="00711DD9">
        <w:t>0</w:t>
      </w:r>
      <w:r w:rsidRPr="006D348C">
        <w:t xml:space="preserve">,000 for which </w:t>
      </w:r>
      <w:r w:rsidR="00711DD9">
        <w:t>Viaero</w:t>
      </w:r>
      <w:r w:rsidRPr="006D348C" w:rsidR="00CB6A3E">
        <w:t xml:space="preserve"> is</w:t>
      </w:r>
      <w:r w:rsidRPr="006D348C">
        <w:t xml:space="preserve"> apparently liable.</w:t>
      </w:r>
    </w:p>
    <w:p w:rsidR="00925877" w:rsidRPr="006D348C" w:rsidP="00EE5672" w14:paraId="12D57982" w14:textId="77777777">
      <w:pPr>
        <w:pStyle w:val="Heading1"/>
        <w:widowControl/>
      </w:pPr>
      <w:r w:rsidRPr="006D348C">
        <w:t>Conclusion</w:t>
      </w:r>
    </w:p>
    <w:p w:rsidR="00925877" w:rsidRPr="006D348C" w:rsidP="00EE5672" w14:paraId="22A3194A" w14:textId="77777777">
      <w:pPr>
        <w:pStyle w:val="ParaNum"/>
        <w:widowControl/>
        <w:tabs>
          <w:tab w:val="clear" w:pos="1080"/>
          <w:tab w:val="num" w:pos="1440"/>
        </w:tabs>
      </w:pPr>
      <w:r w:rsidRPr="006D348C">
        <w:t xml:space="preserve">We have determined that </w:t>
      </w:r>
      <w:r w:rsidR="00711DD9">
        <w:t>Viaero</w:t>
      </w:r>
      <w:r w:rsidRPr="006D348C" w:rsidR="00E9033F">
        <w:t xml:space="preserve"> </w:t>
      </w:r>
      <w:r w:rsidRPr="006D348C">
        <w:t xml:space="preserve">apparently willfully and repeatedly </w:t>
      </w:r>
      <w:r w:rsidRPr="006D348C" w:rsidR="001D78E2">
        <w:t xml:space="preserve">operated </w:t>
      </w:r>
      <w:r w:rsidR="0046137B">
        <w:t>from an unregistered site</w:t>
      </w:r>
      <w:r w:rsidRPr="006D348C" w:rsidR="001D78E2">
        <w:t xml:space="preserve"> in </w:t>
      </w:r>
      <w:r w:rsidRPr="006D348C">
        <w:t>violat</w:t>
      </w:r>
      <w:r w:rsidRPr="006D348C" w:rsidR="001D78E2">
        <w:t>ion of</w:t>
      </w:r>
      <w:r w:rsidRPr="006D348C">
        <w:t xml:space="preserve"> </w:t>
      </w:r>
      <w:r w:rsidR="00D86DC3">
        <w:t xml:space="preserve">Section 301 of the Act and </w:t>
      </w:r>
      <w:r w:rsidR="008B3498">
        <w:t>Sections 1.903</w:t>
      </w:r>
      <w:r w:rsidR="00787679">
        <w:t>(a)</w:t>
      </w:r>
      <w:r w:rsidR="008B3498">
        <w:t xml:space="preserve"> and 90.1307(a) of the Commission’s rules</w:t>
      </w:r>
      <w:r w:rsidRPr="006D348C">
        <w:t xml:space="preserve">. As such, </w:t>
      </w:r>
      <w:r w:rsidR="0046137B">
        <w:t>Viaero</w:t>
      </w:r>
      <w:r w:rsidRPr="006D348C" w:rsidR="00B840DC">
        <w:t xml:space="preserve"> </w:t>
      </w:r>
      <w:r w:rsidRPr="006D348C">
        <w:t>is apparently liable for a forfeiture of $</w:t>
      </w:r>
      <w:r w:rsidRPr="006D348C" w:rsidR="00711DD9">
        <w:t>2</w:t>
      </w:r>
      <w:r w:rsidR="00711DD9">
        <w:t>0</w:t>
      </w:r>
      <w:r w:rsidRPr="006D348C">
        <w:t>,000.</w:t>
      </w:r>
    </w:p>
    <w:p w:rsidR="00925877" w:rsidRPr="006D348C" w:rsidP="00EE5672" w14:paraId="660DF409" w14:textId="77777777">
      <w:pPr>
        <w:pStyle w:val="Heading1"/>
        <w:widowControl/>
      </w:pPr>
      <w:r w:rsidRPr="006D348C">
        <w:t>Ordering Clauses</w:t>
      </w:r>
    </w:p>
    <w:p w:rsidR="00925877" w:rsidRPr="006D348C" w:rsidP="00EE5672" w14:paraId="4057FA66" w14:textId="77777777">
      <w:pPr>
        <w:pStyle w:val="ParaNum"/>
        <w:widowControl/>
        <w:tabs>
          <w:tab w:val="clear" w:pos="1080"/>
          <w:tab w:val="num" w:pos="1440"/>
        </w:tabs>
        <w:rPr>
          <w:spacing w:val="-2"/>
        </w:rPr>
      </w:pPr>
      <w:r w:rsidRPr="006D348C">
        <w:t xml:space="preserve">Accordingly, </w:t>
      </w:r>
      <w:r w:rsidRPr="006D348C">
        <w:rPr>
          <w:b/>
        </w:rPr>
        <w:t>IT IS ORDERED</w:t>
      </w:r>
      <w:r w:rsidRPr="006D348C">
        <w:t xml:space="preserve"> that, pursuant to Section 503(b) of the Act</w:t>
      </w:r>
      <w:r>
        <w:rPr>
          <w:vertAlign w:val="superscript"/>
        </w:rPr>
        <w:footnoteReference w:id="35"/>
      </w:r>
      <w:r w:rsidRPr="006D348C">
        <w:t xml:space="preserve"> and Sections 1.80 of the Rules,</w:t>
      </w:r>
      <w:r>
        <w:rPr>
          <w:vertAlign w:val="superscript"/>
        </w:rPr>
        <w:footnoteReference w:id="36"/>
      </w:r>
      <w:r w:rsidRPr="006D348C">
        <w:t xml:space="preserve"> </w:t>
      </w:r>
      <w:r w:rsidR="0046137B">
        <w:t xml:space="preserve">NE Colorado Cellular, Inc. dba </w:t>
      </w:r>
      <w:r w:rsidR="0046137B">
        <w:t>Viaero</w:t>
      </w:r>
      <w:r w:rsidR="0046137B">
        <w:t xml:space="preserve"> Wireless</w:t>
      </w:r>
      <w:r w:rsidRPr="006D348C" w:rsidR="0046137B">
        <w:t xml:space="preserve"> </w:t>
      </w:r>
      <w:r w:rsidRPr="006D348C">
        <w:t xml:space="preserve">is hereby </w:t>
      </w:r>
      <w:r w:rsidRPr="006D348C">
        <w:rPr>
          <w:b/>
        </w:rPr>
        <w:t>NOTIFIED</w:t>
      </w:r>
      <w:r w:rsidRPr="006D348C">
        <w:t xml:space="preserve"> of </w:t>
      </w:r>
      <w:r w:rsidRPr="006D348C">
        <w:t xml:space="preserve">this </w:t>
      </w:r>
      <w:r w:rsidRPr="006D348C">
        <w:rPr>
          <w:b/>
        </w:rPr>
        <w:t>APPARENT LIABILITY FOR A FORFEITURE</w:t>
      </w:r>
      <w:r w:rsidRPr="006D348C">
        <w:t xml:space="preserve"> in the amount of </w:t>
      </w:r>
      <w:r w:rsidRPr="006D348C" w:rsidR="006D348C">
        <w:t>Twenty</w:t>
      </w:r>
      <w:r w:rsidRPr="006D348C">
        <w:t xml:space="preserve"> Thousand Dollars ($</w:t>
      </w:r>
      <w:r w:rsidRPr="006D348C" w:rsidR="0046137B">
        <w:t>2</w:t>
      </w:r>
      <w:r w:rsidR="0046137B">
        <w:t>0</w:t>
      </w:r>
      <w:r w:rsidRPr="006D348C">
        <w:t>,000) for willful and repeated violations of Section</w:t>
      </w:r>
      <w:r w:rsidR="008B3498">
        <w:t>s 1.903</w:t>
      </w:r>
      <w:r w:rsidR="00787679">
        <w:t>(a)</w:t>
      </w:r>
      <w:r w:rsidR="008B3498">
        <w:t xml:space="preserve"> and 90.13</w:t>
      </w:r>
      <w:r w:rsidR="002C67A8">
        <w:t>07(a) of the Commission’s rules</w:t>
      </w:r>
      <w:r w:rsidRPr="006D348C">
        <w:t>.</w:t>
      </w:r>
      <w:r>
        <w:rPr>
          <w:vertAlign w:val="superscript"/>
        </w:rPr>
        <w:footnoteReference w:id="37"/>
      </w:r>
      <w:r w:rsidRPr="006D348C">
        <w:t xml:space="preserve"> </w:t>
      </w:r>
    </w:p>
    <w:p w:rsidR="00925877" w:rsidRPr="006D348C" w:rsidP="00EE5672" w14:paraId="0A2E01EF" w14:textId="77777777">
      <w:pPr>
        <w:pStyle w:val="ParaNum"/>
        <w:widowControl/>
        <w:tabs>
          <w:tab w:val="clear" w:pos="1080"/>
          <w:tab w:val="num" w:pos="1440"/>
        </w:tabs>
        <w:rPr>
          <w:spacing w:val="-2"/>
        </w:rPr>
      </w:pPr>
      <w:r w:rsidRPr="006D348C">
        <w:rPr>
          <w:b/>
        </w:rPr>
        <w:t xml:space="preserve">IT IS FURTHER ORDERED </w:t>
      </w:r>
      <w:r w:rsidRPr="006D348C">
        <w:t>that, pursuant to Section 1.80 of the Rules,</w:t>
      </w:r>
      <w:r>
        <w:rPr>
          <w:vertAlign w:val="superscript"/>
        </w:rPr>
        <w:footnoteReference w:id="38"/>
      </w:r>
      <w:r w:rsidRPr="006D348C">
        <w:rPr>
          <w:vertAlign w:val="superscript"/>
        </w:rPr>
        <w:t xml:space="preserve"> </w:t>
      </w:r>
      <w:r w:rsidRPr="006D348C">
        <w:t xml:space="preserve">within thirty (30) calendar days of the release date of this Notice of Apparent Liability for Forfeiture, </w:t>
      </w:r>
      <w:r w:rsidR="0046137B">
        <w:t xml:space="preserve">NE Colorado Cellular, Inc. dba </w:t>
      </w:r>
      <w:r w:rsidR="0046137B">
        <w:t>Viaero</w:t>
      </w:r>
      <w:r w:rsidR="0046137B">
        <w:t xml:space="preserve"> Wireless</w:t>
      </w:r>
      <w:r w:rsidRPr="006D348C" w:rsidR="00E9033F">
        <w:t xml:space="preserve"> </w:t>
      </w:r>
      <w:r w:rsidRPr="006D348C">
        <w:rPr>
          <w:b/>
        </w:rPr>
        <w:t>SHALL PAY</w:t>
      </w:r>
      <w:r w:rsidRPr="006D348C">
        <w:t xml:space="preserve"> the full amount of the proposed forfeiture or </w:t>
      </w:r>
      <w:r w:rsidRPr="006D348C">
        <w:rPr>
          <w:b/>
        </w:rPr>
        <w:t>SHALL FILE</w:t>
      </w:r>
      <w:r w:rsidRPr="006D348C">
        <w:t xml:space="preserve"> a written statement seeking reduction or cancellation of the proposed forfeiture consistent with paragraph </w:t>
      </w:r>
      <w:r w:rsidRPr="006D348C" w:rsidR="00AE658F">
        <w:t>1</w:t>
      </w:r>
      <w:r w:rsidRPr="006D348C" w:rsidR="00323B37">
        <w:t>3</w:t>
      </w:r>
      <w:r w:rsidRPr="006D348C">
        <w:t xml:space="preserve"> below.</w:t>
      </w:r>
    </w:p>
    <w:p w:rsidR="00925877" w:rsidRPr="006D348C" w:rsidP="00EE5672" w14:paraId="220CF05D" w14:textId="77777777">
      <w:pPr>
        <w:pStyle w:val="ParaNum"/>
        <w:widowControl/>
        <w:tabs>
          <w:tab w:val="clear" w:pos="1080"/>
          <w:tab w:val="num" w:pos="1440"/>
        </w:tabs>
        <w:rPr>
          <w:spacing w:val="-2"/>
        </w:rPr>
      </w:pPr>
      <w:r w:rsidRPr="006D348C">
        <w:t xml:space="preserve">Payment of the forfeiture must be made by check or similar instrument, wire transfer, or credit card, and must include the NAL/Account Number and FRN referenced above.  </w:t>
      </w:r>
      <w:r w:rsidR="0046137B">
        <w:t xml:space="preserve">NE Colorado Cellular, Inc. dba </w:t>
      </w:r>
      <w:r w:rsidR="0046137B">
        <w:t>Viaero</w:t>
      </w:r>
      <w:r w:rsidR="0046137B">
        <w:t xml:space="preserve"> Wireless</w:t>
      </w:r>
      <w:r w:rsidRPr="006D348C" w:rsidR="0046137B">
        <w:t xml:space="preserve"> </w:t>
      </w:r>
      <w:r w:rsidRPr="006D348C">
        <w:t xml:space="preserve">shall send electronic notification of payment to </w:t>
      </w:r>
      <w:r w:rsidRPr="006D348C" w:rsidR="00E9033F">
        <w:t>Janet F. Moran</w:t>
      </w:r>
      <w:r w:rsidRPr="006D348C">
        <w:t xml:space="preserve"> at </w:t>
      </w:r>
      <w:hyperlink r:id="rId5" w:history="1">
        <w:r w:rsidRPr="006D348C" w:rsidR="00E9033F">
          <w:rPr>
            <w:rStyle w:val="Hyperlink"/>
          </w:rPr>
          <w:t>janet.moran@fcc.gov</w:t>
        </w:r>
      </w:hyperlink>
      <w:r w:rsidRPr="006D348C">
        <w:t xml:space="preserve">, with copy to </w:t>
      </w:r>
      <w:hyperlink r:id="rId6" w:history="1">
        <w:r w:rsidRPr="006D348C">
          <w:rPr>
            <w:rStyle w:val="Hyperlink"/>
          </w:rPr>
          <w:t>field@fcc.gov</w:t>
        </w:r>
      </w:hyperlink>
      <w:r w:rsidRPr="006D348C">
        <w:t xml:space="preserve"> on the date said payment is made.  Regardless of the form of payment, a completed FCC Form 159 (Remittance Advice) must be submitted.</w:t>
      </w:r>
      <w:r>
        <w:rPr>
          <w:vertAlign w:val="superscript"/>
        </w:rPr>
        <w:footnoteReference w:id="39"/>
      </w:r>
      <w:r w:rsidRPr="006D348C">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rsidRPr="006D348C">
        <w:tab/>
      </w:r>
    </w:p>
    <w:p w:rsidR="00925877" w:rsidRPr="006D348C" w:rsidP="00EE5672" w14:paraId="656DDEA6" w14:textId="77777777">
      <w:pPr>
        <w:widowControl/>
        <w:numPr>
          <w:ilvl w:val="0"/>
          <w:numId w:val="7"/>
        </w:numPr>
        <w:spacing w:after="120"/>
        <w:rPr>
          <w:b/>
          <w:color w:val="000000"/>
          <w:szCs w:val="22"/>
        </w:rPr>
      </w:pPr>
      <w:r w:rsidRPr="006D348C">
        <w:rPr>
          <w:rFonts w:eastAsia="MS Mincho"/>
          <w:color w:val="00000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925877" w:rsidRPr="006D348C" w:rsidP="00EE5672" w14:paraId="43036F5B" w14:textId="77777777">
      <w:pPr>
        <w:widowControl/>
        <w:numPr>
          <w:ilvl w:val="0"/>
          <w:numId w:val="7"/>
        </w:numPr>
        <w:spacing w:after="120"/>
        <w:rPr>
          <w:b/>
          <w:color w:val="000000"/>
          <w:szCs w:val="22"/>
        </w:rPr>
      </w:pPr>
      <w:r w:rsidRPr="006D348C">
        <w:rPr>
          <w:rFonts w:eastAsia="MS Mincho"/>
          <w:color w:val="000000"/>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925877" w:rsidRPr="006D348C" w:rsidP="00EE5672" w14:paraId="75D3C2DB" w14:textId="77777777">
      <w:pPr>
        <w:widowControl/>
        <w:numPr>
          <w:ilvl w:val="0"/>
          <w:numId w:val="7"/>
        </w:numPr>
        <w:spacing w:after="120"/>
        <w:rPr>
          <w:b/>
          <w:color w:val="000000"/>
          <w:szCs w:val="22"/>
        </w:rPr>
      </w:pPr>
      <w:r w:rsidRPr="006D348C">
        <w:rPr>
          <w:rFonts w:eastAsia="MS Mincho"/>
          <w:color w:val="000000"/>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925877" w:rsidRPr="006D348C" w:rsidP="00EE5672" w14:paraId="57E752BA" w14:textId="77777777">
      <w:pPr>
        <w:pStyle w:val="ParaNum"/>
        <w:widowControl/>
        <w:tabs>
          <w:tab w:val="clear" w:pos="1080"/>
          <w:tab w:val="num" w:pos="1440"/>
        </w:tabs>
      </w:pPr>
      <w:r w:rsidRPr="006D348C">
        <w:t>Any request for making full payment over time under an installment plan should be sent to:  Chief Financial Officer—Financial Operations, Federal Communications Commission, 445 12th Street, SW, Room 1-A625, Washington, DC 20554.</w:t>
      </w:r>
      <w:r>
        <w:rPr>
          <w:rStyle w:val="FootnoteReference"/>
          <w:szCs w:val="22"/>
        </w:rPr>
        <w:footnoteReference w:id="40"/>
      </w:r>
      <w:r w:rsidRPr="006D348C">
        <w:t xml:space="preserve">  Questions regarding payment procedures should be directed to the Financial Operations Group Help Desk by phone, 1-877-480-3201, or by e-mail, ARINQUIRIES@fcc.gov.</w:t>
      </w:r>
    </w:p>
    <w:p w:rsidR="00BD3FA1" w:rsidRPr="006D348C" w:rsidP="00EE5672" w14:paraId="605D9D7C" w14:textId="77777777">
      <w:pPr>
        <w:pStyle w:val="ParaNum"/>
        <w:widowControl/>
        <w:tabs>
          <w:tab w:val="clear" w:pos="1080"/>
          <w:tab w:val="num" w:pos="1440"/>
        </w:tabs>
      </w:pPr>
      <w:r w:rsidRPr="006D348C">
        <w:t>The written statement seeking reduction or cancellation of the proposed forfeiture, if any, must include a detailed factual statement supported by appropriate documentation and affidavits pursuant to Sections 1.16 and 1.80(f)(3) of the Rules.</w:t>
      </w:r>
      <w:r>
        <w:rPr>
          <w:vertAlign w:val="superscript"/>
        </w:rPr>
        <w:footnoteReference w:id="41"/>
      </w:r>
      <w:r w:rsidRPr="006D348C">
        <w:t xml:space="preserve">  The written statement must be mailed to the Office of the Secretary, Federal Communications Commission, 445 12th Street, SW, Washington, DC 20554, ATTN:  </w:t>
      </w:r>
      <w:r w:rsidRPr="006D348C">
        <w:t xml:space="preserve">Enforcement Bureau – Office of the Field Director, and must include the NAL/Account Number referenced in the caption.  The statement must also be e-mailed to </w:t>
      </w:r>
      <w:r w:rsidR="00122D82">
        <w:t>David Marks</w:t>
      </w:r>
      <w:r w:rsidRPr="006D348C">
        <w:t xml:space="preserve"> at </w:t>
      </w:r>
      <w:r w:rsidR="002C67A8">
        <w:t xml:space="preserve">david.marks@fcc.gov </w:t>
      </w:r>
      <w:r w:rsidRPr="006D348C" w:rsidR="002C67A8">
        <w:t>with</w:t>
      </w:r>
      <w:r w:rsidRPr="006D348C">
        <w:t xml:space="preserve"> a copy to </w:t>
      </w:r>
      <w:r w:rsidRPr="00B110A4" w:rsidR="00B110A4">
        <w:t>field@fcc.gov</w:t>
      </w:r>
      <w:r w:rsidRPr="006D348C">
        <w:t xml:space="preserve">. </w:t>
      </w:r>
    </w:p>
    <w:p w:rsidR="0046137B" w:rsidRPr="006D348C" w:rsidP="00EE5672" w14:paraId="026F77D1" w14:textId="77777777">
      <w:pPr>
        <w:pStyle w:val="ParaNum"/>
        <w:widowControl/>
        <w:tabs>
          <w:tab w:val="clear" w:pos="1080"/>
          <w:tab w:val="num" w:pos="1440"/>
        </w:tabs>
      </w:pPr>
      <w:r w:rsidRPr="006D348C">
        <w:t>The Commission will not consider reducing or canceling a forfeiture in response to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Any claim of inability to pay must specifically identify the basis for the claim by reference to the financial documentation.</w:t>
      </w:r>
    </w:p>
    <w:p w:rsidR="00925877" w:rsidRPr="006D348C" w:rsidP="00EE5672" w14:paraId="09543145" w14:textId="77777777">
      <w:pPr>
        <w:pStyle w:val="ParaNum"/>
        <w:keepNext/>
        <w:widowControl/>
        <w:tabs>
          <w:tab w:val="clear" w:pos="1080"/>
          <w:tab w:val="num" w:pos="1440"/>
        </w:tabs>
      </w:pPr>
      <w:r w:rsidRPr="006D348C">
        <w:rPr>
          <w:b/>
        </w:rPr>
        <w:t xml:space="preserve">IT IS FURTHER ORDERED </w:t>
      </w:r>
      <w:r w:rsidRPr="006D348C">
        <w:t xml:space="preserve">that a copy of this Notice of Apparent Liability for Forfeiture shall be sent by first class mail and certified mail, return receipt requested, to </w:t>
      </w:r>
      <w:r w:rsidR="00B45067">
        <w:t xml:space="preserve">NE Colorado Cellular, Inc. dba </w:t>
      </w:r>
      <w:r w:rsidR="00B45067">
        <w:t>Viaero</w:t>
      </w:r>
      <w:r w:rsidR="00B45067">
        <w:t xml:space="preserve"> Wireless</w:t>
      </w:r>
      <w:r w:rsidRPr="006D348C" w:rsidR="00B45067">
        <w:t xml:space="preserve"> </w:t>
      </w:r>
      <w:r w:rsidRPr="006D348C">
        <w:t xml:space="preserve">at </w:t>
      </w:r>
      <w:r w:rsidR="00B45067">
        <w:t>its</w:t>
      </w:r>
      <w:r w:rsidRPr="006D348C" w:rsidR="00B45067">
        <w:t xml:space="preserve"> </w:t>
      </w:r>
      <w:r w:rsidRPr="006D348C">
        <w:t xml:space="preserve">address of record. </w:t>
      </w:r>
    </w:p>
    <w:p w:rsidR="00485BBA" w:rsidRPr="006D348C" w:rsidP="00EE5672" w14:paraId="7DF2DB36" w14:textId="77777777">
      <w:pPr>
        <w:pStyle w:val="ParaNum"/>
        <w:keepNext/>
        <w:widowControl/>
        <w:numPr>
          <w:ilvl w:val="0"/>
          <w:numId w:val="0"/>
        </w:numPr>
        <w:spacing w:after="0"/>
        <w:ind w:left="720"/>
      </w:pPr>
    </w:p>
    <w:p w:rsidR="00925877" w:rsidRPr="006D348C" w:rsidP="00EE5672" w14:paraId="68D0B1D3" w14:textId="77777777">
      <w:pPr>
        <w:widowControl/>
      </w:pPr>
      <w:r w:rsidRPr="006D348C">
        <w:tab/>
      </w:r>
      <w:r w:rsidRPr="006D348C">
        <w:tab/>
      </w:r>
      <w:r w:rsidRPr="006D348C">
        <w:tab/>
      </w:r>
      <w:r w:rsidRPr="006D348C">
        <w:tab/>
      </w:r>
      <w:r w:rsidRPr="006D348C">
        <w:tab/>
      </w:r>
      <w:r w:rsidRPr="006D348C">
        <w:tab/>
        <w:t>FEDERAL COMMUNICATIONS COMMISSION</w:t>
      </w:r>
    </w:p>
    <w:p w:rsidR="00925877" w:rsidRPr="006D348C" w:rsidP="00EE5672" w14:paraId="2942C917" w14:textId="77777777">
      <w:pPr>
        <w:widowControl/>
      </w:pPr>
    </w:p>
    <w:p w:rsidR="00925877" w:rsidRPr="006D348C" w:rsidP="00EE5672" w14:paraId="02293E3E" w14:textId="77777777">
      <w:pPr>
        <w:widowControl/>
      </w:pPr>
    </w:p>
    <w:p w:rsidR="00925877" w:rsidRPr="006D348C" w:rsidP="00EE5672" w14:paraId="03457D8F" w14:textId="77777777">
      <w:pPr>
        <w:widowControl/>
      </w:pPr>
    </w:p>
    <w:p w:rsidR="00925877" w:rsidRPr="006D348C" w:rsidP="00EE5672" w14:paraId="1BEE90CC" w14:textId="77777777">
      <w:pPr>
        <w:widowControl/>
      </w:pPr>
    </w:p>
    <w:p w:rsidR="00925877" w:rsidRPr="006D348C" w:rsidP="00EE5672" w14:paraId="2A35B547" w14:textId="77777777">
      <w:pPr>
        <w:widowControl/>
      </w:pPr>
      <w:r w:rsidRPr="006D348C">
        <w:tab/>
      </w:r>
      <w:r w:rsidRPr="006D348C">
        <w:tab/>
      </w:r>
      <w:r w:rsidRPr="006D348C">
        <w:tab/>
      </w:r>
      <w:r w:rsidRPr="006D348C">
        <w:tab/>
      </w:r>
      <w:r w:rsidRPr="006D348C">
        <w:tab/>
      </w:r>
      <w:r w:rsidRPr="006D348C">
        <w:tab/>
      </w:r>
      <w:r w:rsidR="00D8321F">
        <w:t>Lark Hadley</w:t>
      </w:r>
    </w:p>
    <w:p w:rsidR="00925877" w:rsidRPr="006D348C" w:rsidP="00EE5672" w14:paraId="69782873" w14:textId="77777777">
      <w:pPr>
        <w:widowControl/>
      </w:pPr>
      <w:r w:rsidRPr="006D348C">
        <w:tab/>
      </w:r>
      <w:r w:rsidRPr="006D348C">
        <w:tab/>
      </w:r>
      <w:r w:rsidRPr="006D348C">
        <w:tab/>
      </w:r>
      <w:r w:rsidRPr="006D348C">
        <w:tab/>
      </w:r>
      <w:r w:rsidRPr="006D348C">
        <w:tab/>
      </w:r>
      <w:r w:rsidRPr="006D348C">
        <w:tab/>
        <w:t xml:space="preserve">Regional Director, Region </w:t>
      </w:r>
      <w:r w:rsidR="00B110A4">
        <w:t>Three</w:t>
      </w:r>
    </w:p>
    <w:p w:rsidR="00925877" w:rsidRPr="00925877" w:rsidP="00EE5672" w14:paraId="41B4C4CE" w14:textId="77777777">
      <w:pPr>
        <w:widowControl/>
      </w:pPr>
      <w:r w:rsidRPr="006D348C">
        <w:tab/>
      </w:r>
      <w:r w:rsidRPr="006D348C">
        <w:tab/>
      </w:r>
      <w:r w:rsidRPr="006D348C">
        <w:tab/>
      </w:r>
      <w:r w:rsidRPr="006D348C">
        <w:tab/>
      </w:r>
      <w:r w:rsidRPr="006D348C">
        <w:tab/>
      </w:r>
      <w:r w:rsidRPr="006D348C">
        <w:tab/>
        <w:t>Enforcement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20D" w:rsidP="0055614C" w14:paraId="1D3896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50020D" w14:paraId="1EF8DBB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20D" w:rsidP="0055614C" w14:paraId="5F37EA3E" w14:textId="77777777">
    <w:pPr>
      <w:pStyle w:val="Footer"/>
      <w:framePr w:wrap="around" w:vAnchor="text" w:hAnchor="margin" w:xAlign="center" w:y="1"/>
    </w:pPr>
    <w:r>
      <w:fldChar w:fldCharType="begin"/>
    </w:r>
    <w:r>
      <w:instrText xml:space="preserve">PAGE  </w:instrText>
    </w:r>
    <w:r>
      <w:fldChar w:fldCharType="separate"/>
    </w:r>
    <w:r w:rsidR="00EB2A81">
      <w:rPr>
        <w:noProof/>
      </w:rPr>
      <w:t>2</w:t>
    </w:r>
    <w:r>
      <w:fldChar w:fldCharType="end"/>
    </w:r>
  </w:p>
  <w:p w:rsidR="0050020D" w14:paraId="7F2226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20D" w14:paraId="6C589A5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12AA" w14:paraId="1566A55A" w14:textId="77777777">
      <w:r>
        <w:separator/>
      </w:r>
    </w:p>
  </w:footnote>
  <w:footnote w:type="continuationSeparator" w:id="1">
    <w:p w:rsidR="00F312AA" w:rsidP="00C721AC" w14:paraId="07F41D17" w14:textId="77777777">
      <w:pPr>
        <w:spacing w:before="120"/>
        <w:rPr>
          <w:sz w:val="20"/>
        </w:rPr>
      </w:pPr>
      <w:r>
        <w:rPr>
          <w:sz w:val="20"/>
        </w:rPr>
        <w:t xml:space="preserve">(Continued from previous page)  </w:t>
      </w:r>
      <w:r>
        <w:rPr>
          <w:sz w:val="20"/>
        </w:rPr>
        <w:separator/>
      </w:r>
    </w:p>
  </w:footnote>
  <w:footnote w:type="continuationNotice" w:id="2">
    <w:p w:rsidR="00F312AA" w:rsidP="00C721AC" w14:paraId="70D57076" w14:textId="77777777">
      <w:pPr>
        <w:jc w:val="right"/>
        <w:rPr>
          <w:sz w:val="20"/>
        </w:rPr>
      </w:pPr>
    </w:p>
  </w:footnote>
  <w:footnote w:id="3">
    <w:p w:rsidR="008334C0" w:rsidP="008334C0" w14:paraId="2F2B9948"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4">
    <w:p w:rsidR="0046775A" w:rsidP="0046775A" w14:paraId="36A4370C" w14:textId="77777777">
      <w:pPr>
        <w:pStyle w:val="FootnoteText"/>
      </w:pPr>
      <w:r>
        <w:rPr>
          <w:rStyle w:val="FootnoteReference"/>
        </w:rPr>
        <w:footnoteRef/>
      </w:r>
      <w:r>
        <w:t xml:space="preserve"> </w:t>
      </w:r>
      <w:r w:rsidR="005F0197">
        <w:t>47 U.S.C.</w:t>
      </w:r>
      <w:r w:rsidRPr="005F0197" w:rsidR="005F0197">
        <w:t xml:space="preserve"> § </w:t>
      </w:r>
      <w:r w:rsidR="005F0197">
        <w:t xml:space="preserve">301; </w:t>
      </w:r>
      <w:r>
        <w:t xml:space="preserve">47 CFR </w:t>
      </w:r>
      <w:bookmarkStart w:id="2" w:name="_Hlk256724"/>
      <w:r>
        <w:t>§</w:t>
      </w:r>
      <w:r w:rsidR="0086184A">
        <w:t>§</w:t>
      </w:r>
      <w:r>
        <w:t xml:space="preserve"> </w:t>
      </w:r>
      <w:bookmarkEnd w:id="2"/>
      <w:r>
        <w:t>1.903(a)</w:t>
      </w:r>
      <w:r w:rsidR="0086184A">
        <w:t xml:space="preserve">, </w:t>
      </w:r>
      <w:r w:rsidRPr="0022132D">
        <w:t>90.1307(a)</w:t>
      </w:r>
      <w:r>
        <w:t>.</w:t>
      </w:r>
    </w:p>
  </w:footnote>
  <w:footnote w:id="5">
    <w:p w:rsidR="00E62526" w:rsidP="00E62526" w14:paraId="54E0A3AC" w14:textId="77777777">
      <w:pPr>
        <w:pStyle w:val="FootnoteText"/>
      </w:pPr>
      <w:r>
        <w:rPr>
          <w:rStyle w:val="FootnoteReference"/>
        </w:rPr>
        <w:footnoteRef/>
      </w:r>
      <w:r>
        <w:t xml:space="preserve"> </w:t>
      </w:r>
      <w:r w:rsidRPr="00E62526">
        <w:rPr>
          <w:i/>
        </w:rPr>
        <w:t>See</w:t>
      </w:r>
      <w:r>
        <w:t xml:space="preserve"> </w:t>
      </w:r>
      <w:r w:rsidRPr="00E62526">
        <w:rPr>
          <w:i/>
        </w:rPr>
        <w:t xml:space="preserve">Report to Cong. Pursuant to Section 1008 of the Spectrum Pipeline Act of 2015, </w:t>
      </w:r>
      <w:r>
        <w:rPr>
          <w:i/>
        </w:rPr>
        <w:t>a</w:t>
      </w:r>
      <w:r w:rsidRPr="00E62526">
        <w:rPr>
          <w:i/>
        </w:rPr>
        <w:t>s Amended by the Ray Baum's Act of 2018</w:t>
      </w:r>
      <w:r>
        <w:rPr>
          <w:i/>
        </w:rPr>
        <w:t xml:space="preserve">, </w:t>
      </w:r>
      <w:r>
        <w:t xml:space="preserve">Report, DA 18-1128, para.3, (WTB </w:t>
      </w:r>
      <w:r w:rsidR="006D0C35">
        <w:t>Nov. 2,</w:t>
      </w:r>
      <w:r>
        <w:t>2018)</w:t>
      </w:r>
      <w:r w:rsidR="00DF30D6">
        <w:t xml:space="preserve">; </w:t>
      </w:r>
      <w:r w:rsidR="00DF30D6">
        <w:rPr>
          <w:i/>
        </w:rPr>
        <w:t xml:space="preserve">see also </w:t>
      </w:r>
      <w:r w:rsidR="00DF30D6">
        <w:t xml:space="preserve">47 CFR Pt. 90, subpart Z, and Pt. 96; </w:t>
      </w:r>
      <w:r w:rsidRPr="00A03364" w:rsidR="00DF30D6">
        <w:t xml:space="preserve">47 CFR § </w:t>
      </w:r>
      <w:r w:rsidR="00DF30D6">
        <w:t>2.106</w:t>
      </w:r>
      <w:r>
        <w:t>.</w:t>
      </w:r>
    </w:p>
  </w:footnote>
  <w:footnote w:id="6">
    <w:p w:rsidR="00152324" w14:paraId="48F3CEEE" w14:textId="77777777">
      <w:pPr>
        <w:pStyle w:val="FootnoteText"/>
      </w:pPr>
      <w:r>
        <w:rPr>
          <w:rStyle w:val="FootnoteReference"/>
        </w:rPr>
        <w:footnoteRef/>
      </w:r>
      <w:r>
        <w:t xml:space="preserve"> </w:t>
      </w:r>
      <w:r w:rsidR="00A15316">
        <w:t>ASR #</w:t>
      </w:r>
      <w:r w:rsidR="00A15316">
        <w:rPr>
          <w:szCs w:val="22"/>
        </w:rPr>
        <w:t xml:space="preserve">1278898 </w:t>
      </w:r>
      <w:r>
        <w:t xml:space="preserve">is registered to </w:t>
      </w:r>
      <w:r w:rsidRPr="00A15316" w:rsidR="00A15316">
        <w:t>Industrial Tower and Wireless, LLC</w:t>
      </w:r>
      <w:r w:rsidR="00A15316">
        <w:t xml:space="preserve">.  </w:t>
      </w:r>
    </w:p>
  </w:footnote>
  <w:footnote w:id="7">
    <w:p w:rsidR="0050020D" w:rsidRPr="00D66C8C" w14:paraId="4C566B4F" w14:textId="77777777">
      <w:pPr>
        <w:pStyle w:val="FootnoteText"/>
      </w:pPr>
      <w:r>
        <w:rPr>
          <w:rStyle w:val="FootnoteReference"/>
        </w:rPr>
        <w:footnoteRef/>
      </w:r>
      <w:r>
        <w:t xml:space="preserve"> </w:t>
      </w:r>
      <w:r w:rsidRPr="00AA090E" w:rsidR="00C664F5">
        <w:rPr>
          <w:i/>
        </w:rPr>
        <w:t>NE Colo</w:t>
      </w:r>
      <w:r w:rsidR="00BF33CA">
        <w:rPr>
          <w:i/>
        </w:rPr>
        <w:t>.</w:t>
      </w:r>
      <w:r w:rsidRPr="00AA090E" w:rsidR="00C664F5">
        <w:rPr>
          <w:i/>
        </w:rPr>
        <w:t xml:space="preserve"> Cellular, Inc. dba </w:t>
      </w:r>
      <w:r w:rsidRPr="00AA090E" w:rsidR="00C664F5">
        <w:rPr>
          <w:i/>
        </w:rPr>
        <w:t>Viaero</w:t>
      </w:r>
      <w:r w:rsidRPr="00AA090E" w:rsidR="00C664F5">
        <w:rPr>
          <w:i/>
        </w:rPr>
        <w:t xml:space="preserve"> Wireless</w:t>
      </w:r>
      <w:r w:rsidRPr="00F04F0C">
        <w:t xml:space="preserve">, Notice of </w:t>
      </w:r>
      <w:r w:rsidR="00BF33CA">
        <w:t>Violation</w:t>
      </w:r>
      <w:r w:rsidRPr="00F04F0C">
        <w:t xml:space="preserve"> (</w:t>
      </w:r>
      <w:r w:rsidR="00FC0AF0">
        <w:t>Los Angeles</w:t>
      </w:r>
      <w:r w:rsidRPr="00F04F0C" w:rsidR="006A2C01">
        <w:t xml:space="preserve"> </w:t>
      </w:r>
      <w:r w:rsidRPr="00F04F0C" w:rsidR="000434CC">
        <w:t>Regional Office</w:t>
      </w:r>
      <w:r w:rsidRPr="00F04F0C">
        <w:t xml:space="preserve">, </w:t>
      </w:r>
      <w:r w:rsidR="00FC0AF0">
        <w:t>Apr. 4</w:t>
      </w:r>
      <w:r w:rsidRPr="00F04F0C">
        <w:t xml:space="preserve">, </w:t>
      </w:r>
      <w:r w:rsidRPr="00F04F0C" w:rsidR="000434CC">
        <w:t>201</w:t>
      </w:r>
      <w:r w:rsidR="00A03364">
        <w:t>8</w:t>
      </w:r>
      <w:r w:rsidRPr="00F04F0C">
        <w:t xml:space="preserve">), </w:t>
      </w:r>
      <w:hyperlink r:id="rId1" w:history="1">
        <w:r w:rsidRPr="001A3BAD" w:rsidR="003F6558">
          <w:rPr>
            <w:rStyle w:val="Hyperlink"/>
          </w:rPr>
          <w:t>https://transition.fcc.gov/eb/Orders/2018/DOC-350067A1.html</w:t>
        </w:r>
      </w:hyperlink>
      <w:r w:rsidR="003F6558">
        <w:t>.</w:t>
      </w:r>
    </w:p>
  </w:footnote>
  <w:footnote w:id="8">
    <w:p w:rsidR="00D704AE" w:rsidRPr="00AA090E" w14:paraId="2A5F904A" w14:textId="77777777">
      <w:pPr>
        <w:pStyle w:val="FootnoteText"/>
      </w:pPr>
      <w:r>
        <w:rPr>
          <w:rStyle w:val="FootnoteReference"/>
        </w:rPr>
        <w:footnoteRef/>
      </w:r>
      <w:r>
        <w:t xml:space="preserve"> </w:t>
      </w:r>
      <w:r w:rsidRPr="00141BB4">
        <w:rPr>
          <w:i/>
        </w:rPr>
        <w:t>See id.</w:t>
      </w:r>
      <w:r>
        <w:t xml:space="preserve"> at 1.</w:t>
      </w:r>
    </w:p>
  </w:footnote>
  <w:footnote w:id="9">
    <w:p w:rsidR="00D704AE" w14:paraId="2F2F3183" w14:textId="77777777">
      <w:pPr>
        <w:pStyle w:val="FootnoteText"/>
      </w:pPr>
      <w:r>
        <w:rPr>
          <w:rStyle w:val="FootnoteReference"/>
        </w:rPr>
        <w:footnoteRef/>
      </w:r>
      <w:r>
        <w:t xml:space="preserve"> </w:t>
      </w:r>
      <w:r w:rsidRPr="00141BB4">
        <w:rPr>
          <w:i/>
        </w:rPr>
        <w:t>See id.</w:t>
      </w:r>
      <w:r>
        <w:t xml:space="preserve"> at 1-2.</w:t>
      </w:r>
    </w:p>
  </w:footnote>
  <w:footnote w:id="10">
    <w:p w:rsidR="00D704AE" w14:paraId="408B4522" w14:textId="77777777">
      <w:pPr>
        <w:pStyle w:val="FootnoteText"/>
      </w:pPr>
      <w:r>
        <w:rPr>
          <w:rStyle w:val="FootnoteReference"/>
        </w:rPr>
        <w:footnoteRef/>
      </w:r>
      <w:r>
        <w:t xml:space="preserve"> </w:t>
      </w:r>
      <w:r w:rsidRPr="00141BB4">
        <w:rPr>
          <w:i/>
        </w:rPr>
        <w:t>See id.</w:t>
      </w:r>
      <w:r>
        <w:t xml:space="preserve"> at 2.</w:t>
      </w:r>
    </w:p>
  </w:footnote>
  <w:footnote w:id="11">
    <w:p w:rsidR="006831E1" w14:paraId="39E7FB53" w14:textId="77777777">
      <w:pPr>
        <w:pStyle w:val="FootnoteText"/>
      </w:pPr>
      <w:r>
        <w:rPr>
          <w:rStyle w:val="FootnoteReference"/>
        </w:rPr>
        <w:footnoteRef/>
      </w:r>
      <w:r>
        <w:t xml:space="preserve"> </w:t>
      </w:r>
      <w:r w:rsidRPr="006831E1">
        <w:rPr>
          <w:i/>
        </w:rPr>
        <w:t>See</w:t>
      </w:r>
      <w:r>
        <w:t xml:space="preserve"> </w:t>
      </w:r>
      <w:r w:rsidRPr="00B63C8F">
        <w:t>Letter from</w:t>
      </w:r>
      <w:r w:rsidRPr="00B63C8F" w:rsidR="005235EC">
        <w:t xml:space="preserve"> </w:t>
      </w:r>
      <w:r w:rsidRPr="00B63C8F" w:rsidR="00A15316">
        <w:t xml:space="preserve">David A. </w:t>
      </w:r>
      <w:r w:rsidRPr="00B63C8F" w:rsidR="00A15316">
        <w:t>Lafuria</w:t>
      </w:r>
      <w:r w:rsidRPr="00B63C8F" w:rsidR="00A15316">
        <w:t xml:space="preserve"> and Todd </w:t>
      </w:r>
      <w:r w:rsidR="005F0197">
        <w:t>Slamowitz</w:t>
      </w:r>
      <w:r w:rsidRPr="00B63C8F" w:rsidR="00A15316">
        <w:t xml:space="preserve">, counsel for </w:t>
      </w:r>
      <w:r w:rsidRPr="002941D6" w:rsidR="00FC0AF0">
        <w:t xml:space="preserve">NE </w:t>
      </w:r>
      <w:r w:rsidRPr="004259AA" w:rsidR="00FC0AF0">
        <w:t>Colo</w:t>
      </w:r>
      <w:r w:rsidR="00862A2B">
        <w:t>rado</w:t>
      </w:r>
      <w:r w:rsidRPr="002941D6" w:rsidR="00FC0AF0">
        <w:t xml:space="preserve"> Cellular, Inc. dba </w:t>
      </w:r>
      <w:r w:rsidRPr="002941D6" w:rsidR="00FC0AF0">
        <w:t>Viaero</w:t>
      </w:r>
      <w:r w:rsidRPr="002941D6" w:rsidR="00FC0AF0">
        <w:t xml:space="preserve"> Wireless</w:t>
      </w:r>
      <w:r w:rsidR="00B63C8F">
        <w:t>,</w:t>
      </w:r>
      <w:r w:rsidR="00FC0AF0">
        <w:rPr>
          <w:i/>
        </w:rPr>
        <w:t xml:space="preserve"> </w:t>
      </w:r>
      <w:r>
        <w:t xml:space="preserve">to </w:t>
      </w:r>
      <w:r w:rsidR="00D033DC">
        <w:t>Los Angeles Regional Office</w:t>
      </w:r>
      <w:r>
        <w:t xml:space="preserve">, FCC (received </w:t>
      </w:r>
      <w:r w:rsidR="00FC0AF0">
        <w:t>Apr.</w:t>
      </w:r>
      <w:r>
        <w:t xml:space="preserve"> </w:t>
      </w:r>
      <w:r w:rsidR="00D033DC">
        <w:t>20</w:t>
      </w:r>
      <w:r>
        <w:t>, 2018)</w:t>
      </w:r>
      <w:r w:rsidR="00B63C8F">
        <w:t xml:space="preserve"> (on file in EB-FIELDWR-18-00026229) (NOV Response)</w:t>
      </w:r>
      <w:r>
        <w:t>.</w:t>
      </w:r>
    </w:p>
  </w:footnote>
  <w:footnote w:id="12">
    <w:p w:rsidR="00141BB4" w:rsidRPr="00AA090E" w14:paraId="13A16E0E" w14:textId="77777777">
      <w:pPr>
        <w:pStyle w:val="FootnoteText"/>
      </w:pPr>
      <w:r>
        <w:rPr>
          <w:rStyle w:val="FootnoteReference"/>
        </w:rPr>
        <w:footnoteRef/>
      </w:r>
      <w:r>
        <w:t xml:space="preserve"> </w:t>
      </w:r>
      <w:r w:rsidRPr="00141BB4">
        <w:rPr>
          <w:i/>
        </w:rPr>
        <w:t>See id.</w:t>
      </w:r>
      <w:r w:rsidR="00B93E5B">
        <w:t xml:space="preserve"> at 2.</w:t>
      </w:r>
    </w:p>
  </w:footnote>
  <w:footnote w:id="13">
    <w:p w:rsidR="00B93E5B" w14:paraId="3307CCD4" w14:textId="77777777">
      <w:pPr>
        <w:pStyle w:val="FootnoteText"/>
      </w:pPr>
      <w:r>
        <w:rPr>
          <w:rStyle w:val="FootnoteReference"/>
        </w:rPr>
        <w:footnoteRef/>
      </w:r>
      <w:r>
        <w:t xml:space="preserve"> </w:t>
      </w:r>
      <w:r w:rsidRPr="00AA090E">
        <w:rPr>
          <w:i/>
        </w:rPr>
        <w:t>Id</w:t>
      </w:r>
      <w:r>
        <w:t>.</w:t>
      </w:r>
    </w:p>
  </w:footnote>
  <w:footnote w:id="14">
    <w:p w:rsidR="00CD2B59" w14:paraId="4D49AE44" w14:textId="77777777">
      <w:pPr>
        <w:pStyle w:val="FootnoteText"/>
      </w:pPr>
      <w:r>
        <w:rPr>
          <w:rStyle w:val="FootnoteReference"/>
        </w:rPr>
        <w:footnoteRef/>
      </w:r>
      <w:r>
        <w:t xml:space="preserve"> </w:t>
      </w:r>
      <w:r w:rsidRPr="007828C5">
        <w:rPr>
          <w:i/>
        </w:rPr>
        <w:t>See id.</w:t>
      </w:r>
      <w:r>
        <w:t xml:space="preserve"> at 1-2.</w:t>
      </w:r>
    </w:p>
  </w:footnote>
  <w:footnote w:id="15">
    <w:p w:rsidR="009B7FDB" w14:paraId="1EAF4AF6" w14:textId="77777777">
      <w:pPr>
        <w:pStyle w:val="FootnoteText"/>
      </w:pPr>
      <w:r>
        <w:rPr>
          <w:rStyle w:val="FootnoteReference"/>
        </w:rPr>
        <w:footnoteRef/>
      </w:r>
      <w:r>
        <w:t xml:space="preserve"> </w:t>
      </w:r>
      <w:r w:rsidRPr="00141BB4">
        <w:rPr>
          <w:i/>
        </w:rPr>
        <w:t>See id.</w:t>
      </w:r>
      <w:r>
        <w:t xml:space="preserve"> at </w:t>
      </w:r>
      <w:r w:rsidR="00CD2B59">
        <w:t>2</w:t>
      </w:r>
      <w:r>
        <w:t>-</w:t>
      </w:r>
      <w:r w:rsidR="00CD2B59">
        <w:t>3</w:t>
      </w:r>
      <w:r>
        <w:t>.</w:t>
      </w:r>
    </w:p>
  </w:footnote>
  <w:footnote w:id="16">
    <w:p w:rsidR="0006292B" w14:paraId="45DB7431" w14:textId="77777777">
      <w:pPr>
        <w:pStyle w:val="FootnoteText"/>
      </w:pPr>
      <w:r>
        <w:rPr>
          <w:rStyle w:val="FootnoteReference"/>
        </w:rPr>
        <w:footnoteRef/>
      </w:r>
      <w:r>
        <w:t xml:space="preserve"> </w:t>
      </w:r>
      <w:r>
        <w:rPr>
          <w:i/>
        </w:rPr>
        <w:t xml:space="preserve">See </w:t>
      </w:r>
      <w:r>
        <w:t xml:space="preserve">Universal Licensing System, License Call Sign </w:t>
      </w:r>
      <w:r w:rsidRPr="00640A95">
        <w:rPr>
          <w:spacing w:val="-2"/>
        </w:rPr>
        <w:t>WQUP435</w:t>
      </w:r>
      <w:r>
        <w:rPr>
          <w:spacing w:val="-2"/>
        </w:rPr>
        <w:t>, ULS Application File Nos. 0008154666, 0008154</w:t>
      </w:r>
      <w:r w:rsidR="006D1722">
        <w:rPr>
          <w:spacing w:val="-2"/>
        </w:rPr>
        <w:t>6</w:t>
      </w:r>
      <w:r>
        <w:rPr>
          <w:spacing w:val="-2"/>
        </w:rPr>
        <w:t xml:space="preserve">73, </w:t>
      </w:r>
      <w:r w:rsidR="006D1722">
        <w:rPr>
          <w:spacing w:val="-2"/>
        </w:rPr>
        <w:t xml:space="preserve">and </w:t>
      </w:r>
      <w:r>
        <w:rPr>
          <w:spacing w:val="-2"/>
        </w:rPr>
        <w:t>0008154682.</w:t>
      </w:r>
    </w:p>
  </w:footnote>
  <w:footnote w:id="17">
    <w:p w:rsidR="00ED71D1" w:rsidP="00ED71D1" w14:paraId="0F0557D1" w14:textId="77777777">
      <w:pPr>
        <w:pStyle w:val="FootnoteText"/>
      </w:pPr>
      <w:r>
        <w:rPr>
          <w:rStyle w:val="FootnoteReference"/>
        </w:rPr>
        <w:footnoteRef/>
      </w:r>
      <w:r>
        <w:t xml:space="preserve"> 47 U.S.C. § 301. </w:t>
      </w:r>
    </w:p>
  </w:footnote>
  <w:footnote w:id="18">
    <w:p w:rsidR="0050020D" w:rsidP="004F4DE0" w14:paraId="5B06A280" w14:textId="77777777">
      <w:pPr>
        <w:pStyle w:val="FootnoteText"/>
      </w:pPr>
      <w:r>
        <w:rPr>
          <w:rStyle w:val="FootnoteReference"/>
        </w:rPr>
        <w:footnoteRef/>
      </w:r>
      <w:r>
        <w:t xml:space="preserve"> </w:t>
      </w:r>
      <w:r w:rsidR="00A273E1">
        <w:t>47 CFR § 1.903(a).</w:t>
      </w:r>
    </w:p>
  </w:footnote>
  <w:footnote w:id="19">
    <w:p w:rsidR="00ED71D1" w:rsidP="00ED71D1" w14:paraId="2894DD78" w14:textId="77777777">
      <w:pPr>
        <w:pStyle w:val="FootnoteText"/>
      </w:pPr>
      <w:r>
        <w:rPr>
          <w:rStyle w:val="FootnoteReference"/>
        </w:rPr>
        <w:footnoteRef/>
      </w:r>
      <w:r>
        <w:t xml:space="preserve"> 47 C.F.R. § 90.1307.</w:t>
      </w:r>
    </w:p>
  </w:footnote>
  <w:footnote w:id="20">
    <w:p w:rsidR="0022132D" w14:paraId="72011DAE" w14:textId="77777777">
      <w:pPr>
        <w:pStyle w:val="FootnoteText"/>
      </w:pPr>
      <w:r>
        <w:rPr>
          <w:rStyle w:val="FootnoteReference"/>
        </w:rPr>
        <w:footnoteRef/>
      </w:r>
      <w:r>
        <w:t xml:space="preserve"> </w:t>
      </w:r>
      <w:r w:rsidRPr="0022132D">
        <w:t>47 CFR § 90.1307(a)</w:t>
      </w:r>
      <w:r w:rsidR="00286D1D">
        <w:t xml:space="preserve"> (“</w:t>
      </w:r>
      <w:r w:rsidRPr="00286D1D" w:rsidR="00286D1D">
        <w:t>The 3650-3700 MHz band is licensed on the basis of non-exclusive nationwide licenses.</w:t>
      </w:r>
      <w:r w:rsidR="00286D1D">
        <w:t>”)</w:t>
      </w:r>
      <w:r w:rsidR="00A7164D">
        <w:t>.</w:t>
      </w:r>
      <w:r w:rsidR="00DD30A0">
        <w:t xml:space="preserve">  The Commission subsequently adopted rules licensing the Citizens Broadband </w:t>
      </w:r>
      <w:r w:rsidR="000D15DB">
        <w:t xml:space="preserve">Radio </w:t>
      </w:r>
      <w:r w:rsidR="00DD30A0">
        <w:t xml:space="preserve">Service, and grandfathered the </w:t>
      </w:r>
      <w:r w:rsidR="001E7CBC">
        <w:t xml:space="preserve">licenses </w:t>
      </w:r>
      <w:r w:rsidR="000D15DB">
        <w:t xml:space="preserve">previously granted </w:t>
      </w:r>
      <w:r w:rsidR="001E7CBC">
        <w:t>in the 3650-3700 MHz band</w:t>
      </w:r>
      <w:r w:rsidR="000D15DB">
        <w:t xml:space="preserve">.  </w:t>
      </w:r>
      <w:r w:rsidRPr="002D2539" w:rsidR="000D15DB">
        <w:rPr>
          <w:i/>
        </w:rPr>
        <w:t>See</w:t>
      </w:r>
      <w:r w:rsidR="000D15DB">
        <w:t xml:space="preserve"> 47 CFR § 90.1338.  </w:t>
      </w:r>
    </w:p>
  </w:footnote>
  <w:footnote w:id="21">
    <w:p w:rsidR="0022132D" w14:paraId="2FDC9B4A" w14:textId="77777777">
      <w:pPr>
        <w:pStyle w:val="FootnoteText"/>
      </w:pPr>
      <w:r>
        <w:rPr>
          <w:rStyle w:val="FootnoteReference"/>
        </w:rPr>
        <w:footnoteRef/>
      </w:r>
      <w:r>
        <w:t xml:space="preserve"> </w:t>
      </w:r>
      <w:r w:rsidRPr="0022132D" w:rsidR="00E33985">
        <w:t>47 CFR § 90.1307(a)</w:t>
      </w:r>
      <w:r w:rsidR="00286D1D">
        <w:t xml:space="preserve"> (“</w:t>
      </w:r>
      <w:r w:rsidRPr="00286D1D" w:rsidR="00286D1D">
        <w:t>Non-exclusive nationwide licenses will serve as a prerequisite for registering individual fixed and base stations. A licensee cannot operate a fixed or base station before registering it under its license</w:t>
      </w:r>
      <w:r w:rsidR="00286D1D">
        <w:t>…”</w:t>
      </w:r>
      <w:r w:rsidR="004A385F">
        <w:t>)</w:t>
      </w:r>
      <w:r w:rsidR="00286D1D">
        <w:t>.</w:t>
      </w:r>
    </w:p>
  </w:footnote>
  <w:footnote w:id="22">
    <w:p w:rsidR="00A273E1" w:rsidRPr="00846168" w14:paraId="3D3E421F" w14:textId="77777777">
      <w:pPr>
        <w:pStyle w:val="FootnoteText"/>
      </w:pPr>
      <w:r>
        <w:rPr>
          <w:rStyle w:val="FootnoteReference"/>
        </w:rPr>
        <w:footnoteRef/>
      </w:r>
      <w:r>
        <w:t xml:space="preserve"> </w:t>
      </w:r>
      <w:r w:rsidRPr="00A622D6" w:rsidR="00286D1D">
        <w:rPr>
          <w:i/>
        </w:rPr>
        <w:t>Id</w:t>
      </w:r>
      <w:r w:rsidR="00286D1D">
        <w:t>.</w:t>
      </w:r>
      <w:r w:rsidR="00846168">
        <w:t xml:space="preserve">; </w:t>
      </w:r>
      <w:r w:rsidR="00846168">
        <w:rPr>
          <w:i/>
        </w:rPr>
        <w:t>see</w:t>
      </w:r>
      <w:r w:rsidR="00846168">
        <w:t xml:space="preserve"> </w:t>
      </w:r>
      <w:r w:rsidR="00846168">
        <w:rPr>
          <w:i/>
        </w:rPr>
        <w:t>World Data PR Inc.</w:t>
      </w:r>
      <w:r w:rsidR="00846168">
        <w:t xml:space="preserve">, WTB File Nos., 0003959230, </w:t>
      </w:r>
      <w:r w:rsidR="00846168">
        <w:rPr>
          <w:i/>
        </w:rPr>
        <w:t>et. al.</w:t>
      </w:r>
      <w:r w:rsidR="00846168">
        <w:t xml:space="preserve">, Memorandum Opinion and Order, 26 FCC </w:t>
      </w:r>
      <w:r w:rsidR="00846168">
        <w:t>Rcd</w:t>
      </w:r>
      <w:r w:rsidR="00846168">
        <w:t xml:space="preserve"> 2360-61 at ¶ 2 (“The Commission adopted specific measures to address the potential for interference between and among non-exclusive licenses that may otherwise result from a shared, area-wide licensing regime. . .  [A]</w:t>
      </w:r>
      <w:r w:rsidR="00846168">
        <w:t>ll</w:t>
      </w:r>
      <w:r w:rsidR="00846168">
        <w:t xml:space="preserve"> applicants and licensees must cooperate in the selection and use of frequencies in the 3650 MHz band.  A licensee in this spectrum band is not authorized to operate a fixed or base station under its nationwide license until registering that station in the Commission’s Universal Licensing System (ULS).  To facilitate the required cooperation and sharing, all registration data is available publicly, online, in ULS</w:t>
      </w:r>
      <w:r w:rsidR="00846168">
        <w:t>. . . .</w:t>
      </w:r>
      <w:r w:rsidR="00846168">
        <w:t xml:space="preserve">  A registration is not complete until it is in ‘Accepted’ status and the nationwide license is updated on ULS.” (internal footnotes omitted)).</w:t>
      </w:r>
    </w:p>
  </w:footnote>
  <w:footnote w:id="23">
    <w:p w:rsidR="00A16513" w:rsidP="00A16513" w14:paraId="187B69BE" w14:textId="77777777">
      <w:pPr>
        <w:pStyle w:val="FootnoteText"/>
      </w:pPr>
      <w:r>
        <w:rPr>
          <w:rStyle w:val="FootnoteReference"/>
        </w:rPr>
        <w:footnoteRef/>
      </w:r>
      <w:r>
        <w:t xml:space="preserve"> </w:t>
      </w:r>
      <w:r>
        <w:rPr>
          <w:i/>
        </w:rPr>
        <w:t xml:space="preserve">See </w:t>
      </w:r>
      <w:r>
        <w:t xml:space="preserve">Universal Licensing System, License Call Sign </w:t>
      </w:r>
      <w:r w:rsidRPr="00640A95">
        <w:rPr>
          <w:spacing w:val="-2"/>
        </w:rPr>
        <w:t>WQUP435</w:t>
      </w:r>
      <w:r>
        <w:rPr>
          <w:spacing w:val="-2"/>
        </w:rPr>
        <w:t>.</w:t>
      </w:r>
    </w:p>
  </w:footnote>
  <w:footnote w:id="24">
    <w:p w:rsidR="00791349" w14:paraId="519466A1" w14:textId="37A16EC5">
      <w:pPr>
        <w:pStyle w:val="FootnoteText"/>
      </w:pPr>
      <w:r>
        <w:rPr>
          <w:rStyle w:val="FootnoteReference"/>
        </w:rPr>
        <w:footnoteRef/>
      </w:r>
      <w:r>
        <w:t xml:space="preserve"> </w:t>
      </w:r>
      <w:r w:rsidRPr="00AA090E">
        <w:rPr>
          <w:i/>
        </w:rPr>
        <w:t>See supra</w:t>
      </w:r>
      <w:r>
        <w:t xml:space="preserve"> para</w:t>
      </w:r>
      <w:r w:rsidR="00A7164D">
        <w:t>.</w:t>
      </w:r>
      <w:r>
        <w:t xml:space="preserve"> </w:t>
      </w:r>
      <w:r w:rsidR="00A7164D">
        <w:fldChar w:fldCharType="begin"/>
      </w:r>
      <w:r w:rsidR="00A7164D">
        <w:instrText xml:space="preserve"> REF _Ref533159835 \r \h </w:instrText>
      </w:r>
      <w:r w:rsidR="00A7164D">
        <w:fldChar w:fldCharType="separate"/>
      </w:r>
      <w:r w:rsidR="00F7592B">
        <w:t>4</w:t>
      </w:r>
      <w:r w:rsidR="00A7164D">
        <w:fldChar w:fldCharType="end"/>
      </w:r>
      <w:r>
        <w:t>.</w:t>
      </w:r>
    </w:p>
  </w:footnote>
  <w:footnote w:id="25">
    <w:p w:rsidR="00A15316" w14:paraId="453208B4" w14:textId="77777777">
      <w:pPr>
        <w:pStyle w:val="FootnoteText"/>
      </w:pPr>
      <w:r>
        <w:rPr>
          <w:rStyle w:val="FootnoteReference"/>
        </w:rPr>
        <w:footnoteRef/>
      </w:r>
      <w:r w:rsidR="00DC0852">
        <w:t xml:space="preserve"> </w:t>
      </w:r>
      <w:bookmarkStart w:id="6" w:name="_Hlk280060"/>
      <w:r w:rsidRPr="002941D6" w:rsidR="00DC0852">
        <w:rPr>
          <w:i/>
        </w:rPr>
        <w:t>See</w:t>
      </w:r>
      <w:r>
        <w:t xml:space="preserve"> </w:t>
      </w:r>
      <w:r w:rsidR="00DC0852">
        <w:t xml:space="preserve">NOV Response at 2; </w:t>
      </w:r>
      <w:r w:rsidR="008C6CC7">
        <w:rPr>
          <w:i/>
        </w:rPr>
        <w:t>s</w:t>
      </w:r>
      <w:r w:rsidRPr="007828C5" w:rsidR="00CD2B59">
        <w:rPr>
          <w:i/>
        </w:rPr>
        <w:t>ee</w:t>
      </w:r>
      <w:r w:rsidR="00DC0852">
        <w:rPr>
          <w:i/>
        </w:rPr>
        <w:t xml:space="preserve"> also</w:t>
      </w:r>
      <w:r w:rsidR="00CD2B59">
        <w:t xml:space="preserve"> 47 CFR </w:t>
      </w:r>
      <w:r w:rsidRPr="0022132D" w:rsidR="00CD2B59">
        <w:t>§</w:t>
      </w:r>
      <w:r w:rsidR="001D4C8D">
        <w:t xml:space="preserve"> </w:t>
      </w:r>
      <w:r w:rsidR="005F20B8">
        <w:t>90.1319(d)</w:t>
      </w:r>
      <w:r w:rsidR="00DC0852">
        <w:t xml:space="preserve">. </w:t>
      </w:r>
      <w:bookmarkEnd w:id="6"/>
    </w:p>
  </w:footnote>
  <w:footnote w:id="26">
    <w:p w:rsidR="00791349" w14:paraId="2B84AF8B" w14:textId="77777777">
      <w:pPr>
        <w:pStyle w:val="FootnoteText"/>
      </w:pPr>
      <w:r>
        <w:rPr>
          <w:rStyle w:val="FootnoteReference"/>
        </w:rPr>
        <w:footnoteRef/>
      </w:r>
      <w:r>
        <w:t xml:space="preserve"> </w:t>
      </w:r>
      <w:r w:rsidRPr="00AA090E">
        <w:rPr>
          <w:i/>
        </w:rPr>
        <w:t>See</w:t>
      </w:r>
      <w:r w:rsidR="00CE28A8">
        <w:rPr>
          <w:i/>
        </w:rPr>
        <w:t xml:space="preserve"> </w:t>
      </w:r>
      <w:r w:rsidRPr="002941D6" w:rsidR="005F20B8">
        <w:t>NOV Response at 2.</w:t>
      </w:r>
    </w:p>
  </w:footnote>
  <w:footnote w:id="27">
    <w:p w:rsidR="0050020D" w:rsidP="004F4DE0" w14:paraId="1C4F2C48" w14:textId="77777777">
      <w:pPr>
        <w:pStyle w:val="FootnoteText"/>
      </w:pPr>
      <w:r>
        <w:rPr>
          <w:rStyle w:val="FootnoteReference"/>
        </w:rPr>
        <w:footnoteRef/>
      </w:r>
      <w:r>
        <w:t xml:space="preserve"> </w:t>
      </w:r>
      <w:r w:rsidRPr="00D21FAE">
        <w:rPr>
          <w:color w:val="000000"/>
        </w:rPr>
        <w:t>47 U.S.C. § 503(b).</w:t>
      </w:r>
    </w:p>
  </w:footnote>
  <w:footnote w:id="28">
    <w:p w:rsidR="0050020D" w:rsidP="0000758A" w14:paraId="24629642" w14:textId="77777777">
      <w:pPr>
        <w:pStyle w:val="FootnoteText"/>
      </w:pPr>
      <w:r>
        <w:rPr>
          <w:rStyle w:val="FootnoteReference"/>
        </w:rPr>
        <w:footnoteRef/>
      </w:r>
      <w:r>
        <w:t xml:space="preserve"> </w:t>
      </w:r>
      <w:r w:rsidRPr="00540D70">
        <w:rPr>
          <w:i/>
          <w:color w:val="000000"/>
        </w:rPr>
        <w:t>See</w:t>
      </w:r>
      <w:r w:rsidRPr="00540D70">
        <w:rPr>
          <w:color w:val="000000"/>
        </w:rPr>
        <w:t xml:space="preserve"> 47 U.S.C. § 503(b)(2)(D); 47 CFR §§ 1.80(b)(7), (9)</w:t>
      </w:r>
      <w:r>
        <w:rPr>
          <w:color w:val="000000"/>
        </w:rPr>
        <w:t xml:space="preserve">; </w:t>
      </w:r>
      <w:r w:rsidRPr="00AE658F">
        <w:rPr>
          <w:i/>
        </w:rPr>
        <w:t>see also Jay Peralta, Corona, New York</w:t>
      </w:r>
      <w:r>
        <w:t xml:space="preserve">, Notice of Apparent Liability for Forfeiture, 32 FCC </w:t>
      </w:r>
      <w:r>
        <w:t>Rcd</w:t>
      </w:r>
      <w:r>
        <w:t xml:space="preserve"> 3246, 3250 n.30 (2017) (discussing inflation adjustments to the forfeitures specified in Section 503(b)(2)(D)); </w:t>
      </w:r>
      <w:r w:rsidRPr="0000758A">
        <w:rPr>
          <w:i/>
        </w:rPr>
        <w:t>Amendment of Section 1.80(b) of the Commission’s Rules Adjustment of Civil Monetary Penalties to Reflect Inflation</w:t>
      </w:r>
      <w:r>
        <w:t>, Order, DA 18-12</w:t>
      </w:r>
      <w:r w:rsidR="00E57629">
        <w:t>72</w:t>
      </w:r>
      <w:r>
        <w:t xml:space="preserve">, at </w:t>
      </w:r>
      <w:r w:rsidRPr="00E57629" w:rsidR="00E57629">
        <w:t>https://docs.fcc.gov/public/attachments/DA-18-1272A1.pdf</w:t>
      </w:r>
      <w:r w:rsidRPr="00E57629" w:rsidR="00E57629">
        <w:rPr>
          <w:rStyle w:val="Hyperlink"/>
          <w:color w:val="auto"/>
          <w:u w:val="none"/>
        </w:rPr>
        <w:t xml:space="preserve"> </w:t>
      </w:r>
      <w:r>
        <w:t>(EB 2018).</w:t>
      </w:r>
    </w:p>
  </w:footnote>
  <w:footnote w:id="29">
    <w:p w:rsidR="0050020D" w:rsidP="004F4DE0" w14:paraId="752B1C1E" w14:textId="77777777">
      <w:pPr>
        <w:pStyle w:val="FootnoteText"/>
      </w:pPr>
      <w:r>
        <w:rPr>
          <w:rStyle w:val="FootnoteReference"/>
        </w:rPr>
        <w:footnoteRef/>
      </w:r>
      <w:r>
        <w:t xml:space="preserve"> </w:t>
      </w:r>
      <w:r w:rsidRPr="00D21FAE">
        <w:rPr>
          <w:color w:val="000000"/>
          <w:lang w:val="es-ES"/>
        </w:rPr>
        <w:t>47 U.S.C. § 503(b)(2)(E).</w:t>
      </w:r>
    </w:p>
  </w:footnote>
  <w:footnote w:id="30">
    <w:p w:rsidR="0050020D" w:rsidP="004F4DE0" w14:paraId="11E2A94E" w14:textId="77777777">
      <w:pPr>
        <w:pStyle w:val="FootnoteText"/>
      </w:pPr>
      <w:r>
        <w:rPr>
          <w:rStyle w:val="FootnoteReference"/>
        </w:rPr>
        <w:footnoteRef/>
      </w:r>
      <w:r>
        <w:t xml:space="preserve"> </w:t>
      </w:r>
      <w:r w:rsidRPr="00D21FAE">
        <w:rPr>
          <w:color w:val="000000"/>
        </w:rPr>
        <w:t xml:space="preserve">47 CFR § 1.80(b)(8), </w:t>
      </w:r>
      <w:r w:rsidRPr="004047A9">
        <w:rPr>
          <w:color w:val="000000"/>
        </w:rPr>
        <w:t>Note § II (articulating criteria for upward adjustments (egregious misconduct, ability to pay/relative disincentive, intentional violation, substantial harm, prior violations of any FCC requirements, substantial economic gain, and repeated or continuous violation) and downward adjustments (minor violation, good faith or voluntary disclosure, history of overall compliance, and inability to pay)).</w:t>
      </w:r>
    </w:p>
  </w:footnote>
  <w:footnote w:id="31">
    <w:p w:rsidR="0050020D" w:rsidP="004F4DE0" w14:paraId="3F85D94C" w14:textId="77777777">
      <w:pPr>
        <w:pStyle w:val="FootnoteText"/>
      </w:pPr>
      <w:r>
        <w:rPr>
          <w:rStyle w:val="FootnoteReference"/>
        </w:rPr>
        <w:footnoteRef/>
      </w:r>
      <w:r>
        <w:t xml:space="preserve"> </w:t>
      </w:r>
      <w:r w:rsidRPr="00D21FAE">
        <w:rPr>
          <w:i/>
          <w:color w:val="000000"/>
        </w:rPr>
        <w:t>Id</w:t>
      </w:r>
      <w:r w:rsidRPr="00D21FAE">
        <w:rPr>
          <w:color w:val="000000"/>
        </w:rPr>
        <w:t>.</w:t>
      </w:r>
    </w:p>
  </w:footnote>
  <w:footnote w:id="32">
    <w:p w:rsidR="0050020D" w:rsidRPr="00F84F94" w:rsidP="004F4DE0" w14:paraId="0CEE08C9" w14:textId="77777777">
      <w:pPr>
        <w:pStyle w:val="FootnoteText"/>
      </w:pPr>
      <w:r>
        <w:rPr>
          <w:rStyle w:val="FootnoteReference"/>
        </w:rPr>
        <w:footnoteRef/>
      </w:r>
      <w:r>
        <w:t xml:space="preserve"> </w:t>
      </w:r>
      <w:r w:rsidRPr="0005582E">
        <w:rPr>
          <w:color w:val="000000"/>
        </w:rPr>
        <w:t>47 CFR § 1.80(b).</w:t>
      </w:r>
      <w:r w:rsidR="00671C56">
        <w:rPr>
          <w:color w:val="000000"/>
        </w:rPr>
        <w:t xml:space="preserve">  </w:t>
      </w:r>
      <w:r w:rsidR="00F84F94">
        <w:rPr>
          <w:color w:val="000000"/>
        </w:rPr>
        <w:t xml:space="preserve">In a 2013 case also based on operation prior to registration in the 3650-3700 MHz band, the Bureau applied a $4,000 base forfeiture, characterizing the type of violation as </w:t>
      </w:r>
      <w:r w:rsidR="00F84F94">
        <w:t xml:space="preserve">construction or operation at an unauthorized location. </w:t>
      </w:r>
      <w:r w:rsidRPr="007828C5" w:rsidR="00F84F94">
        <w:rPr>
          <w:i/>
        </w:rPr>
        <w:t>See</w:t>
      </w:r>
      <w:r w:rsidR="00F84F94">
        <w:t xml:space="preserve"> </w:t>
      </w:r>
      <w:r w:rsidRPr="007828C5" w:rsidR="00F84F94">
        <w:rPr>
          <w:i/>
        </w:rPr>
        <w:t xml:space="preserve">Robert Schmidt DBA </w:t>
      </w:r>
      <w:r w:rsidRPr="007828C5" w:rsidR="00F84F94">
        <w:rPr>
          <w:i/>
        </w:rPr>
        <w:t>Rsisp</w:t>
      </w:r>
      <w:r w:rsidR="00F84F94">
        <w:t xml:space="preserve">, 28 FCC </w:t>
      </w:r>
      <w:r w:rsidR="00F84F94">
        <w:t>Rcd</w:t>
      </w:r>
      <w:r w:rsidR="00F84F94">
        <w:t xml:space="preserve"> 1082, 1084, para. 9 (EB 2013).  However, based on the Commission’s rules and the terms </w:t>
      </w:r>
      <w:r w:rsidR="00F84F94">
        <w:t>Viaero’s</w:t>
      </w:r>
      <w:r w:rsidR="00F84F94">
        <w:t xml:space="preserve"> license, </w:t>
      </w:r>
      <w:r w:rsidR="008C6CC7">
        <w:t>this type of</w:t>
      </w:r>
      <w:r w:rsidR="00F84F94">
        <w:t xml:space="preserve"> violation is more accurately characterized as operation without an instrument of authorization for the service</w:t>
      </w:r>
      <w:r w:rsidR="008C6CC7">
        <w:t>, which has a $10,000 base forfeiture</w:t>
      </w:r>
      <w:r w:rsidR="00F84F94">
        <w:t xml:space="preserve">.  This is also consistent with other Commission precedent.  </w:t>
      </w:r>
      <w:r w:rsidR="00F84F94">
        <w:rPr>
          <w:i/>
        </w:rPr>
        <w:t>See, e.g.</w:t>
      </w:r>
      <w:r w:rsidR="00F84F94">
        <w:t xml:space="preserve">, </w:t>
      </w:r>
      <w:r w:rsidRPr="007828C5" w:rsidR="00F84F94">
        <w:rPr>
          <w:i/>
        </w:rPr>
        <w:t>Vearl</w:t>
      </w:r>
      <w:r w:rsidRPr="007828C5" w:rsidR="00F84F94">
        <w:rPr>
          <w:i/>
        </w:rPr>
        <w:t xml:space="preserve"> Pennington, Morehead, Ky. &amp; Michael Williamson, Morehead, Ky.</w:t>
      </w:r>
      <w:r w:rsidR="00F84F94">
        <w:t xml:space="preserve">, Forfeiture Order, FCC 19-2, at para.18. (Jan. 29, 2019), available at </w:t>
      </w:r>
      <w:r w:rsidRPr="009F4C43" w:rsidR="00F84F94">
        <w:t xml:space="preserve">https://docs.fcc.gov/public/attachments/FCC-19-2A1.pdf </w:t>
      </w:r>
      <w:r w:rsidR="00F84F94">
        <w:t>(</w:t>
      </w:r>
      <w:r w:rsidRPr="002941D6" w:rsidR="00F84F94">
        <w:rPr>
          <w:i/>
        </w:rPr>
        <w:t>Pennington-Williams</w:t>
      </w:r>
      <w:r w:rsidR="00F84F94">
        <w:rPr>
          <w:i/>
        </w:rPr>
        <w:t>on</w:t>
      </w:r>
      <w:r w:rsidRPr="002941D6" w:rsidR="00F84F94">
        <w:rPr>
          <w:i/>
        </w:rPr>
        <w:t xml:space="preserve"> Forfeiture Order</w:t>
      </w:r>
      <w:r w:rsidR="00F84F94">
        <w:t>).</w:t>
      </w:r>
    </w:p>
  </w:footnote>
  <w:footnote w:id="33">
    <w:p w:rsidR="00357C47" w:rsidP="00B10373" w14:paraId="22D3C822" w14:textId="77777777">
      <w:pPr>
        <w:pStyle w:val="FootnoteText"/>
      </w:pPr>
      <w:r>
        <w:rPr>
          <w:rStyle w:val="FootnoteReference"/>
        </w:rPr>
        <w:footnoteRef/>
      </w:r>
      <w:r>
        <w:t xml:space="preserve"> </w:t>
      </w:r>
      <w:r w:rsidR="00F84F94">
        <w:rPr>
          <w:i/>
        </w:rPr>
        <w:t>See Pennington-Williamson Forfeiture Order</w:t>
      </w:r>
      <w:r w:rsidR="00F84F94">
        <w:t>, FCC 19-2, at para. 18 (applying the penalty for unauthorized operation based on each day of a continuing violation).</w:t>
      </w:r>
      <w:r w:rsidR="00F84F94">
        <w:rPr>
          <w:i/>
        </w:rPr>
        <w:t xml:space="preserve"> </w:t>
      </w:r>
    </w:p>
  </w:footnote>
  <w:footnote w:id="34">
    <w:p w:rsidR="0050020D" w:rsidP="004F4DE0" w14:paraId="31B19446" w14:textId="77777777">
      <w:pPr>
        <w:pStyle w:val="FootnoteText"/>
      </w:pPr>
      <w:r>
        <w:rPr>
          <w:rStyle w:val="FootnoteReference"/>
        </w:rPr>
        <w:footnoteRef/>
      </w:r>
      <w:r>
        <w:t xml:space="preserve"> </w:t>
      </w:r>
      <w:r w:rsidRPr="0005582E">
        <w:rPr>
          <w:i/>
          <w:color w:val="000000"/>
        </w:rPr>
        <w:t>The Commission’s Forfeiture Policy Statement and Amendment of Section 1.80 of the Rules to Incorporate the Forfeiture Guidelines</w:t>
      </w:r>
      <w:r w:rsidRPr="0005582E">
        <w:rPr>
          <w:color w:val="000000"/>
        </w:rPr>
        <w:t xml:space="preserve">, Report and Order, 12 FCC </w:t>
      </w:r>
      <w:r w:rsidRPr="0005582E">
        <w:rPr>
          <w:color w:val="000000"/>
        </w:rPr>
        <w:t>Rcd</w:t>
      </w:r>
      <w:r w:rsidRPr="0005582E">
        <w:rPr>
          <w:color w:val="000000"/>
        </w:rPr>
        <w:t xml:space="preserve"> 17087, 17098–99, para. 22 (1997) (noting that “[a]</w:t>
      </w:r>
      <w:r w:rsidRPr="0005582E">
        <w:rPr>
          <w:color w:val="000000"/>
        </w:rPr>
        <w:t>lthough</w:t>
      </w:r>
      <w:r w:rsidRPr="0005582E">
        <w:rPr>
          <w:color w:val="000000"/>
        </w:rP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05582E">
        <w:rPr>
          <w:i/>
          <w:color w:val="000000"/>
        </w:rPr>
        <w:t>Forfeiture Policy Statement</w:t>
      </w:r>
      <w:r w:rsidRPr="0005582E">
        <w:rPr>
          <w:color w:val="000000"/>
        </w:rPr>
        <w:t xml:space="preserve">), </w:t>
      </w:r>
      <w:r w:rsidRPr="0005582E">
        <w:rPr>
          <w:i/>
          <w:color w:val="000000"/>
        </w:rPr>
        <w:t>recons. denied</w:t>
      </w:r>
      <w:r w:rsidRPr="0005582E">
        <w:rPr>
          <w:color w:val="000000"/>
        </w:rPr>
        <w:t xml:space="preserve">, Memorandum Opinion and Order, 15 FCC </w:t>
      </w:r>
      <w:r w:rsidRPr="0005582E">
        <w:rPr>
          <w:color w:val="000000"/>
        </w:rPr>
        <w:t>Rcd</w:t>
      </w:r>
      <w:r w:rsidRPr="0005582E">
        <w:rPr>
          <w:color w:val="000000"/>
        </w:rPr>
        <w:t xml:space="preserve"> 303 (1999).</w:t>
      </w:r>
    </w:p>
  </w:footnote>
  <w:footnote w:id="35">
    <w:p w:rsidR="0050020D" w:rsidRPr="004C74BE" w:rsidP="00925877" w14:paraId="049205B1" w14:textId="77777777">
      <w:pPr>
        <w:pStyle w:val="FootnoteText"/>
        <w:widowControl w:val="0"/>
        <w:rPr>
          <w:color w:val="000000"/>
        </w:rPr>
      </w:pPr>
      <w:r w:rsidRPr="004C74BE">
        <w:rPr>
          <w:rStyle w:val="FootnoteReference"/>
          <w:color w:val="000000"/>
        </w:rPr>
        <w:footnoteRef/>
      </w:r>
      <w:r w:rsidRPr="004C74BE">
        <w:rPr>
          <w:color w:val="000000"/>
        </w:rPr>
        <w:t xml:space="preserve"> 47 U.S.C. § 503(b).</w:t>
      </w:r>
    </w:p>
  </w:footnote>
  <w:footnote w:id="36">
    <w:p w:rsidR="0050020D" w:rsidRPr="004C74BE" w:rsidP="00925877" w14:paraId="70F11CFB" w14:textId="77777777">
      <w:pPr>
        <w:pStyle w:val="FootnoteText"/>
        <w:rPr>
          <w:color w:val="000000"/>
        </w:rPr>
      </w:pPr>
      <w:r w:rsidRPr="004C74BE">
        <w:rPr>
          <w:rStyle w:val="FootnoteReference"/>
          <w:color w:val="000000"/>
        </w:rPr>
        <w:footnoteRef/>
      </w:r>
      <w:r w:rsidRPr="004C74BE">
        <w:rPr>
          <w:color w:val="000000"/>
          <w:lang w:val="es-ES"/>
        </w:rPr>
        <w:t xml:space="preserve"> 47 CFR § 1.80.</w:t>
      </w:r>
    </w:p>
  </w:footnote>
  <w:footnote w:id="37">
    <w:p w:rsidR="0050020D" w:rsidRPr="004C74BE" w:rsidP="00925877" w14:paraId="6CF1C689" w14:textId="77777777">
      <w:pPr>
        <w:pStyle w:val="FootnoteText"/>
        <w:rPr>
          <w:color w:val="000000"/>
        </w:rPr>
      </w:pPr>
      <w:r w:rsidRPr="004C74BE">
        <w:rPr>
          <w:rStyle w:val="FootnoteReference"/>
          <w:color w:val="000000"/>
        </w:rPr>
        <w:footnoteRef/>
      </w:r>
      <w:r w:rsidRPr="004C74BE">
        <w:rPr>
          <w:color w:val="000000"/>
          <w:lang w:val="es-ES"/>
        </w:rPr>
        <w:t xml:space="preserve"> 47 </w:t>
      </w:r>
      <w:r w:rsidR="008B3498">
        <w:rPr>
          <w:color w:val="000000"/>
          <w:lang w:val="es-ES"/>
        </w:rPr>
        <w:t>CFR §§ 1.903</w:t>
      </w:r>
      <w:r w:rsidR="00787679">
        <w:rPr>
          <w:color w:val="000000"/>
          <w:lang w:val="es-ES"/>
        </w:rPr>
        <w:t>(a)</w:t>
      </w:r>
      <w:r w:rsidR="008B3498">
        <w:rPr>
          <w:color w:val="000000"/>
          <w:lang w:val="es-ES"/>
        </w:rPr>
        <w:t xml:space="preserve">, 90.1307(a).  </w:t>
      </w:r>
    </w:p>
  </w:footnote>
  <w:footnote w:id="38">
    <w:p w:rsidR="0050020D" w:rsidRPr="004C74BE" w:rsidP="00925877" w14:paraId="125A71A1" w14:textId="77777777">
      <w:pPr>
        <w:pStyle w:val="FootnoteText"/>
        <w:rPr>
          <w:color w:val="000000"/>
        </w:rPr>
      </w:pPr>
      <w:r w:rsidRPr="004C74BE">
        <w:rPr>
          <w:rStyle w:val="FootnoteReference"/>
          <w:color w:val="000000"/>
        </w:rPr>
        <w:footnoteRef/>
      </w:r>
      <w:r w:rsidRPr="004C74BE">
        <w:rPr>
          <w:color w:val="000000"/>
        </w:rPr>
        <w:t xml:space="preserve"> 47 CFR § 1.80.</w:t>
      </w:r>
    </w:p>
  </w:footnote>
  <w:footnote w:id="39">
    <w:p w:rsidR="0050020D" w:rsidRPr="004C74BE" w:rsidP="00925877" w14:paraId="32C5EAB5" w14:textId="77777777">
      <w:pPr>
        <w:pStyle w:val="FootnoteText"/>
        <w:rPr>
          <w:color w:val="000000"/>
        </w:rPr>
      </w:pPr>
      <w:r w:rsidRPr="004C74BE">
        <w:rPr>
          <w:rStyle w:val="FootnoteReference"/>
          <w:color w:val="000000"/>
        </w:rPr>
        <w:footnoteRef/>
      </w:r>
      <w:r w:rsidRPr="004C74BE">
        <w:rPr>
          <w:color w:val="000000"/>
        </w:rPr>
        <w:t xml:space="preserve"> </w:t>
      </w:r>
      <w:r w:rsidRPr="004C74BE">
        <w:rPr>
          <w:rFonts w:eastAsia="MS Mincho"/>
          <w:color w:val="000000"/>
        </w:rPr>
        <w:t xml:space="preserve">An FCC Form 159 and detailed instructions for completing the form may be obtained at </w:t>
      </w:r>
      <w:hyperlink r:id="rId2" w:history="1">
        <w:r w:rsidRPr="00F16E52">
          <w:rPr>
            <w:rStyle w:val="Hyperlink"/>
            <w:rFonts w:eastAsia="MS Mincho"/>
          </w:rPr>
          <w:t>http://www.fcc.gov/Forms/Form159/159.pdf</w:t>
        </w:r>
      </w:hyperlink>
      <w:r w:rsidRPr="004C74BE">
        <w:rPr>
          <w:rFonts w:eastAsia="MS Mincho"/>
          <w:color w:val="000000"/>
        </w:rPr>
        <w:t>.</w:t>
      </w:r>
    </w:p>
  </w:footnote>
  <w:footnote w:id="40">
    <w:p w:rsidR="0050020D" w:rsidP="00925877" w14:paraId="6DC9E496" w14:textId="77777777">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41">
    <w:p w:rsidR="0050020D" w:rsidRPr="004C74BE" w:rsidP="00925877" w14:paraId="75534F97" w14:textId="77777777">
      <w:pPr>
        <w:pStyle w:val="FootnoteText"/>
        <w:rPr>
          <w:color w:val="000000"/>
        </w:rPr>
      </w:pPr>
      <w:r w:rsidRPr="004C74BE">
        <w:rPr>
          <w:rStyle w:val="FootnoteReference"/>
          <w:color w:val="000000"/>
        </w:rPr>
        <w:footnoteRef/>
      </w:r>
      <w:r w:rsidRPr="004C74BE">
        <w:rPr>
          <w:color w:val="000000"/>
        </w:rPr>
        <w:t xml:space="preserve"> 47 CFR §§ 1.16, 1.80(f)(3).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20D" w:rsidP="006A772C" w14:paraId="6348C436" w14:textId="77777777">
    <w:pPr>
      <w:pStyle w:val="Header"/>
    </w:pPr>
    <w:r>
      <w:tab/>
      <w:t>Federal Communications Commission</w:t>
    </w:r>
    <w:r>
      <w:tab/>
      <w:t>DA 1</w:t>
    </w:r>
    <w:r w:rsidR="00ED7AFC">
      <w:t>9</w:t>
    </w:r>
    <w:r>
      <w:t>-</w:t>
    </w:r>
    <w:r w:rsidRPr="000038E3" w:rsidR="000038E3">
      <w:t>64</w:t>
    </w:r>
  </w:p>
  <w:p w:rsidR="0050020D" w14:paraId="799C3A2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50020D" w14:paraId="796F277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20D" w:rsidP="006A772C" w14:paraId="408DA42B" w14:textId="77777777">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w:t>
    </w:r>
    <w:r w:rsidR="00ED7AFC">
      <w:rPr>
        <w:spacing w:val="-2"/>
      </w:rPr>
      <w:t>9</w:t>
    </w:r>
    <w:r>
      <w:rPr>
        <w:spacing w:val="-2"/>
      </w:rPr>
      <w:t>-</w:t>
    </w:r>
    <w:r w:rsidRPr="000038E3" w:rsidR="000038E3">
      <w:rPr>
        <w:spacing w:val="-2"/>
      </w:rP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09F021F"/>
    <w:multiLevelType w:val="hybridMultilevel"/>
    <w:tmpl w:val="58C620FE"/>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6B40596"/>
    <w:multiLevelType w:val="hybridMultilevel"/>
    <w:tmpl w:val="60CAADFC"/>
    <w:lvl w:ilvl="0">
      <w:start w:val="4"/>
      <w:numFmt w:val="bullet"/>
      <w:lvlText w:val="•"/>
      <w:lvlJc w:val="left"/>
      <w:pPr>
        <w:ind w:left="1080" w:hanging="360"/>
      </w:pPr>
      <w:rPr>
        <w:rFonts w:ascii="Times New Roman Bold" w:eastAsia="Times New Roman" w:hAnsi="Times New Roman Bold"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44E562B"/>
    <w:multiLevelType w:val="hybridMultilevel"/>
    <w:tmpl w:val="34E0FC9C"/>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9">
    <w:nsid w:val="702168CB"/>
    <w:multiLevelType w:val="hybridMultilevel"/>
    <w:tmpl w:val="D98C7556"/>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7"/>
    <w:lvlOverride w:ilvl="0">
      <w:startOverride w:val="1"/>
    </w:lvlOverride>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4"/>
  </w:num>
  <w:num w:numId="22">
    <w:abstractNumId w:val="8"/>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E4"/>
    <w:rsid w:val="000014F5"/>
    <w:rsid w:val="0000198E"/>
    <w:rsid w:val="000038E3"/>
    <w:rsid w:val="00004016"/>
    <w:rsid w:val="0000758A"/>
    <w:rsid w:val="000261FC"/>
    <w:rsid w:val="00036039"/>
    <w:rsid w:val="00037F90"/>
    <w:rsid w:val="00041469"/>
    <w:rsid w:val="000434CC"/>
    <w:rsid w:val="0004782F"/>
    <w:rsid w:val="00047F20"/>
    <w:rsid w:val="0005582E"/>
    <w:rsid w:val="0006292B"/>
    <w:rsid w:val="000741C8"/>
    <w:rsid w:val="00085E39"/>
    <w:rsid w:val="000875BF"/>
    <w:rsid w:val="00090DA4"/>
    <w:rsid w:val="00096D8C"/>
    <w:rsid w:val="00097E74"/>
    <w:rsid w:val="000A0C76"/>
    <w:rsid w:val="000B0BF6"/>
    <w:rsid w:val="000B25C4"/>
    <w:rsid w:val="000B6423"/>
    <w:rsid w:val="000C0B65"/>
    <w:rsid w:val="000C4E84"/>
    <w:rsid w:val="000C5479"/>
    <w:rsid w:val="000D15DB"/>
    <w:rsid w:val="000E05FE"/>
    <w:rsid w:val="000E1FCF"/>
    <w:rsid w:val="000E3D42"/>
    <w:rsid w:val="000E5448"/>
    <w:rsid w:val="001051C9"/>
    <w:rsid w:val="00116FD1"/>
    <w:rsid w:val="001215C0"/>
    <w:rsid w:val="0012237E"/>
    <w:rsid w:val="00122BD5"/>
    <w:rsid w:val="00122D82"/>
    <w:rsid w:val="001265C3"/>
    <w:rsid w:val="001267BA"/>
    <w:rsid w:val="00132D64"/>
    <w:rsid w:val="00133F79"/>
    <w:rsid w:val="00136BE7"/>
    <w:rsid w:val="00137F7F"/>
    <w:rsid w:val="00141BB4"/>
    <w:rsid w:val="00146114"/>
    <w:rsid w:val="001473FA"/>
    <w:rsid w:val="00147D19"/>
    <w:rsid w:val="00152324"/>
    <w:rsid w:val="00154F64"/>
    <w:rsid w:val="00160273"/>
    <w:rsid w:val="00162BA4"/>
    <w:rsid w:val="00162CA7"/>
    <w:rsid w:val="001725BC"/>
    <w:rsid w:val="00177A6D"/>
    <w:rsid w:val="00182004"/>
    <w:rsid w:val="00182105"/>
    <w:rsid w:val="00185651"/>
    <w:rsid w:val="001929F0"/>
    <w:rsid w:val="00194A2F"/>
    <w:rsid w:val="00194A66"/>
    <w:rsid w:val="00196A01"/>
    <w:rsid w:val="001A0FC5"/>
    <w:rsid w:val="001A3BAD"/>
    <w:rsid w:val="001A7DF4"/>
    <w:rsid w:val="001B42AD"/>
    <w:rsid w:val="001B45F6"/>
    <w:rsid w:val="001D2861"/>
    <w:rsid w:val="001D4195"/>
    <w:rsid w:val="001D4C8D"/>
    <w:rsid w:val="001D6BCF"/>
    <w:rsid w:val="001D78E2"/>
    <w:rsid w:val="001E01CA"/>
    <w:rsid w:val="001E1C7D"/>
    <w:rsid w:val="001E61E8"/>
    <w:rsid w:val="001E7944"/>
    <w:rsid w:val="001E7CBC"/>
    <w:rsid w:val="001F77B7"/>
    <w:rsid w:val="00200302"/>
    <w:rsid w:val="002027A2"/>
    <w:rsid w:val="0020397B"/>
    <w:rsid w:val="00204CB6"/>
    <w:rsid w:val="0022132D"/>
    <w:rsid w:val="00221DFB"/>
    <w:rsid w:val="00227D3D"/>
    <w:rsid w:val="0024428D"/>
    <w:rsid w:val="00246D89"/>
    <w:rsid w:val="00247019"/>
    <w:rsid w:val="00253CF4"/>
    <w:rsid w:val="00274D07"/>
    <w:rsid w:val="00275CF5"/>
    <w:rsid w:val="00280617"/>
    <w:rsid w:val="0028301F"/>
    <w:rsid w:val="00285017"/>
    <w:rsid w:val="00285CBF"/>
    <w:rsid w:val="00286D1D"/>
    <w:rsid w:val="00287F16"/>
    <w:rsid w:val="002941D6"/>
    <w:rsid w:val="00296C95"/>
    <w:rsid w:val="002A13FD"/>
    <w:rsid w:val="002A2D2E"/>
    <w:rsid w:val="002A3033"/>
    <w:rsid w:val="002A32CE"/>
    <w:rsid w:val="002A5A19"/>
    <w:rsid w:val="002B018D"/>
    <w:rsid w:val="002B6C4B"/>
    <w:rsid w:val="002C00E8"/>
    <w:rsid w:val="002C6047"/>
    <w:rsid w:val="002C67A8"/>
    <w:rsid w:val="002C7B99"/>
    <w:rsid w:val="002D1265"/>
    <w:rsid w:val="002D2539"/>
    <w:rsid w:val="002D49FA"/>
    <w:rsid w:val="002D56DA"/>
    <w:rsid w:val="002E62FD"/>
    <w:rsid w:val="002F4F0A"/>
    <w:rsid w:val="002F545F"/>
    <w:rsid w:val="0030047A"/>
    <w:rsid w:val="00314FA6"/>
    <w:rsid w:val="003170A6"/>
    <w:rsid w:val="00323489"/>
    <w:rsid w:val="00323B37"/>
    <w:rsid w:val="00343749"/>
    <w:rsid w:val="00344C0B"/>
    <w:rsid w:val="00357C47"/>
    <w:rsid w:val="00364B6C"/>
    <w:rsid w:val="003660ED"/>
    <w:rsid w:val="00373D3B"/>
    <w:rsid w:val="00375DF2"/>
    <w:rsid w:val="00380EC4"/>
    <w:rsid w:val="00394233"/>
    <w:rsid w:val="003A0940"/>
    <w:rsid w:val="003A135E"/>
    <w:rsid w:val="003A40DA"/>
    <w:rsid w:val="003B0550"/>
    <w:rsid w:val="003B163A"/>
    <w:rsid w:val="003B694F"/>
    <w:rsid w:val="003B7968"/>
    <w:rsid w:val="003D7707"/>
    <w:rsid w:val="003F171C"/>
    <w:rsid w:val="003F6558"/>
    <w:rsid w:val="0040323A"/>
    <w:rsid w:val="004047A9"/>
    <w:rsid w:val="00407F3A"/>
    <w:rsid w:val="00411AF7"/>
    <w:rsid w:val="00412FC5"/>
    <w:rsid w:val="00413EDA"/>
    <w:rsid w:val="00422276"/>
    <w:rsid w:val="00423B47"/>
    <w:rsid w:val="004242F1"/>
    <w:rsid w:val="004259AA"/>
    <w:rsid w:val="004302F0"/>
    <w:rsid w:val="00437EAE"/>
    <w:rsid w:val="0044560C"/>
    <w:rsid w:val="00445A00"/>
    <w:rsid w:val="00447122"/>
    <w:rsid w:val="0044732D"/>
    <w:rsid w:val="004476DE"/>
    <w:rsid w:val="00450208"/>
    <w:rsid w:val="00451B0F"/>
    <w:rsid w:val="0046137B"/>
    <w:rsid w:val="004615B1"/>
    <w:rsid w:val="0046775A"/>
    <w:rsid w:val="004725ED"/>
    <w:rsid w:val="00472F45"/>
    <w:rsid w:val="004859DC"/>
    <w:rsid w:val="00485BBA"/>
    <w:rsid w:val="004906D3"/>
    <w:rsid w:val="004A2498"/>
    <w:rsid w:val="004A385F"/>
    <w:rsid w:val="004A6CBF"/>
    <w:rsid w:val="004B6FCA"/>
    <w:rsid w:val="004B7768"/>
    <w:rsid w:val="004C2EE3"/>
    <w:rsid w:val="004C3B09"/>
    <w:rsid w:val="004C74BE"/>
    <w:rsid w:val="004E4A22"/>
    <w:rsid w:val="004E5FCA"/>
    <w:rsid w:val="004F4DE0"/>
    <w:rsid w:val="0050020D"/>
    <w:rsid w:val="00511968"/>
    <w:rsid w:val="0051283C"/>
    <w:rsid w:val="00517B6F"/>
    <w:rsid w:val="005207D0"/>
    <w:rsid w:val="005235EC"/>
    <w:rsid w:val="005311A3"/>
    <w:rsid w:val="005338A1"/>
    <w:rsid w:val="00535F21"/>
    <w:rsid w:val="00540D70"/>
    <w:rsid w:val="00552EF8"/>
    <w:rsid w:val="0055614C"/>
    <w:rsid w:val="00561F16"/>
    <w:rsid w:val="005655E1"/>
    <w:rsid w:val="00566759"/>
    <w:rsid w:val="0056742B"/>
    <w:rsid w:val="00572945"/>
    <w:rsid w:val="005753BE"/>
    <w:rsid w:val="00575A00"/>
    <w:rsid w:val="005858C0"/>
    <w:rsid w:val="0058723C"/>
    <w:rsid w:val="005928AC"/>
    <w:rsid w:val="00596677"/>
    <w:rsid w:val="005B4764"/>
    <w:rsid w:val="005D333A"/>
    <w:rsid w:val="005D446D"/>
    <w:rsid w:val="005E14C2"/>
    <w:rsid w:val="005E3CC0"/>
    <w:rsid w:val="005E579C"/>
    <w:rsid w:val="005F0197"/>
    <w:rsid w:val="005F20B8"/>
    <w:rsid w:val="005F736C"/>
    <w:rsid w:val="00600FD6"/>
    <w:rsid w:val="006034E6"/>
    <w:rsid w:val="006042DF"/>
    <w:rsid w:val="00607BA5"/>
    <w:rsid w:val="0061180A"/>
    <w:rsid w:val="00613EB2"/>
    <w:rsid w:val="00616F75"/>
    <w:rsid w:val="00617A97"/>
    <w:rsid w:val="006203EB"/>
    <w:rsid w:val="00621320"/>
    <w:rsid w:val="00626EB6"/>
    <w:rsid w:val="00640A95"/>
    <w:rsid w:val="00641859"/>
    <w:rsid w:val="0065069C"/>
    <w:rsid w:val="00651AEC"/>
    <w:rsid w:val="006544F9"/>
    <w:rsid w:val="00655D03"/>
    <w:rsid w:val="00657BA1"/>
    <w:rsid w:val="00670C85"/>
    <w:rsid w:val="00671C56"/>
    <w:rsid w:val="00681486"/>
    <w:rsid w:val="00681F6B"/>
    <w:rsid w:val="006831E1"/>
    <w:rsid w:val="00683388"/>
    <w:rsid w:val="00683F84"/>
    <w:rsid w:val="00693461"/>
    <w:rsid w:val="006A1A57"/>
    <w:rsid w:val="006A2C01"/>
    <w:rsid w:val="006A5148"/>
    <w:rsid w:val="006A62B6"/>
    <w:rsid w:val="006A6A81"/>
    <w:rsid w:val="006A772C"/>
    <w:rsid w:val="006B4475"/>
    <w:rsid w:val="006B75C8"/>
    <w:rsid w:val="006B7BF9"/>
    <w:rsid w:val="006C517E"/>
    <w:rsid w:val="006D0C35"/>
    <w:rsid w:val="006D1722"/>
    <w:rsid w:val="006D348C"/>
    <w:rsid w:val="006D61B5"/>
    <w:rsid w:val="006D65D0"/>
    <w:rsid w:val="006E1DAB"/>
    <w:rsid w:val="006E2FE1"/>
    <w:rsid w:val="006E4EF7"/>
    <w:rsid w:val="006F1566"/>
    <w:rsid w:val="006F4A81"/>
    <w:rsid w:val="006F5CB7"/>
    <w:rsid w:val="006F7393"/>
    <w:rsid w:val="0070224F"/>
    <w:rsid w:val="00705760"/>
    <w:rsid w:val="007115F7"/>
    <w:rsid w:val="00711DD9"/>
    <w:rsid w:val="00712E8D"/>
    <w:rsid w:val="00716147"/>
    <w:rsid w:val="00722A78"/>
    <w:rsid w:val="007254A5"/>
    <w:rsid w:val="00731E76"/>
    <w:rsid w:val="00733198"/>
    <w:rsid w:val="0074090D"/>
    <w:rsid w:val="00760784"/>
    <w:rsid w:val="00760B43"/>
    <w:rsid w:val="007661CB"/>
    <w:rsid w:val="0077139B"/>
    <w:rsid w:val="0077173F"/>
    <w:rsid w:val="00780C42"/>
    <w:rsid w:val="007828C5"/>
    <w:rsid w:val="007837EB"/>
    <w:rsid w:val="00785689"/>
    <w:rsid w:val="0078687F"/>
    <w:rsid w:val="00787679"/>
    <w:rsid w:val="007876F8"/>
    <w:rsid w:val="00791349"/>
    <w:rsid w:val="007961FF"/>
    <w:rsid w:val="007972A8"/>
    <w:rsid w:val="0079754B"/>
    <w:rsid w:val="007A1E6D"/>
    <w:rsid w:val="007B0EB2"/>
    <w:rsid w:val="007B18AE"/>
    <w:rsid w:val="007B64BE"/>
    <w:rsid w:val="007C7BD3"/>
    <w:rsid w:val="007C7FB8"/>
    <w:rsid w:val="007E1B62"/>
    <w:rsid w:val="007E7899"/>
    <w:rsid w:val="007E7BAC"/>
    <w:rsid w:val="007F4DF5"/>
    <w:rsid w:val="008050B2"/>
    <w:rsid w:val="008052C2"/>
    <w:rsid w:val="00805C79"/>
    <w:rsid w:val="00807E70"/>
    <w:rsid w:val="00810B6F"/>
    <w:rsid w:val="00812F94"/>
    <w:rsid w:val="00813611"/>
    <w:rsid w:val="00822CE0"/>
    <w:rsid w:val="008334C0"/>
    <w:rsid w:val="00836B2E"/>
    <w:rsid w:val="00841AB1"/>
    <w:rsid w:val="00846168"/>
    <w:rsid w:val="008561E5"/>
    <w:rsid w:val="008574A4"/>
    <w:rsid w:val="0086184A"/>
    <w:rsid w:val="00862A2B"/>
    <w:rsid w:val="008678F1"/>
    <w:rsid w:val="008901E8"/>
    <w:rsid w:val="008A0446"/>
    <w:rsid w:val="008B28FF"/>
    <w:rsid w:val="008B3498"/>
    <w:rsid w:val="008C33EA"/>
    <w:rsid w:val="008C68F1"/>
    <w:rsid w:val="008C6CC7"/>
    <w:rsid w:val="008D5A00"/>
    <w:rsid w:val="008D61A8"/>
    <w:rsid w:val="008E7272"/>
    <w:rsid w:val="008F7593"/>
    <w:rsid w:val="00903F07"/>
    <w:rsid w:val="00904DB2"/>
    <w:rsid w:val="00907E6B"/>
    <w:rsid w:val="00914775"/>
    <w:rsid w:val="009148E4"/>
    <w:rsid w:val="00920ED6"/>
    <w:rsid w:val="00921803"/>
    <w:rsid w:val="00925877"/>
    <w:rsid w:val="00926503"/>
    <w:rsid w:val="009343BF"/>
    <w:rsid w:val="00934C1B"/>
    <w:rsid w:val="00936ADC"/>
    <w:rsid w:val="00962446"/>
    <w:rsid w:val="009720E0"/>
    <w:rsid w:val="009726D8"/>
    <w:rsid w:val="00972D54"/>
    <w:rsid w:val="009803CA"/>
    <w:rsid w:val="009910D6"/>
    <w:rsid w:val="009B18C8"/>
    <w:rsid w:val="009B7FDB"/>
    <w:rsid w:val="009C70F7"/>
    <w:rsid w:val="009E2950"/>
    <w:rsid w:val="009F19B9"/>
    <w:rsid w:val="009F4C43"/>
    <w:rsid w:val="009F76DB"/>
    <w:rsid w:val="009F7DDD"/>
    <w:rsid w:val="00A00FF9"/>
    <w:rsid w:val="00A01F54"/>
    <w:rsid w:val="00A03364"/>
    <w:rsid w:val="00A15316"/>
    <w:rsid w:val="00A16513"/>
    <w:rsid w:val="00A262E4"/>
    <w:rsid w:val="00A273E1"/>
    <w:rsid w:val="00A30C2D"/>
    <w:rsid w:val="00A32C3B"/>
    <w:rsid w:val="00A3349E"/>
    <w:rsid w:val="00A34D1C"/>
    <w:rsid w:val="00A35B14"/>
    <w:rsid w:val="00A45159"/>
    <w:rsid w:val="00A45F4F"/>
    <w:rsid w:val="00A55604"/>
    <w:rsid w:val="00A600A9"/>
    <w:rsid w:val="00A60445"/>
    <w:rsid w:val="00A622D6"/>
    <w:rsid w:val="00A676CC"/>
    <w:rsid w:val="00A7164D"/>
    <w:rsid w:val="00A73C43"/>
    <w:rsid w:val="00A8019E"/>
    <w:rsid w:val="00A838D4"/>
    <w:rsid w:val="00A91008"/>
    <w:rsid w:val="00A92205"/>
    <w:rsid w:val="00A92C4E"/>
    <w:rsid w:val="00A9301B"/>
    <w:rsid w:val="00AA090E"/>
    <w:rsid w:val="00AA55B7"/>
    <w:rsid w:val="00AA5B9E"/>
    <w:rsid w:val="00AB2407"/>
    <w:rsid w:val="00AB53DF"/>
    <w:rsid w:val="00AE1239"/>
    <w:rsid w:val="00AE33B0"/>
    <w:rsid w:val="00AE3DA6"/>
    <w:rsid w:val="00AE5244"/>
    <w:rsid w:val="00AE658F"/>
    <w:rsid w:val="00AF72D2"/>
    <w:rsid w:val="00B00C90"/>
    <w:rsid w:val="00B023A5"/>
    <w:rsid w:val="00B07E5C"/>
    <w:rsid w:val="00B10143"/>
    <w:rsid w:val="00B10373"/>
    <w:rsid w:val="00B110A4"/>
    <w:rsid w:val="00B110E0"/>
    <w:rsid w:val="00B16092"/>
    <w:rsid w:val="00B1791B"/>
    <w:rsid w:val="00B22FD9"/>
    <w:rsid w:val="00B231A2"/>
    <w:rsid w:val="00B30149"/>
    <w:rsid w:val="00B348AE"/>
    <w:rsid w:val="00B37F2D"/>
    <w:rsid w:val="00B45067"/>
    <w:rsid w:val="00B45CAC"/>
    <w:rsid w:val="00B45D9D"/>
    <w:rsid w:val="00B47308"/>
    <w:rsid w:val="00B54A0D"/>
    <w:rsid w:val="00B55137"/>
    <w:rsid w:val="00B574C5"/>
    <w:rsid w:val="00B63C8F"/>
    <w:rsid w:val="00B811F7"/>
    <w:rsid w:val="00B8174F"/>
    <w:rsid w:val="00B840DC"/>
    <w:rsid w:val="00B93E5B"/>
    <w:rsid w:val="00B97760"/>
    <w:rsid w:val="00BA0D38"/>
    <w:rsid w:val="00BA5500"/>
    <w:rsid w:val="00BA5DC6"/>
    <w:rsid w:val="00BA6196"/>
    <w:rsid w:val="00BB1834"/>
    <w:rsid w:val="00BB759A"/>
    <w:rsid w:val="00BC497F"/>
    <w:rsid w:val="00BC4AB2"/>
    <w:rsid w:val="00BC5870"/>
    <w:rsid w:val="00BC5E14"/>
    <w:rsid w:val="00BC6D8C"/>
    <w:rsid w:val="00BC6F2C"/>
    <w:rsid w:val="00BD1255"/>
    <w:rsid w:val="00BD3FA1"/>
    <w:rsid w:val="00BD7E5B"/>
    <w:rsid w:val="00BE19AF"/>
    <w:rsid w:val="00BE6949"/>
    <w:rsid w:val="00BE74F5"/>
    <w:rsid w:val="00BF33CA"/>
    <w:rsid w:val="00BF400B"/>
    <w:rsid w:val="00C017E5"/>
    <w:rsid w:val="00C07052"/>
    <w:rsid w:val="00C12A30"/>
    <w:rsid w:val="00C23614"/>
    <w:rsid w:val="00C27425"/>
    <w:rsid w:val="00C34006"/>
    <w:rsid w:val="00C350E7"/>
    <w:rsid w:val="00C37C33"/>
    <w:rsid w:val="00C426B1"/>
    <w:rsid w:val="00C541AA"/>
    <w:rsid w:val="00C544C1"/>
    <w:rsid w:val="00C55161"/>
    <w:rsid w:val="00C66160"/>
    <w:rsid w:val="00C664F5"/>
    <w:rsid w:val="00C721AC"/>
    <w:rsid w:val="00C90D6A"/>
    <w:rsid w:val="00CA247E"/>
    <w:rsid w:val="00CA4C38"/>
    <w:rsid w:val="00CB13D4"/>
    <w:rsid w:val="00CB1C63"/>
    <w:rsid w:val="00CB24C9"/>
    <w:rsid w:val="00CB6A3E"/>
    <w:rsid w:val="00CC2774"/>
    <w:rsid w:val="00CC329A"/>
    <w:rsid w:val="00CC4C62"/>
    <w:rsid w:val="00CC5037"/>
    <w:rsid w:val="00CC638D"/>
    <w:rsid w:val="00CC72B6"/>
    <w:rsid w:val="00CD2B59"/>
    <w:rsid w:val="00CE22EB"/>
    <w:rsid w:val="00CE28A8"/>
    <w:rsid w:val="00CE416B"/>
    <w:rsid w:val="00CF36ED"/>
    <w:rsid w:val="00D00D60"/>
    <w:rsid w:val="00D0218D"/>
    <w:rsid w:val="00D033DC"/>
    <w:rsid w:val="00D2096D"/>
    <w:rsid w:val="00D21FAE"/>
    <w:rsid w:val="00D25FB5"/>
    <w:rsid w:val="00D30147"/>
    <w:rsid w:val="00D3235E"/>
    <w:rsid w:val="00D35A0C"/>
    <w:rsid w:val="00D44223"/>
    <w:rsid w:val="00D46EEC"/>
    <w:rsid w:val="00D57E32"/>
    <w:rsid w:val="00D60B7A"/>
    <w:rsid w:val="00D617ED"/>
    <w:rsid w:val="00D66C8C"/>
    <w:rsid w:val="00D66D44"/>
    <w:rsid w:val="00D704AE"/>
    <w:rsid w:val="00D735E7"/>
    <w:rsid w:val="00D73BC4"/>
    <w:rsid w:val="00D80F0C"/>
    <w:rsid w:val="00D81757"/>
    <w:rsid w:val="00D8321F"/>
    <w:rsid w:val="00D86DC3"/>
    <w:rsid w:val="00DA2529"/>
    <w:rsid w:val="00DA71DA"/>
    <w:rsid w:val="00DA7BF7"/>
    <w:rsid w:val="00DB130A"/>
    <w:rsid w:val="00DB2EBB"/>
    <w:rsid w:val="00DB3C0A"/>
    <w:rsid w:val="00DB3CF3"/>
    <w:rsid w:val="00DC0852"/>
    <w:rsid w:val="00DC10A1"/>
    <w:rsid w:val="00DC212A"/>
    <w:rsid w:val="00DC535A"/>
    <w:rsid w:val="00DC655F"/>
    <w:rsid w:val="00DD0B59"/>
    <w:rsid w:val="00DD30A0"/>
    <w:rsid w:val="00DD3E48"/>
    <w:rsid w:val="00DD6517"/>
    <w:rsid w:val="00DD7EBD"/>
    <w:rsid w:val="00DE014B"/>
    <w:rsid w:val="00DE05E9"/>
    <w:rsid w:val="00DF30D6"/>
    <w:rsid w:val="00DF62B6"/>
    <w:rsid w:val="00E01E5B"/>
    <w:rsid w:val="00E022CD"/>
    <w:rsid w:val="00E07225"/>
    <w:rsid w:val="00E24415"/>
    <w:rsid w:val="00E249FF"/>
    <w:rsid w:val="00E33985"/>
    <w:rsid w:val="00E356E9"/>
    <w:rsid w:val="00E452C9"/>
    <w:rsid w:val="00E52029"/>
    <w:rsid w:val="00E5409F"/>
    <w:rsid w:val="00E57629"/>
    <w:rsid w:val="00E62526"/>
    <w:rsid w:val="00E67093"/>
    <w:rsid w:val="00E71C7C"/>
    <w:rsid w:val="00E73FDC"/>
    <w:rsid w:val="00E806B5"/>
    <w:rsid w:val="00E82868"/>
    <w:rsid w:val="00E82ADE"/>
    <w:rsid w:val="00E9033F"/>
    <w:rsid w:val="00E92856"/>
    <w:rsid w:val="00E928B6"/>
    <w:rsid w:val="00E93942"/>
    <w:rsid w:val="00EA604C"/>
    <w:rsid w:val="00EB20CD"/>
    <w:rsid w:val="00EB2A81"/>
    <w:rsid w:val="00EC2AF0"/>
    <w:rsid w:val="00EC2B0F"/>
    <w:rsid w:val="00EC2D33"/>
    <w:rsid w:val="00ED333E"/>
    <w:rsid w:val="00ED4171"/>
    <w:rsid w:val="00ED4D3C"/>
    <w:rsid w:val="00ED4F72"/>
    <w:rsid w:val="00ED71D1"/>
    <w:rsid w:val="00ED7AFC"/>
    <w:rsid w:val="00EE44DB"/>
    <w:rsid w:val="00EE5672"/>
    <w:rsid w:val="00EE5A4B"/>
    <w:rsid w:val="00EE5A95"/>
    <w:rsid w:val="00EE6488"/>
    <w:rsid w:val="00EE6AFE"/>
    <w:rsid w:val="00EE70F3"/>
    <w:rsid w:val="00EF5CB5"/>
    <w:rsid w:val="00F008BC"/>
    <w:rsid w:val="00F021FA"/>
    <w:rsid w:val="00F04F0C"/>
    <w:rsid w:val="00F14821"/>
    <w:rsid w:val="00F15F18"/>
    <w:rsid w:val="00F16E52"/>
    <w:rsid w:val="00F23802"/>
    <w:rsid w:val="00F26521"/>
    <w:rsid w:val="00F30CB3"/>
    <w:rsid w:val="00F312AA"/>
    <w:rsid w:val="00F3142D"/>
    <w:rsid w:val="00F324FA"/>
    <w:rsid w:val="00F34F10"/>
    <w:rsid w:val="00F3538B"/>
    <w:rsid w:val="00F40E4E"/>
    <w:rsid w:val="00F41092"/>
    <w:rsid w:val="00F41409"/>
    <w:rsid w:val="00F50036"/>
    <w:rsid w:val="00F566C4"/>
    <w:rsid w:val="00F5680A"/>
    <w:rsid w:val="00F623AD"/>
    <w:rsid w:val="00F62E97"/>
    <w:rsid w:val="00F64209"/>
    <w:rsid w:val="00F6429C"/>
    <w:rsid w:val="00F6470F"/>
    <w:rsid w:val="00F7592B"/>
    <w:rsid w:val="00F76808"/>
    <w:rsid w:val="00F82E50"/>
    <w:rsid w:val="00F84F94"/>
    <w:rsid w:val="00F93BF5"/>
    <w:rsid w:val="00F96126"/>
    <w:rsid w:val="00FA0202"/>
    <w:rsid w:val="00FC0AF0"/>
    <w:rsid w:val="00FC3BE0"/>
    <w:rsid w:val="00FD1D4A"/>
    <w:rsid w:val="00FD6D94"/>
    <w:rsid w:val="00FE4636"/>
    <w:rsid w:val="00FF4B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E226859-5BFE-4287-94CD-8A971D43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6A772C"/>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196A01"/>
    <w:rPr>
      <w:rFonts w:ascii="Segoe UI" w:hAnsi="Segoe UI" w:cs="Segoe UI"/>
      <w:sz w:val="18"/>
      <w:szCs w:val="18"/>
    </w:rPr>
  </w:style>
  <w:style w:type="character" w:customStyle="1" w:styleId="BalloonTextChar">
    <w:name w:val="Balloon Text Char"/>
    <w:link w:val="BalloonText"/>
    <w:rsid w:val="00196A01"/>
    <w:rPr>
      <w:rFonts w:ascii="Segoe UI" w:hAnsi="Segoe UI" w:cs="Segoe UI"/>
      <w:snapToGrid w:val="0"/>
      <w:kern w:val="28"/>
      <w:sz w:val="18"/>
      <w:szCs w:val="18"/>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ink w:val="FootnoteText"/>
    <w:locked/>
    <w:rsid w:val="00925877"/>
  </w:style>
  <w:style w:type="character" w:customStyle="1" w:styleId="ParaNumChar">
    <w:name w:val="ParaNum Char"/>
    <w:link w:val="ParaNum"/>
    <w:locked/>
    <w:rsid w:val="00925877"/>
    <w:rPr>
      <w:snapToGrid w:val="0"/>
      <w:kern w:val="28"/>
      <w:sz w:val="22"/>
    </w:rPr>
  </w:style>
  <w:style w:type="character" w:customStyle="1" w:styleId="UnresolvedMention">
    <w:name w:val="Unresolved Mention"/>
    <w:uiPriority w:val="99"/>
    <w:semiHidden/>
    <w:unhideWhenUsed/>
    <w:rsid w:val="00925877"/>
    <w:rPr>
      <w:color w:val="808080"/>
      <w:shd w:val="clear" w:color="auto" w:fill="E6E6E6"/>
    </w:rPr>
  </w:style>
  <w:style w:type="character" w:styleId="CommentReference">
    <w:name w:val="annotation reference"/>
    <w:rsid w:val="005E579C"/>
    <w:rPr>
      <w:sz w:val="16"/>
      <w:szCs w:val="16"/>
    </w:rPr>
  </w:style>
  <w:style w:type="paragraph" w:styleId="CommentText">
    <w:name w:val="annotation text"/>
    <w:basedOn w:val="Normal"/>
    <w:link w:val="CommentTextChar"/>
    <w:rsid w:val="005E579C"/>
    <w:rPr>
      <w:sz w:val="20"/>
    </w:rPr>
  </w:style>
  <w:style w:type="character" w:customStyle="1" w:styleId="CommentTextChar">
    <w:name w:val="Comment Text Char"/>
    <w:link w:val="CommentText"/>
    <w:rsid w:val="005E579C"/>
    <w:rPr>
      <w:snapToGrid w:val="0"/>
      <w:kern w:val="28"/>
    </w:rPr>
  </w:style>
  <w:style w:type="paragraph" w:styleId="CommentSubject">
    <w:name w:val="annotation subject"/>
    <w:basedOn w:val="CommentText"/>
    <w:next w:val="CommentText"/>
    <w:link w:val="CommentSubjectChar"/>
    <w:rsid w:val="005E579C"/>
    <w:rPr>
      <w:b/>
      <w:bCs/>
    </w:rPr>
  </w:style>
  <w:style w:type="character" w:customStyle="1" w:styleId="CommentSubjectChar">
    <w:name w:val="Comment Subject Char"/>
    <w:link w:val="CommentSubject"/>
    <w:rsid w:val="005E579C"/>
    <w:rPr>
      <w:b/>
      <w:bCs/>
      <w:snapToGrid w:val="0"/>
      <w:kern w:val="28"/>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ocked/>
    <w:rsid w:val="004F4DE0"/>
  </w:style>
  <w:style w:type="character" w:customStyle="1" w:styleId="HeaderChar">
    <w:name w:val="Header Char"/>
    <w:link w:val="Header"/>
    <w:rsid w:val="006A772C"/>
    <w:rPr>
      <w:b/>
      <w:snapToGrid w:val="0"/>
      <w:kern w:val="28"/>
      <w:sz w:val="22"/>
    </w:rPr>
  </w:style>
  <w:style w:type="paragraph" w:styleId="Revision">
    <w:name w:val="Revision"/>
    <w:hidden/>
    <w:uiPriority w:val="99"/>
    <w:semiHidden/>
    <w:rsid w:val="00A55604"/>
    <w:rPr>
      <w:snapToGrid w:val="0"/>
      <w:kern w:val="28"/>
      <w:sz w:val="22"/>
    </w:rPr>
  </w:style>
  <w:style w:type="character" w:styleId="FollowedHyperlink">
    <w:name w:val="FollowedHyperlink"/>
    <w:rsid w:val="000434C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tthew.gibson@fcc.gov" TargetMode="External" /><Relationship Id="rId6" Type="http://schemas.openxmlformats.org/officeDocument/2006/relationships/hyperlink" Target="mailto:field@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transition.fcc.gov/eb/Orders/2018/DOC-350067A1.html"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