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B93D45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146621A" w14:textId="77777777">
      <w:pPr>
        <w:pStyle w:val="StyleBoldCentered"/>
      </w:pPr>
      <w:r>
        <w:t>F</w:t>
      </w:r>
      <w:r>
        <w:rPr>
          <w:caps w:val="0"/>
        </w:rPr>
        <w:t>ederal Communications Commission</w:t>
      </w:r>
    </w:p>
    <w:p w:rsidR="004C2EE3" w:rsidP="00096D8C" w14:paraId="642E5E61" w14:textId="77777777">
      <w:pPr>
        <w:pStyle w:val="StyleBoldCentered"/>
      </w:pPr>
      <w:r>
        <w:rPr>
          <w:caps w:val="0"/>
        </w:rPr>
        <w:t>Washington, D.C. 20554</w:t>
      </w:r>
    </w:p>
    <w:p w:rsidR="004C2EE3" w:rsidP="0070224F" w14:paraId="61E78E65" w14:textId="77777777"/>
    <w:p w:rsidR="004C2EE3" w:rsidP="0070224F" w14:paraId="0B4EACC2" w14:textId="77777777"/>
    <w:tbl>
      <w:tblPr>
        <w:tblW w:w="0" w:type="auto"/>
        <w:tblLayout w:type="fixed"/>
        <w:tblLook w:val="0000"/>
      </w:tblPr>
      <w:tblGrid>
        <w:gridCol w:w="4698"/>
        <w:gridCol w:w="630"/>
        <w:gridCol w:w="4248"/>
      </w:tblGrid>
      <w:tr w14:paraId="2804B781" w14:textId="77777777">
        <w:tblPrEx>
          <w:tblW w:w="0" w:type="auto"/>
          <w:tblLayout w:type="fixed"/>
          <w:tblLook w:val="0000"/>
        </w:tblPrEx>
        <w:tc>
          <w:tcPr>
            <w:tcW w:w="4698" w:type="dxa"/>
          </w:tcPr>
          <w:p w:rsidR="004C2EE3" w14:paraId="64464FD0" w14:textId="77777777">
            <w:pPr>
              <w:tabs>
                <w:tab w:val="center" w:pos="4680"/>
              </w:tabs>
              <w:suppressAutoHyphens/>
              <w:rPr>
                <w:spacing w:val="-2"/>
              </w:rPr>
            </w:pPr>
            <w:r>
              <w:rPr>
                <w:spacing w:val="-2"/>
              </w:rPr>
              <w:t>In the Matter of</w:t>
            </w:r>
          </w:p>
          <w:p w:rsidR="004C2EE3" w14:paraId="7870C762" w14:textId="77777777">
            <w:pPr>
              <w:tabs>
                <w:tab w:val="center" w:pos="4680"/>
              </w:tabs>
              <w:suppressAutoHyphens/>
              <w:rPr>
                <w:spacing w:val="-2"/>
              </w:rPr>
            </w:pPr>
          </w:p>
          <w:p w:rsidR="004C2EE3" w:rsidRPr="007115F7" w:rsidP="007115F7" w14:paraId="199DFF3A" w14:textId="77777777">
            <w:pPr>
              <w:tabs>
                <w:tab w:val="center" w:pos="4680"/>
              </w:tabs>
              <w:suppressAutoHyphens/>
              <w:rPr>
                <w:spacing w:val="-2"/>
              </w:rPr>
            </w:pPr>
            <w:r>
              <w:rPr>
                <w:spacing w:val="-2"/>
              </w:rPr>
              <w:t>Pentecostal Temple Development Corporation</w:t>
            </w:r>
          </w:p>
        </w:tc>
        <w:tc>
          <w:tcPr>
            <w:tcW w:w="630" w:type="dxa"/>
          </w:tcPr>
          <w:p w:rsidR="004C2EE3" w14:paraId="5D551B07" w14:textId="77777777">
            <w:pPr>
              <w:tabs>
                <w:tab w:val="center" w:pos="4680"/>
              </w:tabs>
              <w:suppressAutoHyphens/>
              <w:rPr>
                <w:b/>
                <w:spacing w:val="-2"/>
              </w:rPr>
            </w:pPr>
            <w:r>
              <w:rPr>
                <w:b/>
                <w:spacing w:val="-2"/>
              </w:rPr>
              <w:t>)</w:t>
            </w:r>
          </w:p>
          <w:p w:rsidR="004C2EE3" w14:paraId="24FAB5E9" w14:textId="77777777">
            <w:pPr>
              <w:tabs>
                <w:tab w:val="center" w:pos="4680"/>
              </w:tabs>
              <w:suppressAutoHyphens/>
              <w:rPr>
                <w:b/>
                <w:spacing w:val="-2"/>
              </w:rPr>
            </w:pPr>
            <w:r>
              <w:rPr>
                <w:b/>
                <w:spacing w:val="-2"/>
              </w:rPr>
              <w:t>)</w:t>
            </w:r>
          </w:p>
          <w:p w:rsidR="004C2EE3" w14:paraId="4121615E" w14:textId="77777777">
            <w:pPr>
              <w:tabs>
                <w:tab w:val="center" w:pos="4680"/>
              </w:tabs>
              <w:suppressAutoHyphens/>
              <w:rPr>
                <w:b/>
                <w:spacing w:val="-2"/>
              </w:rPr>
            </w:pPr>
            <w:r>
              <w:rPr>
                <w:b/>
                <w:spacing w:val="-2"/>
              </w:rPr>
              <w:t>)</w:t>
            </w:r>
          </w:p>
          <w:p w:rsidR="004C2EE3" w14:paraId="38A1360E" w14:textId="77777777">
            <w:pPr>
              <w:tabs>
                <w:tab w:val="center" w:pos="4680"/>
              </w:tabs>
              <w:suppressAutoHyphens/>
              <w:rPr>
                <w:b/>
                <w:spacing w:val="-2"/>
              </w:rPr>
            </w:pPr>
            <w:r>
              <w:rPr>
                <w:b/>
                <w:spacing w:val="-2"/>
              </w:rPr>
              <w:t>)</w:t>
            </w:r>
          </w:p>
          <w:p w:rsidR="004C2EE3" w14:paraId="1BA387F0" w14:textId="77777777">
            <w:pPr>
              <w:tabs>
                <w:tab w:val="center" w:pos="4680"/>
              </w:tabs>
              <w:suppressAutoHyphens/>
              <w:rPr>
                <w:b/>
                <w:spacing w:val="-2"/>
              </w:rPr>
            </w:pPr>
            <w:r>
              <w:rPr>
                <w:b/>
                <w:spacing w:val="-2"/>
              </w:rPr>
              <w:t>)</w:t>
            </w:r>
          </w:p>
          <w:p w:rsidR="004C2EE3" w14:paraId="6BA2B549" w14:textId="77777777">
            <w:pPr>
              <w:tabs>
                <w:tab w:val="center" w:pos="4680"/>
              </w:tabs>
              <w:suppressAutoHyphens/>
              <w:rPr>
                <w:b/>
                <w:spacing w:val="-2"/>
              </w:rPr>
            </w:pPr>
            <w:r>
              <w:rPr>
                <w:b/>
                <w:spacing w:val="-2"/>
              </w:rPr>
              <w:t>)</w:t>
            </w:r>
          </w:p>
          <w:p w:rsidR="004C2EE3" w14:paraId="5C11AD13" w14:textId="77777777">
            <w:pPr>
              <w:tabs>
                <w:tab w:val="center" w:pos="4680"/>
              </w:tabs>
              <w:suppressAutoHyphens/>
              <w:rPr>
                <w:spacing w:val="-2"/>
              </w:rPr>
            </w:pPr>
            <w:r>
              <w:rPr>
                <w:b/>
                <w:spacing w:val="-2"/>
              </w:rPr>
              <w:t>)</w:t>
            </w:r>
          </w:p>
        </w:tc>
        <w:tc>
          <w:tcPr>
            <w:tcW w:w="4248" w:type="dxa"/>
          </w:tcPr>
          <w:p w:rsidR="004C2EE3" w14:paraId="2D299FF9" w14:textId="77777777">
            <w:pPr>
              <w:tabs>
                <w:tab w:val="center" w:pos="4680"/>
              </w:tabs>
              <w:suppressAutoHyphens/>
              <w:rPr>
                <w:spacing w:val="-2"/>
              </w:rPr>
            </w:pPr>
          </w:p>
          <w:p w:rsidR="004C2EE3" w14:paraId="30EAE6C7" w14:textId="77777777">
            <w:pPr>
              <w:pStyle w:val="TOAHeading"/>
              <w:tabs>
                <w:tab w:val="center" w:pos="4680"/>
                <w:tab w:val="clear" w:pos="9360"/>
              </w:tabs>
              <w:rPr>
                <w:spacing w:val="-2"/>
              </w:rPr>
            </w:pPr>
          </w:p>
          <w:p w:rsidR="004C2EE3" w14:paraId="3EA43988" w14:textId="77777777">
            <w:pPr>
              <w:tabs>
                <w:tab w:val="center" w:pos="4680"/>
              </w:tabs>
              <w:suppressAutoHyphens/>
              <w:rPr>
                <w:spacing w:val="-2"/>
              </w:rPr>
            </w:pPr>
            <w:r>
              <w:rPr>
                <w:spacing w:val="-2"/>
              </w:rPr>
              <w:t>File No. EB-FIELDNER-15-00020416</w:t>
            </w:r>
          </w:p>
          <w:p w:rsidR="002249D0" w14:paraId="3D3FFD0F" w14:textId="77777777">
            <w:pPr>
              <w:tabs>
                <w:tab w:val="center" w:pos="4680"/>
              </w:tabs>
              <w:suppressAutoHyphens/>
              <w:rPr>
                <w:spacing w:val="-2"/>
              </w:rPr>
            </w:pPr>
            <w:r>
              <w:rPr>
                <w:spacing w:val="-2"/>
              </w:rPr>
              <w:t>File No. EB-FIELDNER-15-00020418</w:t>
            </w:r>
          </w:p>
          <w:p w:rsidR="002249D0" w14:paraId="5ADBFC71" w14:textId="77777777">
            <w:pPr>
              <w:tabs>
                <w:tab w:val="center" w:pos="4680"/>
              </w:tabs>
              <w:suppressAutoHyphens/>
              <w:rPr>
                <w:spacing w:val="-2"/>
              </w:rPr>
            </w:pPr>
            <w:r>
              <w:rPr>
                <w:spacing w:val="-2"/>
              </w:rPr>
              <w:t>NAL/Acct. No. 201732400001</w:t>
            </w:r>
          </w:p>
          <w:p w:rsidR="002249D0" w14:paraId="44706CA4" w14:textId="77777777">
            <w:pPr>
              <w:tabs>
                <w:tab w:val="center" w:pos="4680"/>
              </w:tabs>
              <w:suppressAutoHyphens/>
              <w:rPr>
                <w:spacing w:val="-2"/>
              </w:rPr>
            </w:pPr>
            <w:r>
              <w:rPr>
                <w:spacing w:val="-2"/>
              </w:rPr>
              <w:t>FRN: 0008656506</w:t>
            </w:r>
          </w:p>
        </w:tc>
      </w:tr>
    </w:tbl>
    <w:p w:rsidR="004C2EE3" w:rsidP="0070224F" w14:paraId="5800A73B" w14:textId="77777777"/>
    <w:p w:rsidR="00841AB1" w:rsidP="00F021FA" w14:paraId="2C1C5455" w14:textId="77777777">
      <w:pPr>
        <w:pStyle w:val="StyleBoldCentered"/>
      </w:pPr>
      <w:r>
        <w:t>Forfeiture Order</w:t>
      </w:r>
    </w:p>
    <w:p w:rsidR="004C2EE3" w14:paraId="55DC08CF" w14:textId="77777777">
      <w:pPr>
        <w:tabs>
          <w:tab w:val="left" w:pos="-720"/>
        </w:tabs>
        <w:suppressAutoHyphens/>
        <w:spacing w:line="227" w:lineRule="auto"/>
        <w:rPr>
          <w:spacing w:val="-2"/>
        </w:rPr>
      </w:pPr>
    </w:p>
    <w:p w:rsidR="004C2EE3" w:rsidP="00133F79" w14:paraId="754AD56C" w14:textId="4386CF84">
      <w:pPr>
        <w:tabs>
          <w:tab w:val="left" w:pos="720"/>
          <w:tab w:val="right" w:pos="9360"/>
        </w:tabs>
        <w:suppressAutoHyphens/>
        <w:spacing w:line="227" w:lineRule="auto"/>
        <w:rPr>
          <w:spacing w:val="-2"/>
        </w:rPr>
      </w:pPr>
      <w:r>
        <w:rPr>
          <w:b/>
          <w:spacing w:val="-2"/>
        </w:rPr>
        <w:t xml:space="preserve">Adopted:  </w:t>
      </w:r>
      <w:r w:rsidR="00FC55FC">
        <w:rPr>
          <w:b/>
          <w:spacing w:val="-2"/>
        </w:rPr>
        <w:t>July 23,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55FC">
        <w:rPr>
          <w:b/>
          <w:spacing w:val="-2"/>
        </w:rPr>
        <w:t>July 23, 2019</w:t>
      </w:r>
    </w:p>
    <w:p w:rsidR="00822CE0" w14:paraId="52EA8379" w14:textId="77777777"/>
    <w:p w:rsidR="004C2EE3" w14:paraId="09C2A0E3" w14:textId="77777777">
      <w:pPr>
        <w:rPr>
          <w:spacing w:val="-2"/>
        </w:rPr>
      </w:pPr>
      <w:r>
        <w:t xml:space="preserve">By </w:t>
      </w:r>
      <w:r w:rsidR="004E4A22">
        <w:t>the</w:t>
      </w:r>
      <w:r w:rsidR="002A2D2E">
        <w:t xml:space="preserve"> </w:t>
      </w:r>
      <w:r w:rsidR="002249D0">
        <w:rPr>
          <w:spacing w:val="-2"/>
        </w:rPr>
        <w:t xml:space="preserve">Regional Director, </w:t>
      </w:r>
      <w:r w:rsidR="00F714FC">
        <w:rPr>
          <w:spacing w:val="-2"/>
        </w:rPr>
        <w:t xml:space="preserve">Region One, </w:t>
      </w:r>
      <w:r w:rsidR="002249D0">
        <w:rPr>
          <w:spacing w:val="-2"/>
        </w:rPr>
        <w:t>Enforcement Bureau</w:t>
      </w:r>
      <w:r>
        <w:rPr>
          <w:spacing w:val="-2"/>
        </w:rPr>
        <w:t>:</w:t>
      </w:r>
    </w:p>
    <w:p w:rsidR="00822CE0" w14:paraId="0AA2D579" w14:textId="77777777">
      <w:pPr>
        <w:rPr>
          <w:spacing w:val="-2"/>
        </w:rPr>
      </w:pPr>
    </w:p>
    <w:p w:rsidR="009F557E" w:rsidP="009F557E" w14:paraId="23E42E7E" w14:textId="1137DBA5">
      <w:pPr>
        <w:pStyle w:val="ParaNum"/>
        <w:tabs>
          <w:tab w:val="clear" w:pos="1260"/>
        </w:tabs>
        <w:ind w:left="0"/>
        <w:rPr>
          <w:spacing w:val="-2"/>
          <w:szCs w:val="22"/>
        </w:rPr>
      </w:pPr>
      <w:bookmarkStart w:id="0" w:name="_Hlk14100932"/>
      <w:r>
        <w:t>When not properly maintained, antenna structures</w:t>
      </w:r>
      <w:r w:rsidR="00E86CD1">
        <w:t>—particularly tall towers used by radio and television broadcast stations—</w:t>
      </w:r>
      <w:r>
        <w:t xml:space="preserve">present a significant public safety risk, especially to passing aircraft. </w:t>
      </w:r>
      <w:bookmarkEnd w:id="0"/>
      <w:r>
        <w:t xml:space="preserve"> In this case, w</w:t>
      </w:r>
      <w:r w:rsidRPr="006D73F2" w:rsidR="009F011E">
        <w:t>e impose a penalty of $</w:t>
      </w:r>
      <w:r w:rsidR="009F011E">
        <w:t>25,000</w:t>
      </w:r>
      <w:r w:rsidRPr="006D73F2" w:rsidR="009F011E">
        <w:t xml:space="preserve"> against </w:t>
      </w:r>
      <w:r w:rsidR="009F011E">
        <w:t>Pentecostal Temple Development Corporation (Pentecostal Temple)</w:t>
      </w:r>
      <w:r>
        <w:rPr>
          <w:rStyle w:val="FootnoteReference"/>
        </w:rPr>
        <w:footnoteReference w:id="3"/>
      </w:r>
      <w:r w:rsidR="009F011E">
        <w:t xml:space="preserve"> </w:t>
      </w:r>
      <w:r>
        <w:t>for failing to properly light two antenna structures, for failing to notify the FAA of lighting extinguishments, and for failing to clean or repaint the antenna structures as often as necessary to maintain good visibility.</w:t>
      </w:r>
      <w:r>
        <w:rPr>
          <w:rStyle w:val="FootnoteReference"/>
        </w:rPr>
        <w:footnoteReference w:id="4"/>
      </w:r>
      <w:r>
        <w:t xml:space="preserve">  Pentecostal Temple is the </w:t>
      </w:r>
      <w:r w:rsidR="009F011E">
        <w:t xml:space="preserve">licensee of AM Station </w:t>
      </w:r>
      <w:r w:rsidR="009F011E">
        <w:t>WGBN</w:t>
      </w:r>
      <w:r w:rsidR="009F011E">
        <w:t xml:space="preserve"> and own</w:t>
      </w:r>
      <w:r>
        <w:t>s</w:t>
      </w:r>
      <w:r w:rsidR="009F011E">
        <w:t xml:space="preserve">  antenna structures registered under Antenna Structure Registrations 1026648 and 1026650 (the “Antenna Structures”) in Lincoln Borough, Pennsylvania</w:t>
      </w:r>
      <w:r w:rsidR="003043B7">
        <w:t>.</w:t>
      </w:r>
      <w:bookmarkStart w:id="1" w:name="_GoBack"/>
      <w:bookmarkEnd w:id="1"/>
    </w:p>
    <w:p w:rsidR="009F09F2" w:rsidRPr="002838B7" w:rsidP="009F557E" w14:paraId="03D85FB5" w14:textId="2F9410A7">
      <w:pPr>
        <w:pStyle w:val="ParaNum"/>
        <w:widowControl/>
        <w:tabs>
          <w:tab w:val="clear" w:pos="1260"/>
        </w:tabs>
        <w:ind w:left="0"/>
        <w:rPr>
          <w:spacing w:val="-2"/>
          <w:szCs w:val="22"/>
        </w:rPr>
      </w:pPr>
      <w:r w:rsidRPr="006D73F2">
        <w:t xml:space="preserve">On </w:t>
      </w:r>
      <w:r w:rsidR="00085989">
        <w:t xml:space="preserve">December 30, 2016, the Enforcement Bureau (Bureau) </w:t>
      </w:r>
      <w:r w:rsidRPr="006D73F2">
        <w:t xml:space="preserve">issued </w:t>
      </w:r>
      <w:r>
        <w:t>a</w:t>
      </w:r>
      <w:r w:rsidRPr="006D73F2">
        <w:t xml:space="preserve"> </w:t>
      </w:r>
      <w:r>
        <w:t xml:space="preserve">Notice of Apparent Liability for Forfeiture </w:t>
      </w:r>
      <w:r w:rsidR="00E05A34">
        <w:t xml:space="preserve">(Notice) </w:t>
      </w:r>
      <w:r w:rsidRPr="006D73F2">
        <w:t>proposing a $</w:t>
      </w:r>
      <w:r w:rsidR="00085989">
        <w:t>25,000</w:t>
      </w:r>
      <w:r w:rsidRPr="006D73F2">
        <w:t xml:space="preserve"> forfeiture against </w:t>
      </w:r>
      <w:r w:rsidR="00085989">
        <w:t>Pentecostal Temple</w:t>
      </w:r>
      <w:r w:rsidRPr="006D73F2">
        <w:t xml:space="preserve"> </w:t>
      </w:r>
      <w:r w:rsidRPr="009F557E">
        <w:rPr>
          <w:color w:val="000000"/>
        </w:rPr>
        <w:t xml:space="preserve">for willful and repeated violation of </w:t>
      </w:r>
      <w:r w:rsidRPr="009F557E" w:rsidR="00085989">
        <w:rPr>
          <w:color w:val="000000"/>
        </w:rPr>
        <w:t>section 303(q) of the Communications Act of 1934, as amended (Act) and sections 17.23, 17.48(a), and 17.50 of the Commission’s rules.</w:t>
      </w:r>
      <w:r>
        <w:rPr>
          <w:rStyle w:val="FootnoteReference"/>
          <w:spacing w:val="-2"/>
        </w:rPr>
        <w:footnoteReference w:id="5"/>
      </w:r>
      <w:r w:rsidRPr="009F557E">
        <w:rPr>
          <w:i/>
          <w:color w:val="000000"/>
        </w:rPr>
        <w:t xml:space="preserve">  </w:t>
      </w:r>
      <w:r w:rsidR="00A7003E">
        <w:rPr>
          <w:color w:val="000000"/>
        </w:rPr>
        <w:t xml:space="preserve">Pentecostal </w:t>
      </w:r>
      <w:r w:rsidR="00376B1B">
        <w:rPr>
          <w:color w:val="000000"/>
        </w:rPr>
        <w:t xml:space="preserve">Temple failed to file any proper response to the </w:t>
      </w:r>
      <w:r w:rsidRPr="002838B7" w:rsidR="00376B1B">
        <w:rPr>
          <w:color w:val="000000"/>
        </w:rPr>
        <w:t>Notice</w:t>
      </w:r>
      <w:r w:rsidR="00376B1B">
        <w:rPr>
          <w:i/>
          <w:color w:val="000000"/>
        </w:rPr>
        <w:t>.</w:t>
      </w:r>
      <w:r w:rsidR="00376B1B">
        <w:rPr>
          <w:color w:val="000000"/>
        </w:rPr>
        <w:t xml:space="preserve">  </w:t>
      </w:r>
      <w:r>
        <w:rPr>
          <w:color w:val="000000"/>
        </w:rPr>
        <w:t>Accordingly, we affirm it in full.</w:t>
      </w:r>
    </w:p>
    <w:p w:rsidR="009F557E" w:rsidP="009F557E" w14:paraId="1EDC649E" w14:textId="378E2260">
      <w:pPr>
        <w:pStyle w:val="ParaNum"/>
        <w:widowControl/>
        <w:tabs>
          <w:tab w:val="clear" w:pos="1260"/>
        </w:tabs>
        <w:ind w:left="0"/>
        <w:rPr>
          <w:spacing w:val="-2"/>
          <w:szCs w:val="22"/>
        </w:rPr>
      </w:pPr>
      <w:bookmarkStart w:id="2" w:name="_Ref14088982"/>
      <w:r>
        <w:rPr>
          <w:color w:val="000000"/>
        </w:rPr>
        <w:t xml:space="preserve">Rather than properly filing a response to the </w:t>
      </w:r>
      <w:r w:rsidRPr="00E05A34">
        <w:rPr>
          <w:color w:val="000000"/>
        </w:rPr>
        <w:t>Notice</w:t>
      </w:r>
      <w:r>
        <w:rPr>
          <w:color w:val="000000"/>
        </w:rPr>
        <w:t xml:space="preserve">, </w:t>
      </w:r>
      <w:r w:rsidR="00A7003E">
        <w:rPr>
          <w:color w:val="000000"/>
        </w:rPr>
        <w:t xml:space="preserve">Pentecostal </w:t>
      </w:r>
      <w:r w:rsidR="006304FD">
        <w:rPr>
          <w:color w:val="000000"/>
        </w:rPr>
        <w:t xml:space="preserve">Temple </w:t>
      </w:r>
      <w:r>
        <w:rPr>
          <w:color w:val="000000"/>
        </w:rPr>
        <w:t xml:space="preserve">engaged in procedurally deficient shenanigans.  </w:t>
      </w:r>
      <w:r w:rsidRPr="009F557E" w:rsidR="00085989">
        <w:rPr>
          <w:color w:val="000000"/>
        </w:rPr>
        <w:t xml:space="preserve">On January 30, 2017, Pentecostal Temple submitted to the Office of Managing Director a Petition for Reconsideration of the </w:t>
      </w:r>
      <w:r w:rsidRPr="002838B7" w:rsidR="00085989">
        <w:rPr>
          <w:color w:val="000000"/>
        </w:rPr>
        <w:t>Notice</w:t>
      </w:r>
      <w:r w:rsidRPr="009F557E" w:rsidR="00085989">
        <w:rPr>
          <w:color w:val="000000"/>
        </w:rPr>
        <w:t>,</w:t>
      </w:r>
      <w:r>
        <w:rPr>
          <w:rStyle w:val="FootnoteReference"/>
        </w:rPr>
        <w:footnoteReference w:id="6"/>
      </w:r>
      <w:r w:rsidRPr="009F557E" w:rsidR="00085989">
        <w:rPr>
          <w:color w:val="000000"/>
        </w:rPr>
        <w:t xml:space="preserve"> and on February 21, 2017, it submitted </w:t>
      </w:r>
      <w:r w:rsidRPr="009F557E" w:rsidR="00085989">
        <w:rPr>
          <w:color w:val="000000"/>
        </w:rPr>
        <w:t xml:space="preserve">to the Office of Managing Director a Response to the </w:t>
      </w:r>
      <w:r w:rsidRPr="002838B7" w:rsidR="00085989">
        <w:rPr>
          <w:color w:val="000000"/>
        </w:rPr>
        <w:t>Notice</w:t>
      </w:r>
      <w:r w:rsidRPr="009F557E" w:rsidR="00085989">
        <w:rPr>
          <w:color w:val="000000"/>
        </w:rPr>
        <w:t>.</w:t>
      </w:r>
      <w:r>
        <w:rPr>
          <w:rStyle w:val="FootnoteReference"/>
          <w:i/>
        </w:rPr>
        <w:footnoteReference w:id="7"/>
      </w:r>
      <w:r w:rsidRPr="009F557E" w:rsidR="00085989">
        <w:rPr>
          <w:color w:val="000000"/>
        </w:rPr>
        <w:t xml:space="preserve">  </w:t>
      </w:r>
      <w:r w:rsidRPr="009F557E" w:rsidR="007F2BAC">
        <w:rPr>
          <w:color w:val="000000"/>
        </w:rPr>
        <w:t xml:space="preserve">In both instances, Pentecostal Temple failed to send copies of either document to the Bureau, as instructed in paragraph 19 of the </w:t>
      </w:r>
      <w:r w:rsidRPr="009F557E" w:rsidR="007F2BAC">
        <w:rPr>
          <w:i/>
          <w:color w:val="000000"/>
        </w:rPr>
        <w:t xml:space="preserve">Notice.  </w:t>
      </w:r>
      <w:r w:rsidRPr="009F557E" w:rsidR="007F2BAC">
        <w:rPr>
          <w:color w:val="000000"/>
        </w:rPr>
        <w:t xml:space="preserve">On March 16, 2017, the Office of Managing Director returned both the Petition for Reconsideration and the </w:t>
      </w:r>
      <w:r w:rsidR="00B724E5">
        <w:rPr>
          <w:color w:val="000000"/>
        </w:rPr>
        <w:t xml:space="preserve">Notice </w:t>
      </w:r>
      <w:r w:rsidRPr="009F557E" w:rsidR="007F2BAC">
        <w:rPr>
          <w:color w:val="000000"/>
        </w:rPr>
        <w:t xml:space="preserve">Response to Pentecostal Temple without processing, because </w:t>
      </w:r>
      <w:r w:rsidRPr="009F557E" w:rsidR="002910AF">
        <w:rPr>
          <w:color w:val="000000"/>
        </w:rPr>
        <w:t xml:space="preserve">Pentecostal Temple failed to comply with the written directions contained in the </w:t>
      </w:r>
      <w:r w:rsidRPr="002838B7" w:rsidR="002910AF">
        <w:rPr>
          <w:color w:val="000000"/>
        </w:rPr>
        <w:t>Notice</w:t>
      </w:r>
      <w:r w:rsidR="002838B7">
        <w:rPr>
          <w:color w:val="000000"/>
        </w:rPr>
        <w:t>.</w:t>
      </w:r>
      <w:r>
        <w:rPr>
          <w:rStyle w:val="FootnoteReference"/>
        </w:rPr>
        <w:footnoteReference w:id="8"/>
      </w:r>
      <w:bookmarkEnd w:id="2"/>
      <w:r w:rsidRPr="009F557E" w:rsidR="007F2BAC">
        <w:rPr>
          <w:color w:val="000000"/>
        </w:rPr>
        <w:t xml:space="preserve">  </w:t>
      </w:r>
    </w:p>
    <w:p w:rsidR="009F557E" w:rsidP="009F557E" w14:paraId="080CCE47" w14:textId="77777777">
      <w:pPr>
        <w:pStyle w:val="ParaNum"/>
        <w:tabs>
          <w:tab w:val="clear" w:pos="1260"/>
        </w:tabs>
        <w:ind w:left="0"/>
        <w:rPr>
          <w:spacing w:val="-2"/>
          <w:szCs w:val="22"/>
        </w:rPr>
      </w:pPr>
      <w:r w:rsidRPr="00F714FC">
        <w:t xml:space="preserve">Pentecostal Temple’s procedural mishaps did not end with the letter from the Office of Managing Director.  On April 20, 2017, Pentecostal Temple’s counsel submitted a letter to the Bureau seeking </w:t>
      </w:r>
      <w:r w:rsidR="00AB4BC5">
        <w:t xml:space="preserve">to </w:t>
      </w:r>
      <w:r w:rsidRPr="00F714FC">
        <w:t xml:space="preserve">arrange for Pentecostal Temple to pay the forfeiture in installments.  Yet, as stated in paragraph 18 of the </w:t>
      </w:r>
      <w:r w:rsidRPr="002838B7">
        <w:t>Notice</w:t>
      </w:r>
      <w:r w:rsidRPr="00F714FC">
        <w:t>, requests for installment plans must be directed to the Commission’s Chief Financial Officer.</w:t>
      </w:r>
      <w:r>
        <w:rPr>
          <w:rStyle w:val="FootnoteReference"/>
        </w:rPr>
        <w:footnoteReference w:id="9"/>
      </w:r>
      <w:r>
        <w:t xml:space="preserve">  </w:t>
      </w:r>
      <w:r w:rsidRPr="00F714FC">
        <w:t xml:space="preserve">On May 4, 2017, the Bureau informed Pentecostal Temple’s counsel that </w:t>
      </w:r>
      <w:r>
        <w:t>his</w:t>
      </w:r>
      <w:r w:rsidRPr="00F714FC">
        <w:t xml:space="preserve"> April 20 had been misdirected and that </w:t>
      </w:r>
      <w:r>
        <w:t xml:space="preserve">the </w:t>
      </w:r>
      <w:r w:rsidR="00685428">
        <w:t xml:space="preserve">Bureau had forwarded the request </w:t>
      </w:r>
      <w:r w:rsidRPr="00F714FC">
        <w:t xml:space="preserve">to appropriate </w:t>
      </w:r>
      <w:r>
        <w:t xml:space="preserve">Commission </w:t>
      </w:r>
      <w:r w:rsidRPr="00F714FC">
        <w:t>personnel.</w:t>
      </w:r>
      <w:r>
        <w:rPr>
          <w:rStyle w:val="FootnoteReference"/>
        </w:rPr>
        <w:footnoteReference w:id="10"/>
      </w:r>
      <w:r w:rsidRPr="00F714FC">
        <w:t xml:space="preserve">  </w:t>
      </w:r>
      <w:r w:rsidR="00685428">
        <w:t>A</w:t>
      </w:r>
      <w:r w:rsidRPr="00F714FC">
        <w:t>n installment plan was never executed.</w:t>
      </w:r>
    </w:p>
    <w:p w:rsidR="009F557E" w:rsidP="009F557E" w14:paraId="6E523B34" w14:textId="1466412A">
      <w:pPr>
        <w:pStyle w:val="ParaNum"/>
        <w:tabs>
          <w:tab w:val="clear" w:pos="1260"/>
        </w:tabs>
        <w:ind w:left="0"/>
        <w:rPr>
          <w:spacing w:val="-2"/>
          <w:szCs w:val="22"/>
        </w:rPr>
      </w:pPr>
      <w:r w:rsidRPr="009F557E">
        <w:rPr>
          <w:color w:val="000000"/>
        </w:rPr>
        <w:t xml:space="preserve">Despite its </w:t>
      </w:r>
      <w:r w:rsidRPr="009F557E" w:rsidR="00AB4BC5">
        <w:rPr>
          <w:color w:val="000000"/>
        </w:rPr>
        <w:t>numerous</w:t>
      </w:r>
      <w:r w:rsidRPr="009F557E">
        <w:rPr>
          <w:color w:val="000000"/>
        </w:rPr>
        <w:t xml:space="preserve"> filings with the Commission, </w:t>
      </w:r>
      <w:r w:rsidRPr="009F557E" w:rsidR="00BD6992">
        <w:rPr>
          <w:color w:val="000000"/>
        </w:rPr>
        <w:t xml:space="preserve">Pentecostal Temple failed to submit </w:t>
      </w:r>
      <w:r w:rsidRPr="009F557E" w:rsidR="00685428">
        <w:rPr>
          <w:color w:val="000000"/>
        </w:rPr>
        <w:t xml:space="preserve">any response to the </w:t>
      </w:r>
      <w:r w:rsidRPr="002838B7" w:rsidR="00685428">
        <w:rPr>
          <w:color w:val="000000"/>
        </w:rPr>
        <w:t xml:space="preserve">Notice </w:t>
      </w:r>
      <w:r w:rsidRPr="00B724E5" w:rsidR="00685428">
        <w:rPr>
          <w:color w:val="000000"/>
        </w:rPr>
        <w:t>to the Bureau</w:t>
      </w:r>
      <w:r w:rsidRPr="009F557E" w:rsidR="00BD6992">
        <w:rPr>
          <w:color w:val="000000"/>
        </w:rPr>
        <w:t>.</w:t>
      </w:r>
      <w:r>
        <w:rPr>
          <w:rStyle w:val="FootnoteReference"/>
        </w:rPr>
        <w:footnoteReference w:id="11"/>
      </w:r>
      <w:r w:rsidRPr="009F557E" w:rsidR="00BD6992">
        <w:rPr>
          <w:color w:val="000000"/>
        </w:rPr>
        <w:t xml:space="preserve">  Moreover, even if it had correctly addressed </w:t>
      </w:r>
      <w:r w:rsidRPr="009F557E" w:rsidR="00685428">
        <w:rPr>
          <w:color w:val="000000"/>
        </w:rPr>
        <w:t xml:space="preserve">the </w:t>
      </w:r>
      <w:r w:rsidR="00B724E5">
        <w:rPr>
          <w:color w:val="000000"/>
        </w:rPr>
        <w:t xml:space="preserve">Notice </w:t>
      </w:r>
      <w:r w:rsidRPr="009F557E" w:rsidR="00BD6992">
        <w:rPr>
          <w:color w:val="000000"/>
        </w:rPr>
        <w:t>Response to the Bureau</w:t>
      </w:r>
      <w:r w:rsidRPr="009F557E">
        <w:rPr>
          <w:color w:val="000000"/>
        </w:rPr>
        <w:t xml:space="preserve"> instead of the Office of Managing Director</w:t>
      </w:r>
      <w:r w:rsidRPr="009F557E" w:rsidR="00BD6992">
        <w:rPr>
          <w:color w:val="000000"/>
        </w:rPr>
        <w:t xml:space="preserve">, </w:t>
      </w:r>
      <w:r w:rsidRPr="009F557E">
        <w:rPr>
          <w:color w:val="000000"/>
        </w:rPr>
        <w:t xml:space="preserve">that response </w:t>
      </w:r>
      <w:r w:rsidR="00F542A6">
        <w:rPr>
          <w:color w:val="000000"/>
        </w:rPr>
        <w:t>would still be defective</w:t>
      </w:r>
      <w:r w:rsidR="002838B7">
        <w:rPr>
          <w:color w:val="000000"/>
        </w:rPr>
        <w:t xml:space="preserve">, as it </w:t>
      </w:r>
      <w:r w:rsidRPr="009F557E">
        <w:rPr>
          <w:color w:val="000000"/>
        </w:rPr>
        <w:t xml:space="preserve">was </w:t>
      </w:r>
      <w:r w:rsidRPr="009F557E" w:rsidR="00BD6992">
        <w:rPr>
          <w:color w:val="000000"/>
        </w:rPr>
        <w:t xml:space="preserve">submitted </w:t>
      </w:r>
      <w:r w:rsidRPr="009F557E">
        <w:rPr>
          <w:color w:val="000000"/>
        </w:rPr>
        <w:t xml:space="preserve">after </w:t>
      </w:r>
      <w:r w:rsidRPr="009F557E" w:rsidR="00BD6992">
        <w:rPr>
          <w:color w:val="000000"/>
        </w:rPr>
        <w:t xml:space="preserve">the 30-day period established in paragraph 16 of the </w:t>
      </w:r>
      <w:r w:rsidRPr="002838B7" w:rsidR="00BD6992">
        <w:rPr>
          <w:color w:val="000000"/>
        </w:rPr>
        <w:t>Notice</w:t>
      </w:r>
      <w:r w:rsidRPr="009F557E" w:rsidR="00BD6992">
        <w:rPr>
          <w:i/>
          <w:color w:val="000000"/>
        </w:rPr>
        <w:t xml:space="preserve"> </w:t>
      </w:r>
      <w:r w:rsidRPr="009F557E">
        <w:rPr>
          <w:color w:val="000000"/>
        </w:rPr>
        <w:t>had lapsed</w:t>
      </w:r>
      <w:r w:rsidRPr="009F557E" w:rsidR="00BD6992">
        <w:rPr>
          <w:color w:val="000000"/>
        </w:rPr>
        <w:t>.</w:t>
      </w:r>
      <w:r>
        <w:rPr>
          <w:rStyle w:val="FootnoteReference"/>
        </w:rPr>
        <w:footnoteReference w:id="12"/>
      </w:r>
      <w:r w:rsidRPr="009F557E" w:rsidR="00BD6992">
        <w:rPr>
          <w:color w:val="000000"/>
        </w:rPr>
        <w:t xml:space="preserve">  Accordingly, based on the information before </w:t>
      </w:r>
      <w:r w:rsidRPr="009F557E">
        <w:rPr>
          <w:color w:val="000000"/>
        </w:rPr>
        <w:t>the Bureau</w:t>
      </w:r>
      <w:r w:rsidRPr="009F557E" w:rsidR="00BD6992">
        <w:rPr>
          <w:color w:val="000000"/>
        </w:rPr>
        <w:t xml:space="preserve">, we affirm the forfeiture proposed in the </w:t>
      </w:r>
      <w:r w:rsidRPr="002838B7" w:rsidR="00BD6992">
        <w:rPr>
          <w:color w:val="000000"/>
        </w:rPr>
        <w:t>Notice</w:t>
      </w:r>
      <w:r w:rsidRPr="009F557E" w:rsidR="00BD6992">
        <w:rPr>
          <w:color w:val="000000"/>
        </w:rPr>
        <w:t xml:space="preserve">. </w:t>
      </w:r>
    </w:p>
    <w:p w:rsidR="009F557E" w:rsidP="009F557E" w14:paraId="63B629AF" w14:textId="77777777">
      <w:pPr>
        <w:pStyle w:val="ParaNum"/>
        <w:tabs>
          <w:tab w:val="clear" w:pos="1260"/>
        </w:tabs>
        <w:ind w:left="0"/>
        <w:rPr>
          <w:spacing w:val="-2"/>
          <w:szCs w:val="22"/>
        </w:rPr>
      </w:pPr>
      <w:r w:rsidRPr="009F557E">
        <w:rPr>
          <w:color w:val="000000"/>
          <w:spacing w:val="-2"/>
        </w:rPr>
        <w:t>Accordingly</w:t>
      </w:r>
      <w:r w:rsidRPr="006D73F2">
        <w:t xml:space="preserve">, </w:t>
      </w:r>
      <w:r w:rsidRPr="009F557E">
        <w:rPr>
          <w:b/>
        </w:rPr>
        <w:t>IT IS ORDERED</w:t>
      </w:r>
      <w:r w:rsidRPr="006D73F2">
        <w:t xml:space="preserve"> </w:t>
      </w:r>
      <w:r>
        <w:t>that</w:t>
      </w:r>
      <w:r w:rsidRPr="006D73F2">
        <w:t xml:space="preserve">, </w:t>
      </w:r>
      <w:r w:rsidRPr="00D74257">
        <w:t>pursuant</w:t>
      </w:r>
      <w:r w:rsidRPr="006D73F2">
        <w:t xml:space="preserve"> to </w:t>
      </w:r>
      <w:r w:rsidR="00F714FC">
        <w:t>s</w:t>
      </w:r>
      <w:r w:rsidRPr="006D73F2">
        <w:t>ection 503(b) of the</w:t>
      </w:r>
      <w:r w:rsidR="00F714FC">
        <w:t xml:space="preserve"> Act</w:t>
      </w:r>
      <w:r>
        <w:rPr>
          <w:rStyle w:val="FootnoteReference"/>
          <w:szCs w:val="22"/>
        </w:rPr>
        <w:footnoteReference w:id="13"/>
      </w:r>
      <w:r w:rsidRPr="006D73F2">
        <w:t xml:space="preserve"> and </w:t>
      </w:r>
      <w:r w:rsidR="00F714FC">
        <w:t>s</w:t>
      </w:r>
      <w:r w:rsidRPr="006D73F2">
        <w:t>ection</w:t>
      </w:r>
      <w:r w:rsidR="00F714FC">
        <w:t>s</w:t>
      </w:r>
      <w:r w:rsidRPr="006D73F2">
        <w:t xml:space="preserve"> 1.80</w:t>
      </w:r>
      <w:r w:rsidR="0025442C">
        <w:t>, 0.111, 0.204, and 0.311 of the</w:t>
      </w:r>
      <w:r w:rsidRPr="006D73F2">
        <w:t xml:space="preserve"> Commission’s </w:t>
      </w:r>
      <w:r>
        <w:t>r</w:t>
      </w:r>
      <w:r w:rsidRPr="006D73F2">
        <w:t>ules,</w:t>
      </w:r>
      <w:r>
        <w:rPr>
          <w:rStyle w:val="FootnoteReference"/>
          <w:szCs w:val="22"/>
        </w:rPr>
        <w:footnoteReference w:id="14"/>
      </w:r>
      <w:r w:rsidRPr="006D73F2">
        <w:t xml:space="preserve"> </w:t>
      </w:r>
      <w:r w:rsidR="0025442C">
        <w:t xml:space="preserve">Pentecostal Temple Development Corporation </w:t>
      </w:r>
      <w:r w:rsidRPr="009F557E">
        <w:rPr>
          <w:b/>
        </w:rPr>
        <w:t>IS LIABLE FOR A MONETARY FORFEITURE</w:t>
      </w:r>
      <w:r w:rsidRPr="006D73F2">
        <w:t xml:space="preserve"> in the amount of </w:t>
      </w:r>
      <w:r w:rsidR="0025442C">
        <w:t xml:space="preserve">Twenty-Five Thousand Dollars ($25,000) </w:t>
      </w:r>
      <w:r w:rsidRPr="006D73F2">
        <w:t xml:space="preserve">for willfully </w:t>
      </w:r>
      <w:r>
        <w:t xml:space="preserve">and repeatedly </w:t>
      </w:r>
      <w:r w:rsidRPr="006D73F2">
        <w:t xml:space="preserve">violating </w:t>
      </w:r>
      <w:r w:rsidR="0025442C">
        <w:t>section 303(q) of the Act and sections 17.23, 17.48(a), and 17.50 of the Commission’s rules.</w:t>
      </w:r>
      <w:r>
        <w:rPr>
          <w:rStyle w:val="FootnoteReference"/>
        </w:rPr>
        <w:footnoteReference w:id="15"/>
      </w:r>
      <w:r w:rsidR="0025442C">
        <w:t xml:space="preserve"> </w:t>
      </w:r>
    </w:p>
    <w:p w:rsidR="009F557E" w:rsidP="009F557E" w14:paraId="5E69F8B6" w14:textId="77777777">
      <w:pPr>
        <w:pStyle w:val="ParaNum"/>
        <w:tabs>
          <w:tab w:val="clear" w:pos="1260"/>
        </w:tabs>
        <w:ind w:left="0"/>
        <w:rPr>
          <w:spacing w:val="-2"/>
          <w:szCs w:val="22"/>
        </w:rPr>
      </w:pPr>
      <w:r w:rsidRPr="009F557E">
        <w:rPr>
          <w:color w:val="000000"/>
          <w:spacing w:val="-2"/>
        </w:rPr>
        <w:t>Payment</w:t>
      </w:r>
      <w:r w:rsidRPr="006D73F2">
        <w:t xml:space="preserve"> of the forfeiture shall be made in the manner provided for in Section 1.80 of the Rules within thirty (30) calendar days after the release date of this Forfeiture Order.</w:t>
      </w:r>
      <w:r>
        <w:rPr>
          <w:rStyle w:val="FootnoteReference"/>
          <w:szCs w:val="22"/>
        </w:rPr>
        <w:footnoteReference w:id="16"/>
      </w:r>
      <w:r w:rsidRPr="006D73F2">
        <w:t xml:space="preserve">  If the forfeiture is not paid within the period specified, the case may be referred to the U.S. Department of Justice for enforcement of the forfeiture pursuant to Section 504(a) of the Act.</w:t>
      </w:r>
      <w:r>
        <w:rPr>
          <w:rStyle w:val="FootnoteReference"/>
          <w:szCs w:val="22"/>
        </w:rPr>
        <w:footnoteReference w:id="17"/>
      </w:r>
      <w:r w:rsidRPr="006D73F2">
        <w:t xml:space="preserve">  </w:t>
      </w:r>
    </w:p>
    <w:p w:rsidR="0025442C" w:rsidRPr="009F557E" w:rsidP="009F557E" w14:paraId="22774BAA" w14:textId="77777777">
      <w:pPr>
        <w:pStyle w:val="ParaNum"/>
        <w:tabs>
          <w:tab w:val="clear" w:pos="1260"/>
        </w:tabs>
        <w:ind w:left="0"/>
        <w:rPr>
          <w:spacing w:val="-2"/>
          <w:szCs w:val="22"/>
        </w:rPr>
      </w:pPr>
      <w:r w:rsidRPr="0077691C">
        <w:t xml:space="preserve">Payment of the forfeiture must be made by </w:t>
      </w:r>
      <w:r>
        <w:t xml:space="preserve">credit card, ACH (Automated Clearing House) debit from a bank account using the Commission’s Fee Filer (the Commission’s online payment </w:t>
      </w:r>
      <w:r>
        <w:t>system),</w:t>
      </w:r>
      <w:r>
        <w:rPr>
          <w:rStyle w:val="FootnoteReference"/>
        </w:rPr>
        <w:footnoteReference w:id="18"/>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19"/>
      </w:r>
      <w:r>
        <w:t xml:space="preserve"> </w:t>
      </w:r>
    </w:p>
    <w:p w:rsidR="0025442C" w:rsidRPr="0077691C" w:rsidP="00005310" w14:paraId="559E81A9" w14:textId="77777777">
      <w:pPr>
        <w:widowControl/>
        <w:numPr>
          <w:ilvl w:val="0"/>
          <w:numId w:val="9"/>
        </w:numPr>
        <w:spacing w:after="120"/>
        <w:rPr>
          <w:b/>
        </w:rPr>
      </w:pPr>
      <w:r w:rsidRPr="00A17744">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BE6577" w:rsidR="00005310">
          <w:rPr>
            <w:rStyle w:val="Hyperlink"/>
          </w:rPr>
          <w:t>RROGWireFaxes@fcc.gov</w:t>
        </w:r>
      </w:hyperlink>
      <w:r w:rsidRPr="00A17744">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0"/>
      </w:r>
      <w:r w:rsidRPr="00A17744">
        <w:t xml:space="preserve">  For additional detail and wire transfer instructions, go to </w:t>
      </w:r>
      <w:hyperlink r:id="rId6" w:history="1">
        <w:r w:rsidRPr="00BE6577" w:rsidR="00005310">
          <w:rPr>
            <w:rStyle w:val="Hyperlink"/>
          </w:rPr>
          <w:t>https://www.fcc.gov/licensing-databases/fees/wire-transfer</w:t>
        </w:r>
      </w:hyperlink>
      <w:r w:rsidRPr="00A17744">
        <w:t>.</w:t>
      </w:r>
    </w:p>
    <w:p w:rsidR="0025442C" w:rsidRPr="0077691C" w:rsidP="0025442C" w14:paraId="3CE1267B" w14:textId="77777777">
      <w:pPr>
        <w:widowControl/>
        <w:numPr>
          <w:ilvl w:val="0"/>
          <w:numId w:val="9"/>
        </w:numPr>
        <w:spacing w:after="120"/>
        <w:rPr>
          <w:b/>
        </w:rPr>
      </w:pPr>
      <w:r w:rsidRPr="00A17744">
        <w:t xml:space="preserve">Payment by credit card must be made by using the Commission’s Fee Filer website at </w:t>
      </w:r>
      <w:hyperlink r:id="rId7" w:history="1">
        <w:r w:rsidRPr="00BE6577" w:rsidR="00005310">
          <w:rPr>
            <w:rStyle w:val="Hyperlink"/>
          </w:rPr>
          <w:t>https://apps.fcc.gov/FeeFiler/login.cfm</w:t>
        </w:r>
      </w:hyperlink>
      <w:r w:rsidRPr="00A17744">
        <w:t>.</w:t>
      </w:r>
      <w:r w:rsidR="00005310">
        <w:t xml:space="preserve"> </w:t>
      </w:r>
      <w:r w:rsidRPr="00A17744">
        <w:t xml:space="preserve"> To pay by credit card, log-in using the FRN captioned above.  If payment must be split across FRNs, complete this process for each FRN.  Next, select “Pay bills” on the Fee Filer Menu, and select the bill number associated with the NAL Account</w:t>
      </w:r>
      <w:r w:rsidR="00701E40">
        <w:t xml:space="preserve">—the </w:t>
      </w:r>
      <w:r w:rsidRPr="00A17744">
        <w:t>bill number is the NAL Account number with the first two digits excluded</w:t>
      </w:r>
      <w:r w:rsidR="00701E40">
        <w:t>—</w:t>
      </w:r>
      <w:r w:rsidRPr="00A17744">
        <w:t>and then choose the “Pay by Credit Card” option.  Please note that there is a dollar limitation on credit card transactions, which cannot exceed $24,999.99.</w:t>
      </w:r>
    </w:p>
    <w:p w:rsidR="0025442C" w:rsidRPr="0077691C" w:rsidP="0025442C" w14:paraId="248E20B7" w14:textId="77777777">
      <w:pPr>
        <w:numPr>
          <w:ilvl w:val="0"/>
          <w:numId w:val="9"/>
        </w:numPr>
        <w:spacing w:after="120"/>
        <w:rPr>
          <w:b/>
        </w:rPr>
      </w:pPr>
      <w:r w:rsidRPr="00A17744">
        <w:t xml:space="preserve">Payment by ACH must be made by using the Commission’s Fee Filer website at </w:t>
      </w:r>
      <w:hyperlink r:id="rId7" w:history="1">
        <w:r w:rsidRPr="00BE6577" w:rsidR="00005310">
          <w:rPr>
            <w:rStyle w:val="Hyperlink"/>
          </w:rPr>
          <w:t>https://apps.fcc.gov/FeeFiler/login.cfm</w:t>
        </w:r>
      </w:hyperlink>
      <w:r w:rsidRPr="00A17744">
        <w:t>.</w:t>
      </w:r>
      <w:r w:rsidR="00005310">
        <w:t xml:space="preserve"> </w:t>
      </w:r>
      <w:r w:rsidRPr="00A17744">
        <w:t xml:space="preserve"> To pay by ACH, log in using the FRN captioned above.  If payment must be split across FRNs, complete this process for each FRN.  Next, select “Pay bills” on the Fee Filer Menu and then select the bill number associated to the NAL Account</w:t>
      </w:r>
      <w:r w:rsidR="00701E40">
        <w:t>—</w:t>
      </w:r>
      <w:r w:rsidRPr="00A17744">
        <w:t>the bill number is the NAL Account number with the first two digits excluded</w:t>
      </w:r>
      <w:r w:rsidR="009F557E">
        <w:t>—</w:t>
      </w:r>
      <w:r w:rsidRPr="00A17744">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F557E" w:rsidP="009F557E" w14:paraId="7B89D2C3" w14:textId="77777777">
      <w:pPr>
        <w:pStyle w:val="ParaNum"/>
        <w:tabs>
          <w:tab w:val="clear" w:pos="1260"/>
        </w:tabs>
        <w:ind w:left="0"/>
      </w:pPr>
      <w:r w:rsidRPr="006D73F2">
        <w:t xml:space="preserve">Any </w:t>
      </w:r>
      <w:r w:rsidRPr="0025442C">
        <w:rPr>
          <w:color w:val="000000"/>
          <w:spacing w:val="-2"/>
        </w:rPr>
        <w:t>request</w:t>
      </w:r>
      <w:r w:rsidRPr="006D73F2">
        <w:t xml:space="preserve">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w:t>
      </w:r>
      <w:r>
        <w:t>—</w:t>
      </w:r>
      <w:r w:rsidRPr="006D73F2">
        <w:t>Financial Operations, Federal Communications Commission, 445 12th Street, SW, Room 1</w:t>
      </w:r>
      <w:r w:rsidRPr="006D73F2">
        <w:noBreakHyphen/>
        <w:t>A625, Washington, DC 20554.</w:t>
      </w:r>
      <w:r>
        <w:rPr>
          <w:rStyle w:val="FootnoteReference"/>
          <w:szCs w:val="22"/>
        </w:rPr>
        <w:footnoteReference w:id="21"/>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8" w:history="1">
        <w:r w:rsidRPr="00BE6577" w:rsidR="00005310">
          <w:rPr>
            <w:rStyle w:val="Hyperlink"/>
          </w:rPr>
          <w:t>ARINQUIRIES@fcc.gov</w:t>
        </w:r>
      </w:hyperlink>
      <w:r w:rsidRPr="00373669">
        <w:t>.</w:t>
      </w:r>
    </w:p>
    <w:p w:rsidR="00BD6992" w:rsidRPr="006D73F2" w:rsidP="00472ADF" w14:paraId="71676B36" w14:textId="77777777">
      <w:pPr>
        <w:pStyle w:val="ParaNum"/>
        <w:keepNext/>
        <w:tabs>
          <w:tab w:val="clear" w:pos="1260"/>
        </w:tabs>
        <w:ind w:left="0"/>
      </w:pPr>
      <w:r w:rsidRPr="009F557E">
        <w:rPr>
          <w:b/>
        </w:rPr>
        <w:t>IT IS FURTHER ORDERED</w:t>
      </w:r>
      <w:r w:rsidRPr="006D73F2">
        <w:t xml:space="preserve"> </w:t>
      </w:r>
      <w:r w:rsidRPr="005109E0">
        <w:t xml:space="preserve">that a copy of this Forfeiture Order </w:t>
      </w:r>
      <w:r w:rsidRPr="00BD5A2B">
        <w:t xml:space="preserve">shall be sent by first class mail and certified </w:t>
      </w:r>
      <w:r w:rsidRPr="009F557E">
        <w:rPr>
          <w:color w:val="000000"/>
          <w:spacing w:val="-2"/>
        </w:rPr>
        <w:t>mail</w:t>
      </w:r>
      <w:r w:rsidRPr="00BD5A2B">
        <w:t xml:space="preserve">, return receipt requested, to </w:t>
      </w:r>
      <w:r w:rsidR="00685428">
        <w:t xml:space="preserve">Loran Mann, President, Pentecostal Temple Development </w:t>
      </w:r>
      <w:r w:rsidR="00005310">
        <w:t>Corporation, 6300 East Liberty Boulevard, Pittsburgh, Pennsylvania 15206</w:t>
      </w:r>
      <w:r w:rsidR="009F557E">
        <w:t>,</w:t>
      </w:r>
      <w:r w:rsidR="00005310">
        <w:t xml:space="preserve"> and to Dan J. Alpert, Esq., The Law Office of Dan J. Alpert, 2120 North 21st Road, Arlington, Virginia 22201</w:t>
      </w:r>
      <w:r w:rsidRPr="00BD5A2B">
        <w:t>.</w:t>
      </w:r>
    </w:p>
    <w:p w:rsidR="00BD6992" w:rsidP="00BD6992" w14:paraId="2788F7DF" w14:textId="77777777">
      <w:pPr>
        <w:keepNext/>
      </w:pPr>
      <w:r>
        <w:tab/>
      </w:r>
      <w:r>
        <w:tab/>
      </w:r>
      <w:r>
        <w:tab/>
      </w:r>
      <w:r>
        <w:tab/>
      </w:r>
      <w:r>
        <w:tab/>
      </w:r>
      <w:r>
        <w:tab/>
        <w:t>FEDERAL COMMUNICATIONS COMMISSION</w:t>
      </w:r>
    </w:p>
    <w:p w:rsidR="00BD6992" w:rsidP="00BD6992" w14:paraId="4C99E63A" w14:textId="77777777">
      <w:pPr>
        <w:keepNext/>
      </w:pPr>
    </w:p>
    <w:p w:rsidR="00BD6992" w:rsidP="00BD6992" w14:paraId="47220C19" w14:textId="77777777">
      <w:pPr>
        <w:keepNext/>
      </w:pPr>
    </w:p>
    <w:p w:rsidR="00BD6992" w:rsidP="00BD6992" w14:paraId="0036EA6F" w14:textId="77777777">
      <w:pPr>
        <w:keepNext/>
      </w:pPr>
    </w:p>
    <w:p w:rsidR="00BD6992" w:rsidP="00BD6992" w14:paraId="55CC6583" w14:textId="77777777">
      <w:pPr>
        <w:keepNext/>
      </w:pPr>
    </w:p>
    <w:p w:rsidR="00BD6992" w:rsidP="00BD6992" w14:paraId="1D5F2D7B" w14:textId="77777777">
      <w:pPr>
        <w:keepNext/>
      </w:pPr>
      <w:r>
        <w:tab/>
      </w:r>
      <w:r>
        <w:tab/>
      </w:r>
      <w:r>
        <w:tab/>
      </w:r>
      <w:r>
        <w:tab/>
      </w:r>
      <w:r>
        <w:tab/>
      </w:r>
      <w:r>
        <w:tab/>
        <w:t>David Dombrowski</w:t>
      </w:r>
    </w:p>
    <w:p w:rsidR="00BD6992" w:rsidP="00BD6992" w14:paraId="67609635" w14:textId="77777777">
      <w:pPr>
        <w:keepNext/>
      </w:pPr>
      <w:r>
        <w:tab/>
      </w:r>
      <w:r>
        <w:tab/>
      </w:r>
      <w:r>
        <w:tab/>
      </w:r>
      <w:r>
        <w:tab/>
      </w:r>
      <w:r>
        <w:tab/>
      </w:r>
      <w:r>
        <w:tab/>
        <w:t>Regional Director, Region One</w:t>
      </w:r>
    </w:p>
    <w:p w:rsidR="00BD6992" w:rsidP="00BD6992" w14:paraId="7F6F56E0" w14:textId="77777777">
      <w:pPr>
        <w:keepNext/>
        <w:ind w:left="3600" w:firstLine="720"/>
      </w:pPr>
      <w:r>
        <w:t>Enforcement Bureau</w:t>
      </w:r>
    </w:p>
    <w:p w:rsidR="00BD6992" w:rsidP="00BD6992" w14:paraId="6D64D798" w14:textId="77777777"/>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7459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94DD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6D19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C7034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886C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CD5" w14:paraId="7B98D82F" w14:textId="77777777">
      <w:r>
        <w:separator/>
      </w:r>
    </w:p>
  </w:footnote>
  <w:footnote w:type="continuationSeparator" w:id="1">
    <w:p w:rsidR="00C76CD5" w:rsidP="00C721AC" w14:paraId="72B22C9C" w14:textId="77777777">
      <w:pPr>
        <w:spacing w:before="120"/>
        <w:rPr>
          <w:sz w:val="20"/>
        </w:rPr>
      </w:pPr>
      <w:r>
        <w:rPr>
          <w:sz w:val="20"/>
        </w:rPr>
        <w:t xml:space="preserve">(Continued from previous page)  </w:t>
      </w:r>
      <w:r>
        <w:rPr>
          <w:sz w:val="20"/>
        </w:rPr>
        <w:separator/>
      </w:r>
    </w:p>
  </w:footnote>
  <w:footnote w:type="continuationNotice" w:id="2">
    <w:p w:rsidR="00C76CD5" w:rsidP="00C721AC" w14:paraId="48EEFBBE" w14:textId="77777777">
      <w:pPr>
        <w:jc w:val="right"/>
        <w:rPr>
          <w:sz w:val="20"/>
        </w:rPr>
      </w:pPr>
      <w:r>
        <w:rPr>
          <w:sz w:val="20"/>
        </w:rPr>
        <w:t>(continued….)</w:t>
      </w:r>
    </w:p>
  </w:footnote>
  <w:footnote w:id="3">
    <w:p w:rsidR="00F714FC" w14:paraId="7B849D4B" w14:textId="77777777">
      <w:pPr>
        <w:pStyle w:val="FootnoteText"/>
      </w:pPr>
      <w:r>
        <w:rPr>
          <w:rStyle w:val="FootnoteReference"/>
        </w:rPr>
        <w:footnoteRef/>
      </w:r>
      <w:r>
        <w:t xml:space="preserve"> </w:t>
      </w:r>
      <w:r w:rsidRPr="00685428" w:rsidR="00685428">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C964DA" w:rsidP="00C964DA" w14:paraId="29935151" w14:textId="77777777">
      <w:pPr>
        <w:pStyle w:val="FootnoteText"/>
      </w:pPr>
      <w:r>
        <w:rPr>
          <w:rStyle w:val="FootnoteReference"/>
        </w:rPr>
        <w:footnoteRef/>
      </w:r>
      <w:r>
        <w:t xml:space="preserve"> 47 U.S.C. § 303(q); 47 CFR §§ 17.23, 17.48(a), 17.50.</w:t>
      </w:r>
    </w:p>
  </w:footnote>
  <w:footnote w:id="5">
    <w:p w:rsidR="009F011E" w:rsidRPr="004612E9" w:rsidP="009F011E" w14:paraId="7A28BE4F" w14:textId="1183305A">
      <w:pPr>
        <w:pStyle w:val="FootnoteText"/>
      </w:pPr>
      <w:r>
        <w:rPr>
          <w:rStyle w:val="FootnoteReference"/>
        </w:rPr>
        <w:footnoteRef/>
      </w:r>
      <w:r>
        <w:t xml:space="preserve"> </w:t>
      </w:r>
      <w:r w:rsidRPr="00140ABB">
        <w:rPr>
          <w:iCs/>
          <w:color w:val="000000"/>
        </w:rPr>
        <w:t xml:space="preserve">The </w:t>
      </w:r>
      <w:r w:rsidRPr="002838B7" w:rsidR="00AB4BC5">
        <w:rPr>
          <w:iCs/>
          <w:color w:val="000000"/>
        </w:rPr>
        <w:t>Notice</w:t>
      </w:r>
      <w:r w:rsidRPr="00140ABB">
        <w:rPr>
          <w:iCs/>
          <w:color w:val="000000"/>
        </w:rPr>
        <w:t xml:space="preserve"> includes a more complete discussion of the facts and history of this case and is incorporated herein by reference.</w:t>
      </w:r>
      <w:r w:rsidRPr="00140ABB">
        <w:t xml:space="preserve">  </w:t>
      </w:r>
      <w:r w:rsidR="00DA4CAC">
        <w:rPr>
          <w:i/>
        </w:rPr>
        <w:t>Pentecostal Temple Development Corporation</w:t>
      </w:r>
      <w:r w:rsidRPr="00140ABB">
        <w:t xml:space="preserve">, </w:t>
      </w:r>
      <w:r>
        <w:t xml:space="preserve">Notice of Apparent Liability for Forfeiture, </w:t>
      </w:r>
      <w:r w:rsidR="00DA4CAC">
        <w:t>31</w:t>
      </w:r>
      <w:r w:rsidRPr="0007571D">
        <w:t xml:space="preserve"> FCC Rcd </w:t>
      </w:r>
      <w:r w:rsidR="00DA4CAC">
        <w:t>13523</w:t>
      </w:r>
      <w:r>
        <w:t xml:space="preserve"> (</w:t>
      </w:r>
      <w:r w:rsidR="00DA4CAC">
        <w:t>EB 2016)</w:t>
      </w:r>
      <w:r>
        <w:t xml:space="preserve">; </w:t>
      </w:r>
      <w:r w:rsidR="00DA4CAC">
        <w:t xml:space="preserve">47 U.S.C. § 303(q); 47 CFR §§ 17.23, 17.48, 17.50. </w:t>
      </w:r>
      <w:r w:rsidR="005B7F8A">
        <w:t xml:space="preserve"> </w:t>
      </w:r>
      <w:r w:rsidR="005B7F8A">
        <w:rPr>
          <w:color w:val="000000"/>
        </w:rPr>
        <w:t xml:space="preserve">As detailed in the </w:t>
      </w:r>
      <w:r w:rsidRPr="002838B7" w:rsidR="005B7F8A">
        <w:rPr>
          <w:color w:val="000000"/>
        </w:rPr>
        <w:t>Notice</w:t>
      </w:r>
      <w:r w:rsidR="005B7F8A">
        <w:rPr>
          <w:color w:val="000000"/>
        </w:rPr>
        <w:t>, in February 2016 the Bureau issued a Notice of Violation to Pent</w:t>
      </w:r>
      <w:r w:rsidR="002838B7">
        <w:rPr>
          <w:color w:val="000000"/>
        </w:rPr>
        <w:t>e</w:t>
      </w:r>
      <w:r w:rsidR="005B7F8A">
        <w:rPr>
          <w:color w:val="000000"/>
        </w:rPr>
        <w:t>costal Temple for these violations, Pent</w:t>
      </w:r>
      <w:r w:rsidR="002838B7">
        <w:rPr>
          <w:color w:val="000000"/>
        </w:rPr>
        <w:t>e</w:t>
      </w:r>
      <w:r w:rsidR="005B7F8A">
        <w:rPr>
          <w:color w:val="000000"/>
        </w:rPr>
        <w:t xml:space="preserve">costal Temple properly submitted a response </w:t>
      </w:r>
      <w:r w:rsidRPr="002838B7" w:rsidR="005B7F8A">
        <w:rPr>
          <w:color w:val="000000"/>
        </w:rPr>
        <w:t>to the Bureau</w:t>
      </w:r>
      <w:r w:rsidRPr="007F2E4D" w:rsidR="005B7F8A">
        <w:rPr>
          <w:color w:val="000000"/>
        </w:rPr>
        <w:t xml:space="preserve"> pledging to cure the violations by May 2016 but failed to do so.  </w:t>
      </w:r>
      <w:r w:rsidRPr="002838B7" w:rsidR="005B7F8A">
        <w:t>Notice</w:t>
      </w:r>
      <w:r w:rsidRPr="007F2E4D" w:rsidR="005B7F8A">
        <w:t xml:space="preserve">, 31 FCC Rcd at </w:t>
      </w:r>
      <w:r w:rsidR="00A7003E">
        <w:t>13523-25</w:t>
      </w:r>
      <w:r w:rsidRPr="007F2E4D" w:rsidR="005B7F8A">
        <w:t>, paras</w:t>
      </w:r>
      <w:r w:rsidRPr="007F2E4D" w:rsidR="005B7F8A">
        <w:t xml:space="preserve">. </w:t>
      </w:r>
      <w:r w:rsidRPr="007F2E4D" w:rsidR="005B7F8A">
        <w:t>2-5.</w:t>
      </w:r>
    </w:p>
  </w:footnote>
  <w:footnote w:id="6">
    <w:p w:rsidR="006304FD" w:rsidP="006304FD" w14:paraId="0819E140" w14:textId="77777777">
      <w:pPr>
        <w:pStyle w:val="FootnoteText"/>
      </w:pPr>
      <w:r>
        <w:rPr>
          <w:rStyle w:val="FootnoteReference"/>
        </w:rPr>
        <w:footnoteRef/>
      </w:r>
      <w:r>
        <w:t xml:space="preserve"> Petition for Reconsideration, File Nos. </w:t>
      </w:r>
      <w:r w:rsidRPr="00DA4CAC">
        <w:t>EB-FIELDNER-15-00020416</w:t>
      </w:r>
      <w:r>
        <w:t xml:space="preserve">, </w:t>
      </w:r>
      <w:r w:rsidRPr="00DA4CAC">
        <w:t>EB-FIELDNER-15-00020418</w:t>
      </w:r>
      <w:r>
        <w:t xml:space="preserve"> (filed Jan. 30, 2017) (Petition for Reconsideration).</w:t>
      </w:r>
    </w:p>
  </w:footnote>
  <w:footnote w:id="7">
    <w:p w:rsidR="006304FD" w:rsidP="006304FD" w14:paraId="63E31429" w14:textId="77777777">
      <w:pPr>
        <w:pStyle w:val="FootnoteText"/>
      </w:pPr>
      <w:r>
        <w:rPr>
          <w:rStyle w:val="FootnoteReference"/>
        </w:rPr>
        <w:footnoteRef/>
      </w:r>
      <w:r>
        <w:t xml:space="preserve"> Response to Notice of Apparent Liability, File Nos. EB-FIELDNER-15-00020416, EB-FIELDNER-15-00020418 (filed Feb. 21, 2017) (Notice Response).</w:t>
      </w:r>
    </w:p>
  </w:footnote>
  <w:footnote w:id="8">
    <w:p w:rsidR="007F2BAC" w:rsidRPr="00BD6992" w14:paraId="616FB3E4" w14:textId="77777777">
      <w:pPr>
        <w:pStyle w:val="FootnoteText"/>
      </w:pPr>
      <w:r>
        <w:rPr>
          <w:rStyle w:val="FootnoteReference"/>
        </w:rPr>
        <w:footnoteRef/>
      </w:r>
      <w:r>
        <w:t xml:space="preserve"> </w:t>
      </w:r>
      <w:r w:rsidR="002910AF">
        <w:t xml:space="preserve">Letter from Kathleen Heuer, Chief Financial Officer, Office of Managing Director, to Dan </w:t>
      </w:r>
      <w:r w:rsidR="00005310">
        <w:t xml:space="preserve">J. </w:t>
      </w:r>
      <w:r w:rsidR="002910AF">
        <w:t>Alpert</w:t>
      </w:r>
      <w:r w:rsidR="00005310">
        <w:t>, Esq.</w:t>
      </w:r>
      <w:r w:rsidR="002910AF">
        <w:t xml:space="preserve"> at 3 (March 16, 2017) (on file in EB-FIELDNER-15-00020416). </w:t>
      </w:r>
    </w:p>
  </w:footnote>
  <w:footnote w:id="9">
    <w:p w:rsidR="00F714FC" w:rsidRPr="00F714FC" w14:paraId="15551ACE" w14:textId="77777777">
      <w:pPr>
        <w:pStyle w:val="FootnoteText"/>
      </w:pPr>
      <w:r>
        <w:rPr>
          <w:rStyle w:val="FootnoteReference"/>
        </w:rPr>
        <w:footnoteRef/>
      </w:r>
      <w:r>
        <w:t xml:space="preserve"> </w:t>
      </w:r>
      <w:r w:rsidRPr="00415579" w:rsidR="00AB4BC5">
        <w:t>Notice</w:t>
      </w:r>
      <w:r w:rsidR="00685428">
        <w:t>, 31 FCC Rcd at 13529, para. 18</w:t>
      </w:r>
      <w:r>
        <w:t>.</w:t>
      </w:r>
    </w:p>
  </w:footnote>
  <w:footnote w:id="10">
    <w:p w:rsidR="00F714FC" w14:paraId="7CF216AA" w14:textId="77777777">
      <w:pPr>
        <w:pStyle w:val="FootnoteText"/>
      </w:pPr>
      <w:r>
        <w:rPr>
          <w:rStyle w:val="FootnoteReference"/>
        </w:rPr>
        <w:footnoteRef/>
      </w:r>
      <w:r>
        <w:t xml:space="preserve"> </w:t>
      </w:r>
      <w:r w:rsidRPr="00F714FC">
        <w:t xml:space="preserve">E-mail from Janet Moran, Field Counsel, Office of the Field Director, Enforcement Bureau, to Dan </w:t>
      </w:r>
      <w:r w:rsidR="00005310">
        <w:t xml:space="preserve">J. </w:t>
      </w:r>
      <w:r w:rsidRPr="00F714FC">
        <w:t>Alpert</w:t>
      </w:r>
      <w:r w:rsidR="00685428">
        <w:t>,</w:t>
      </w:r>
      <w:r w:rsidR="00005310">
        <w:t xml:space="preserve"> Esq.,</w:t>
      </w:r>
      <w:r w:rsidR="00685428">
        <w:t xml:space="preserve"> et al. (May 4, 2017, 15:31 EDT) </w:t>
      </w:r>
      <w:r w:rsidRPr="00F714FC">
        <w:t>(on file in EB-FIELDNER-15-00020416).</w:t>
      </w:r>
    </w:p>
  </w:footnote>
  <w:footnote w:id="11">
    <w:p w:rsidR="0054086B" w:rsidRPr="00F542A6" w14:paraId="6E5C830C" w14:textId="786B5107">
      <w:pPr>
        <w:pStyle w:val="FootnoteText"/>
      </w:pPr>
      <w:r>
        <w:rPr>
          <w:rStyle w:val="FootnoteReference"/>
        </w:rPr>
        <w:footnoteRef/>
      </w:r>
      <w:r>
        <w:t xml:space="preserve"> </w:t>
      </w:r>
      <w:r w:rsidR="00F542A6">
        <w:t xml:space="preserve">The failure to properly file a </w:t>
      </w:r>
      <w:r w:rsidR="002838B7">
        <w:t xml:space="preserve">response to the Notice </w:t>
      </w:r>
      <w:r w:rsidR="00F542A6">
        <w:t>contrasts with Pent</w:t>
      </w:r>
      <w:r w:rsidR="002838B7">
        <w:t>e</w:t>
      </w:r>
      <w:r w:rsidR="00F542A6">
        <w:t xml:space="preserve">costal Temple’s filing of its responses to the Notice of Violation with the Bureau’s field office.  </w:t>
      </w:r>
      <w:r w:rsidR="00F542A6">
        <w:rPr>
          <w:i/>
        </w:rPr>
        <w:t xml:space="preserve">See </w:t>
      </w:r>
      <w:r w:rsidR="00A7003E">
        <w:t xml:space="preserve">note 3, </w:t>
      </w:r>
      <w:r w:rsidR="00A7003E">
        <w:rPr>
          <w:i/>
        </w:rPr>
        <w:t>supra</w:t>
      </w:r>
      <w:r w:rsidR="00A7003E">
        <w:t xml:space="preserve">. </w:t>
      </w:r>
    </w:p>
  </w:footnote>
  <w:footnote w:id="12">
    <w:p w:rsidR="00685428" w:rsidRPr="002838B7" w14:paraId="6E1C56F9" w14:textId="77777777">
      <w:pPr>
        <w:pStyle w:val="FootnoteText"/>
      </w:pPr>
      <w:r>
        <w:rPr>
          <w:rStyle w:val="FootnoteReference"/>
        </w:rPr>
        <w:footnoteRef/>
      </w:r>
      <w:r>
        <w:t xml:space="preserve"> </w:t>
      </w:r>
      <w:r w:rsidRPr="00415579" w:rsidR="00AB4BC5">
        <w:t>Notice</w:t>
      </w:r>
      <w:r>
        <w:t>, 31 FCC Rcd at 13528, para. 16.</w:t>
      </w:r>
    </w:p>
  </w:footnote>
  <w:footnote w:id="13">
    <w:p w:rsidR="009F011E" w:rsidRPr="00344C0B" w:rsidP="009F011E" w14:paraId="504172C9" w14:textId="77777777">
      <w:pPr>
        <w:pStyle w:val="FootnoteText"/>
      </w:pPr>
      <w:r w:rsidRPr="00344C0B">
        <w:rPr>
          <w:rStyle w:val="FootnoteReference"/>
        </w:rPr>
        <w:footnoteRef/>
      </w:r>
      <w:r w:rsidRPr="00344C0B">
        <w:t xml:space="preserve"> 47 U.S.C. § 503(b).</w:t>
      </w:r>
    </w:p>
  </w:footnote>
  <w:footnote w:id="14">
    <w:p w:rsidR="009F011E" w:rsidRPr="00344C0B" w:rsidP="009F011E" w14:paraId="79DD6B3F" w14:textId="77777777">
      <w:pPr>
        <w:pStyle w:val="FootnoteText"/>
      </w:pPr>
      <w:r w:rsidRPr="00344C0B">
        <w:rPr>
          <w:rStyle w:val="FootnoteReference"/>
        </w:rPr>
        <w:footnoteRef/>
      </w:r>
      <w:r w:rsidRPr="00344C0B">
        <w:t xml:space="preserve"> 47 CFR § 1.80.</w:t>
      </w:r>
    </w:p>
  </w:footnote>
  <w:footnote w:id="15">
    <w:p w:rsidR="0025442C" w14:paraId="3E68551C" w14:textId="77777777">
      <w:pPr>
        <w:pStyle w:val="FootnoteText"/>
      </w:pPr>
      <w:r>
        <w:rPr>
          <w:rStyle w:val="FootnoteReference"/>
        </w:rPr>
        <w:footnoteRef/>
      </w:r>
      <w:r>
        <w:t xml:space="preserve"> 47 U.S.C. § 303(q); 47 CFR §§ 17.23, 17.48(a), 17.50.</w:t>
      </w:r>
    </w:p>
  </w:footnote>
  <w:footnote w:id="16">
    <w:p w:rsidR="009F011E" w:rsidRPr="007D40D2" w:rsidP="009F011E" w14:paraId="4395EB83" w14:textId="77777777">
      <w:pPr>
        <w:pStyle w:val="FootnoteText"/>
      </w:pPr>
      <w:r w:rsidRPr="00344C0B">
        <w:rPr>
          <w:rStyle w:val="FootnoteReference"/>
        </w:rPr>
        <w:footnoteRef/>
      </w:r>
      <w:r w:rsidRPr="00344C0B">
        <w:t xml:space="preserve"> 47 CFR § 1.80.</w:t>
      </w:r>
    </w:p>
  </w:footnote>
  <w:footnote w:id="17">
    <w:p w:rsidR="009F011E" w:rsidRPr="00344C0B" w:rsidP="009F011E" w14:paraId="6978E059" w14:textId="77777777">
      <w:pPr>
        <w:pStyle w:val="FootnoteText"/>
      </w:pPr>
      <w:r w:rsidRPr="00344C0B">
        <w:rPr>
          <w:rStyle w:val="FootnoteReference"/>
        </w:rPr>
        <w:footnoteRef/>
      </w:r>
      <w:r w:rsidRPr="00344C0B">
        <w:t xml:space="preserve"> 47 U.S.C. § 504(a).</w:t>
      </w:r>
    </w:p>
  </w:footnote>
  <w:footnote w:id="18">
    <w:p w:rsidR="0025442C" w:rsidP="0025442C" w14:paraId="5D43956A" w14:textId="77777777">
      <w:pPr>
        <w:pStyle w:val="FootnoteText"/>
      </w:pPr>
      <w:r>
        <w:rPr>
          <w:rStyle w:val="FootnoteReference"/>
        </w:rPr>
        <w:footnoteRef/>
      </w:r>
      <w:r>
        <w:t xml:space="preserve"> Payments made using the Commission’s Fee Filer system do not require the submission of an FCC Form 159.</w:t>
      </w:r>
    </w:p>
  </w:footnote>
  <w:footnote w:id="19">
    <w:p w:rsidR="0025442C" w:rsidP="0025442C" w14:paraId="04C7F09B" w14:textId="77777777">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1" w:history="1">
        <w:r w:rsidRPr="005826DB">
          <w:rPr>
            <w:rStyle w:val="Hyperlink"/>
          </w:rPr>
          <w:t>ARINQUIRIES@fcc.gov</w:t>
        </w:r>
      </w:hyperlink>
      <w:r>
        <w:t xml:space="preserve">.  </w:t>
      </w:r>
    </w:p>
  </w:footnote>
  <w:footnote w:id="20">
    <w:p w:rsidR="0025442C" w:rsidP="0025442C" w14:paraId="05662FC5" w14:textId="77777777">
      <w:pPr>
        <w:pStyle w:val="FootnoteText"/>
      </w:pPr>
      <w:r>
        <w:rPr>
          <w:rStyle w:val="FootnoteReference"/>
        </w:rPr>
        <w:footnoteRef/>
      </w:r>
      <w:r>
        <w:t xml:space="preserve"> Instructions for completing the form may be obtained at </w:t>
      </w:r>
      <w:hyperlink r:id="rId2" w:history="1">
        <w:r w:rsidRPr="005826DB">
          <w:rPr>
            <w:rStyle w:val="Hyperlink"/>
          </w:rPr>
          <w:t>https://www.fcc.gov/Forms/Form159/159.pdf</w:t>
        </w:r>
      </w:hyperlink>
      <w:r>
        <w:t xml:space="preserve">. </w:t>
      </w:r>
    </w:p>
  </w:footnote>
  <w:footnote w:id="21">
    <w:p w:rsidR="00BD6992" w:rsidRPr="0030738C" w:rsidP="00BD6992" w14:paraId="3C435AA7" w14:textId="77777777">
      <w:pPr>
        <w:pStyle w:val="FootnoteText"/>
      </w:pPr>
      <w:r w:rsidRPr="00344C0B">
        <w:rPr>
          <w:rStyle w:val="FootnoteReference"/>
        </w:rPr>
        <w:footnoteRef/>
      </w:r>
      <w:r w:rsidRPr="00344C0B">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266964" w14:textId="2D505FE6">
    <w:pPr>
      <w:pStyle w:val="Header"/>
      <w:rPr>
        <w:b w:val="0"/>
      </w:rPr>
    </w:pPr>
    <w:r>
      <w:tab/>
      <w:t>Federal Communications Commission</w:t>
    </w:r>
    <w:r>
      <w:tab/>
    </w:r>
    <w:r w:rsidR="00BD6992">
      <w:t>DA 19-</w:t>
    </w:r>
    <w:r w:rsidR="00472ADF">
      <w:t>663</w:t>
    </w:r>
  </w:p>
  <w:p w:rsidR="00D25FB5" w14:paraId="20A5E8A9" w14:textId="5BF3E812">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17DB72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52373F" w14:textId="693A9308">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BD6992">
      <w:rPr>
        <w:spacing w:val="-2"/>
      </w:rPr>
      <w:t>DA 19-</w:t>
    </w:r>
    <w:r w:rsidR="00472ADF">
      <w:rPr>
        <w:spacing w:val="-2"/>
      </w:rPr>
      <w:t>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0256BB"/>
    <w:multiLevelType w:val="hybridMultilevel"/>
    <w:tmpl w:val="232E04A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8">
    <w:nsid w:val="61182925"/>
    <w:multiLevelType w:val="singleLevel"/>
    <w:tmpl w:val="44D619AC"/>
    <w:lvl w:ilvl="0">
      <w:start w:val="1"/>
      <w:numFmt w:val="decimal"/>
      <w:pStyle w:val="ParaNum"/>
      <w:lvlText w:val="%1."/>
      <w:lvlJc w:val="left"/>
      <w:pPr>
        <w:tabs>
          <w:tab w:val="num" w:pos="1260"/>
        </w:tabs>
        <w:ind w:left="180" w:firstLine="720"/>
      </w:pPr>
      <w:rPr>
        <w:b w:val="0"/>
      </w:rPr>
    </w:lvl>
  </w:abstractNum>
  <w:num w:numId="1">
    <w:abstractNumId w:val="1"/>
  </w:num>
  <w:num w:numId="2">
    <w:abstractNumId w:val="8"/>
  </w:num>
  <w:num w:numId="3">
    <w:abstractNumId w:val="4"/>
  </w:num>
  <w:num w:numId="4">
    <w:abstractNumId w:val="5"/>
  </w:num>
  <w:num w:numId="5">
    <w:abstractNumId w:val="2"/>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B"/>
    <w:rsid w:val="00005310"/>
    <w:rsid w:val="00036039"/>
    <w:rsid w:val="00037F90"/>
    <w:rsid w:val="0007571D"/>
    <w:rsid w:val="00085989"/>
    <w:rsid w:val="000875BF"/>
    <w:rsid w:val="00096D8C"/>
    <w:rsid w:val="000C0B65"/>
    <w:rsid w:val="000E05FE"/>
    <w:rsid w:val="000E3D42"/>
    <w:rsid w:val="000F20B5"/>
    <w:rsid w:val="00115838"/>
    <w:rsid w:val="00122BD5"/>
    <w:rsid w:val="00133F79"/>
    <w:rsid w:val="00140ABB"/>
    <w:rsid w:val="00194A66"/>
    <w:rsid w:val="001D6BCF"/>
    <w:rsid w:val="001E01CA"/>
    <w:rsid w:val="002249D0"/>
    <w:rsid w:val="0025442C"/>
    <w:rsid w:val="00275CF5"/>
    <w:rsid w:val="0028301F"/>
    <w:rsid w:val="002838B7"/>
    <w:rsid w:val="00285017"/>
    <w:rsid w:val="002910AF"/>
    <w:rsid w:val="002A2D2E"/>
    <w:rsid w:val="002C00E8"/>
    <w:rsid w:val="003043B7"/>
    <w:rsid w:val="0030738C"/>
    <w:rsid w:val="00343749"/>
    <w:rsid w:val="00344C0B"/>
    <w:rsid w:val="003660ED"/>
    <w:rsid w:val="00373669"/>
    <w:rsid w:val="00376B1B"/>
    <w:rsid w:val="003B0550"/>
    <w:rsid w:val="003B694F"/>
    <w:rsid w:val="003F171C"/>
    <w:rsid w:val="003F45FB"/>
    <w:rsid w:val="00412FC5"/>
    <w:rsid w:val="00415579"/>
    <w:rsid w:val="00422276"/>
    <w:rsid w:val="004242F1"/>
    <w:rsid w:val="0042479E"/>
    <w:rsid w:val="0042523E"/>
    <w:rsid w:val="00445A00"/>
    <w:rsid w:val="00451B0F"/>
    <w:rsid w:val="0045661E"/>
    <w:rsid w:val="004612B0"/>
    <w:rsid w:val="004612E9"/>
    <w:rsid w:val="0047167B"/>
    <w:rsid w:val="00472ADF"/>
    <w:rsid w:val="004C2EE3"/>
    <w:rsid w:val="004E4A22"/>
    <w:rsid w:val="0050121A"/>
    <w:rsid w:val="005109E0"/>
    <w:rsid w:val="00511968"/>
    <w:rsid w:val="0054086B"/>
    <w:rsid w:val="00555871"/>
    <w:rsid w:val="0055614C"/>
    <w:rsid w:val="00566D06"/>
    <w:rsid w:val="005826DB"/>
    <w:rsid w:val="005A6FFC"/>
    <w:rsid w:val="005B7F8A"/>
    <w:rsid w:val="005E14C2"/>
    <w:rsid w:val="005F4702"/>
    <w:rsid w:val="00607BA5"/>
    <w:rsid w:val="0061180A"/>
    <w:rsid w:val="00626EB6"/>
    <w:rsid w:val="006304FD"/>
    <w:rsid w:val="00655D03"/>
    <w:rsid w:val="00683388"/>
    <w:rsid w:val="00683F84"/>
    <w:rsid w:val="00685428"/>
    <w:rsid w:val="006A6A81"/>
    <w:rsid w:val="006D1194"/>
    <w:rsid w:val="006D73F2"/>
    <w:rsid w:val="006F7393"/>
    <w:rsid w:val="00701E40"/>
    <w:rsid w:val="0070224F"/>
    <w:rsid w:val="007115F7"/>
    <w:rsid w:val="007443E3"/>
    <w:rsid w:val="0077691C"/>
    <w:rsid w:val="00785689"/>
    <w:rsid w:val="0079754B"/>
    <w:rsid w:val="007A1E6D"/>
    <w:rsid w:val="007B0EB2"/>
    <w:rsid w:val="007D40D2"/>
    <w:rsid w:val="007F2BAC"/>
    <w:rsid w:val="007F2E4D"/>
    <w:rsid w:val="00810B6F"/>
    <w:rsid w:val="00822CE0"/>
    <w:rsid w:val="00841AB1"/>
    <w:rsid w:val="00885034"/>
    <w:rsid w:val="008C68F1"/>
    <w:rsid w:val="00921803"/>
    <w:rsid w:val="00926503"/>
    <w:rsid w:val="009726D8"/>
    <w:rsid w:val="009D7308"/>
    <w:rsid w:val="009F011E"/>
    <w:rsid w:val="009F09F2"/>
    <w:rsid w:val="009F557E"/>
    <w:rsid w:val="009F76DB"/>
    <w:rsid w:val="00A17744"/>
    <w:rsid w:val="00A32C3B"/>
    <w:rsid w:val="00A45F4F"/>
    <w:rsid w:val="00A600A9"/>
    <w:rsid w:val="00A7003E"/>
    <w:rsid w:val="00AA55B7"/>
    <w:rsid w:val="00AA5B9E"/>
    <w:rsid w:val="00AB2407"/>
    <w:rsid w:val="00AB4BC5"/>
    <w:rsid w:val="00AB53DF"/>
    <w:rsid w:val="00AF3375"/>
    <w:rsid w:val="00AF520D"/>
    <w:rsid w:val="00B07E5C"/>
    <w:rsid w:val="00B478AB"/>
    <w:rsid w:val="00B67BAD"/>
    <w:rsid w:val="00B724E5"/>
    <w:rsid w:val="00B811F7"/>
    <w:rsid w:val="00BA5DC6"/>
    <w:rsid w:val="00BA6196"/>
    <w:rsid w:val="00BB660E"/>
    <w:rsid w:val="00BC6D8C"/>
    <w:rsid w:val="00BD055F"/>
    <w:rsid w:val="00BD5A2B"/>
    <w:rsid w:val="00BD6992"/>
    <w:rsid w:val="00BE6577"/>
    <w:rsid w:val="00C34006"/>
    <w:rsid w:val="00C36B4C"/>
    <w:rsid w:val="00C426B1"/>
    <w:rsid w:val="00C66160"/>
    <w:rsid w:val="00C721AC"/>
    <w:rsid w:val="00C76CD5"/>
    <w:rsid w:val="00C90D6A"/>
    <w:rsid w:val="00C9134B"/>
    <w:rsid w:val="00C964DA"/>
    <w:rsid w:val="00CA247E"/>
    <w:rsid w:val="00CA6D21"/>
    <w:rsid w:val="00CC6797"/>
    <w:rsid w:val="00CC72B6"/>
    <w:rsid w:val="00CD0138"/>
    <w:rsid w:val="00CE29DF"/>
    <w:rsid w:val="00D0218D"/>
    <w:rsid w:val="00D25FB5"/>
    <w:rsid w:val="00D44223"/>
    <w:rsid w:val="00D74257"/>
    <w:rsid w:val="00DA2529"/>
    <w:rsid w:val="00DA4CAC"/>
    <w:rsid w:val="00DB130A"/>
    <w:rsid w:val="00DB2EBB"/>
    <w:rsid w:val="00DC10A1"/>
    <w:rsid w:val="00DC655F"/>
    <w:rsid w:val="00DD0B59"/>
    <w:rsid w:val="00DD7EBD"/>
    <w:rsid w:val="00DF62B6"/>
    <w:rsid w:val="00E05A34"/>
    <w:rsid w:val="00E07225"/>
    <w:rsid w:val="00E5409F"/>
    <w:rsid w:val="00E60775"/>
    <w:rsid w:val="00E86CD1"/>
    <w:rsid w:val="00EE6488"/>
    <w:rsid w:val="00F021FA"/>
    <w:rsid w:val="00F10E7D"/>
    <w:rsid w:val="00F542A6"/>
    <w:rsid w:val="00F62E97"/>
    <w:rsid w:val="00F64209"/>
    <w:rsid w:val="00F714FC"/>
    <w:rsid w:val="00F762AD"/>
    <w:rsid w:val="00F839DF"/>
    <w:rsid w:val="00F93BF5"/>
    <w:rsid w:val="00FC55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47BF827-7992-4C52-9C10-CAC929A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Footnote Text Char1,Footnote Text Char1 Char,Footnote Text Char1 Char Char Char,f,fn,rrfootnote,rrfootnote Char Char,rrfootnote Char Char Char Char,rrfootnote Char1"/>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 Char,Footnote Text Char Char Char1,Footnote Text Char Char1,Footnote Text Char1 Char Char,Footnote Text Char1 Char1,f Char,fn Char,rrfootnote Char,rrfootnote Char Char Char,rrfootnote Char1 Char"/>
    <w:link w:val="FootnoteText"/>
    <w:rsid w:val="009F011E"/>
  </w:style>
  <w:style w:type="character" w:customStyle="1" w:styleId="ParaNumChar">
    <w:name w:val="ParaNum Char"/>
    <w:link w:val="ParaNum"/>
    <w:locked/>
    <w:rsid w:val="009F011E"/>
    <w:rPr>
      <w:snapToGrid w:val="0"/>
      <w:kern w:val="28"/>
      <w:sz w:val="22"/>
    </w:rPr>
  </w:style>
  <w:style w:type="character" w:customStyle="1" w:styleId="HeaderChar">
    <w:name w:val="Header Char"/>
    <w:link w:val="Header"/>
    <w:rsid w:val="009F011E"/>
    <w:rPr>
      <w:b/>
      <w:snapToGrid w:val="0"/>
      <w:kern w:val="28"/>
      <w:sz w:val="22"/>
    </w:rPr>
  </w:style>
  <w:style w:type="character" w:customStyle="1" w:styleId="UnresolvedMention">
    <w:name w:val="Unresolved Mention"/>
    <w:uiPriority w:val="99"/>
    <w:semiHidden/>
    <w:unhideWhenUsed/>
    <w:rsid w:val="00005310"/>
    <w:rPr>
      <w:color w:val="605E5C"/>
      <w:shd w:val="clear" w:color="auto" w:fill="E1DFDD"/>
    </w:rPr>
  </w:style>
  <w:style w:type="paragraph" w:styleId="BalloonText">
    <w:name w:val="Balloon Text"/>
    <w:basedOn w:val="Normal"/>
    <w:link w:val="BalloonTextChar"/>
    <w:rsid w:val="006D1194"/>
    <w:rPr>
      <w:rFonts w:ascii="Segoe UI" w:hAnsi="Segoe UI" w:cs="Segoe UI"/>
      <w:sz w:val="18"/>
      <w:szCs w:val="18"/>
    </w:rPr>
  </w:style>
  <w:style w:type="character" w:customStyle="1" w:styleId="BalloonTextChar">
    <w:name w:val="Balloon Text Char"/>
    <w:link w:val="BalloonText"/>
    <w:rsid w:val="006D1194"/>
    <w:rPr>
      <w:rFonts w:ascii="Segoe UI" w:hAnsi="Segoe UI" w:cs="Segoe UI"/>
      <w:snapToGrid w:val="0"/>
      <w:kern w:val="28"/>
      <w:sz w:val="18"/>
      <w:szCs w:val="18"/>
    </w:rPr>
  </w:style>
  <w:style w:type="character" w:styleId="CommentReference">
    <w:name w:val="annotation reference"/>
    <w:rsid w:val="00F542A6"/>
    <w:rPr>
      <w:sz w:val="16"/>
      <w:szCs w:val="16"/>
    </w:rPr>
  </w:style>
  <w:style w:type="paragraph" w:styleId="CommentText">
    <w:name w:val="annotation text"/>
    <w:basedOn w:val="Normal"/>
    <w:link w:val="CommentTextChar"/>
    <w:rsid w:val="00F542A6"/>
    <w:rPr>
      <w:sz w:val="20"/>
    </w:rPr>
  </w:style>
  <w:style w:type="character" w:customStyle="1" w:styleId="CommentTextChar">
    <w:name w:val="Comment Text Char"/>
    <w:link w:val="CommentText"/>
    <w:rsid w:val="00F542A6"/>
    <w:rPr>
      <w:snapToGrid w:val="0"/>
      <w:kern w:val="28"/>
    </w:rPr>
  </w:style>
  <w:style w:type="paragraph" w:styleId="CommentSubject">
    <w:name w:val="annotation subject"/>
    <w:basedOn w:val="CommentText"/>
    <w:next w:val="CommentText"/>
    <w:link w:val="CommentSubjectChar"/>
    <w:rsid w:val="00F542A6"/>
    <w:rPr>
      <w:b/>
      <w:bCs/>
    </w:rPr>
  </w:style>
  <w:style w:type="character" w:customStyle="1" w:styleId="CommentSubjectChar">
    <w:name w:val="Comment Subject Char"/>
    <w:link w:val="CommentSubject"/>
    <w:rsid w:val="00F542A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