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A7587" w:rsidRPr="00B91E8A" w:rsidP="005A1CF0" w14:paraId="47CB07F3" w14:textId="69F0BDB3">
      <w:pPr>
        <w:tabs>
          <w:tab w:val="left" w:pos="6480"/>
        </w:tabs>
        <w:ind w:left="5760" w:firstLine="720"/>
        <w:rPr>
          <w:b/>
          <w:szCs w:val="22"/>
        </w:rPr>
      </w:pPr>
      <w:r w:rsidRPr="00B91E8A">
        <w:rPr>
          <w:b/>
          <w:szCs w:val="22"/>
        </w:rPr>
        <w:t>DA 1</w:t>
      </w:r>
      <w:r w:rsidR="007112EA">
        <w:rPr>
          <w:b/>
          <w:szCs w:val="22"/>
        </w:rPr>
        <w:t>9</w:t>
      </w:r>
      <w:r w:rsidRPr="00B91E8A">
        <w:rPr>
          <w:b/>
          <w:szCs w:val="22"/>
        </w:rPr>
        <w:t>-</w:t>
      </w:r>
      <w:r w:rsidR="003879E8">
        <w:rPr>
          <w:b/>
          <w:szCs w:val="22"/>
        </w:rPr>
        <w:t>670</w:t>
      </w:r>
      <w:bookmarkStart w:id="0" w:name="_GoBack"/>
      <w:bookmarkEnd w:id="0"/>
    </w:p>
    <w:p w:rsidR="00AA7677" w:rsidP="005A1CF0" w14:paraId="52FCCA3F" w14:textId="55D40CC4">
      <w:pPr>
        <w:tabs>
          <w:tab w:val="left" w:pos="6480"/>
        </w:tabs>
        <w:ind w:left="5760" w:firstLine="720"/>
        <w:rPr>
          <w:szCs w:val="22"/>
        </w:rPr>
      </w:pPr>
      <w:r w:rsidRPr="00B91E8A">
        <w:rPr>
          <w:b/>
          <w:szCs w:val="22"/>
        </w:rPr>
        <w:t xml:space="preserve">Released:  </w:t>
      </w:r>
      <w:r w:rsidR="008A2DBA">
        <w:rPr>
          <w:b/>
          <w:szCs w:val="22"/>
        </w:rPr>
        <w:t>July</w:t>
      </w:r>
      <w:r w:rsidRPr="00B91E8A">
        <w:rPr>
          <w:b/>
          <w:szCs w:val="22"/>
        </w:rPr>
        <w:t xml:space="preserve"> </w:t>
      </w:r>
      <w:r w:rsidR="00F27621">
        <w:rPr>
          <w:b/>
          <w:szCs w:val="22"/>
        </w:rPr>
        <w:t>18</w:t>
      </w:r>
      <w:r w:rsidRPr="00B91E8A">
        <w:rPr>
          <w:b/>
          <w:szCs w:val="22"/>
        </w:rPr>
        <w:t>, 201</w:t>
      </w:r>
      <w:r w:rsidR="007112EA">
        <w:rPr>
          <w:b/>
          <w:szCs w:val="22"/>
        </w:rPr>
        <w:t>9</w:t>
      </w:r>
    </w:p>
    <w:p w:rsidR="004A7587" w:rsidP="005A1CF0" w14:paraId="46E7ABFA" w14:textId="77777777">
      <w:pPr>
        <w:tabs>
          <w:tab w:val="left" w:pos="6480"/>
        </w:tabs>
        <w:ind w:left="5760" w:firstLine="720"/>
        <w:rPr>
          <w:szCs w:val="22"/>
        </w:rPr>
      </w:pPr>
    </w:p>
    <w:p w:rsidR="004A7587" w:rsidP="005A1CF0" w14:paraId="40BD6E89" w14:textId="77777777">
      <w:pPr>
        <w:tabs>
          <w:tab w:val="left" w:pos="6480"/>
        </w:tabs>
        <w:ind w:left="5760" w:firstLine="720"/>
        <w:rPr>
          <w:szCs w:val="22"/>
        </w:rPr>
      </w:pPr>
    </w:p>
    <w:p w:rsidR="005A1CF0" w:rsidRPr="00826CB1" w:rsidP="005A1CF0" w14:paraId="3E465A02" w14:textId="77777777">
      <w:pPr>
        <w:tabs>
          <w:tab w:val="left" w:pos="6480"/>
        </w:tabs>
        <w:ind w:left="5760" w:firstLine="720"/>
        <w:rPr>
          <w:szCs w:val="22"/>
        </w:rPr>
      </w:pPr>
      <w:r w:rsidRPr="00826CB1">
        <w:rPr>
          <w:szCs w:val="22"/>
        </w:rPr>
        <w:t>In Reply Refer To:</w:t>
      </w:r>
    </w:p>
    <w:p w:rsidR="005A1CF0" w:rsidRPr="001330FC" w:rsidP="005A1CF0" w14:paraId="2BF7C935" w14:textId="77777777">
      <w:pPr>
        <w:tabs>
          <w:tab w:val="left" w:pos="6480"/>
        </w:tabs>
        <w:ind w:firstLine="720"/>
        <w:rPr>
          <w:sz w:val="20"/>
        </w:rPr>
      </w:pPr>
      <w:r w:rsidRPr="00826CB1">
        <w:rPr>
          <w:szCs w:val="22"/>
        </w:rPr>
        <w:tab/>
        <w:t>1800B3</w:t>
      </w:r>
      <w:r w:rsidR="00141F4C">
        <w:rPr>
          <w:szCs w:val="22"/>
        </w:rPr>
        <w:t>-</w:t>
      </w:r>
      <w:r w:rsidR="00D33E23">
        <w:rPr>
          <w:szCs w:val="22"/>
        </w:rPr>
        <w:t>TSN</w:t>
      </w:r>
      <w:r w:rsidRPr="001330FC">
        <w:rPr>
          <w:sz w:val="20"/>
        </w:rPr>
        <w:t xml:space="preserve"> </w:t>
      </w:r>
    </w:p>
    <w:p w:rsidR="005A1CF0" w:rsidRPr="00826CB1" w:rsidP="005A1CF0" w14:paraId="5BEEBEDC" w14:textId="77777777">
      <w:pPr>
        <w:tabs>
          <w:tab w:val="left" w:pos="6480"/>
        </w:tabs>
        <w:ind w:firstLine="720"/>
        <w:rPr>
          <w:szCs w:val="22"/>
        </w:rPr>
      </w:pPr>
      <w:r w:rsidRPr="001330FC">
        <w:rPr>
          <w:sz w:val="20"/>
        </w:rPr>
        <w:tab/>
      </w:r>
    </w:p>
    <w:p w:rsidR="005A1CF0" w:rsidRPr="00BF6E82" w:rsidP="005A1CF0" w14:paraId="711CD822" w14:textId="77777777">
      <w:pPr>
        <w:tabs>
          <w:tab w:val="left" w:pos="6480"/>
        </w:tabs>
        <w:rPr>
          <w:b/>
          <w:sz w:val="20"/>
          <w:u w:val="single"/>
        </w:rPr>
      </w:pPr>
    </w:p>
    <w:p w:rsidR="004447E3" w:rsidP="005A1CF0" w14:paraId="7A9C84DD" w14:textId="77777777">
      <w:pPr>
        <w:rPr>
          <w:szCs w:val="22"/>
        </w:rPr>
      </w:pPr>
      <w:r>
        <w:rPr>
          <w:szCs w:val="22"/>
        </w:rPr>
        <w:t xml:space="preserve">Mr. Justin </w:t>
      </w:r>
      <w:r>
        <w:rPr>
          <w:szCs w:val="22"/>
        </w:rPr>
        <w:t>Howze</w:t>
      </w:r>
    </w:p>
    <w:p w:rsidR="007112EA" w:rsidP="005A1CF0" w14:paraId="61A1FD81" w14:textId="77777777">
      <w:pPr>
        <w:rPr>
          <w:szCs w:val="22"/>
        </w:rPr>
      </w:pPr>
      <w:r>
        <w:rPr>
          <w:szCs w:val="22"/>
        </w:rPr>
        <w:t>1712 Plaza de San Joaquin</w:t>
      </w:r>
    </w:p>
    <w:p w:rsidR="007112EA" w:rsidP="005A1CF0" w14:paraId="1E873B5F" w14:textId="77777777">
      <w:pPr>
        <w:rPr>
          <w:szCs w:val="22"/>
        </w:rPr>
      </w:pPr>
      <w:r>
        <w:rPr>
          <w:szCs w:val="22"/>
        </w:rPr>
        <w:t>Modesto, CA  95350</w:t>
      </w:r>
    </w:p>
    <w:p w:rsidR="007112EA" w:rsidP="005A1CF0" w14:paraId="44FD6881" w14:textId="77777777">
      <w:pPr>
        <w:rPr>
          <w:szCs w:val="22"/>
        </w:rPr>
      </w:pPr>
    </w:p>
    <w:p w:rsidR="007112EA" w:rsidP="005A1CF0" w14:paraId="489EF128" w14:textId="77777777">
      <w:pPr>
        <w:rPr>
          <w:szCs w:val="22"/>
        </w:rPr>
      </w:pPr>
      <w:r>
        <w:rPr>
          <w:szCs w:val="22"/>
        </w:rPr>
        <w:t xml:space="preserve">Marissa C. </w:t>
      </w:r>
      <w:r>
        <w:rPr>
          <w:szCs w:val="22"/>
        </w:rPr>
        <w:t>Repp</w:t>
      </w:r>
      <w:r>
        <w:rPr>
          <w:szCs w:val="22"/>
        </w:rPr>
        <w:t>, Esq.</w:t>
      </w:r>
    </w:p>
    <w:p w:rsidR="007112EA" w:rsidP="005A1CF0" w14:paraId="149672A3" w14:textId="77777777">
      <w:pPr>
        <w:rPr>
          <w:szCs w:val="22"/>
        </w:rPr>
      </w:pPr>
      <w:r>
        <w:rPr>
          <w:szCs w:val="22"/>
        </w:rPr>
        <w:t>Repp</w:t>
      </w:r>
      <w:r>
        <w:rPr>
          <w:szCs w:val="22"/>
        </w:rPr>
        <w:t xml:space="preserve"> Law Firm</w:t>
      </w:r>
    </w:p>
    <w:p w:rsidR="007112EA" w:rsidP="005A1CF0" w14:paraId="6AB8884A" w14:textId="77777777">
      <w:pPr>
        <w:rPr>
          <w:szCs w:val="22"/>
        </w:rPr>
      </w:pPr>
      <w:r>
        <w:rPr>
          <w:szCs w:val="22"/>
        </w:rPr>
        <w:t>1629 K Street, N.W.</w:t>
      </w:r>
    </w:p>
    <w:p w:rsidR="007112EA" w:rsidP="005A1CF0" w14:paraId="44517E1C" w14:textId="77777777">
      <w:pPr>
        <w:rPr>
          <w:szCs w:val="22"/>
        </w:rPr>
      </w:pPr>
      <w:r>
        <w:rPr>
          <w:szCs w:val="22"/>
        </w:rPr>
        <w:t>Suite 300</w:t>
      </w:r>
    </w:p>
    <w:p w:rsidR="007112EA" w:rsidRPr="00BD68B0" w:rsidP="005A1CF0" w14:paraId="055FE259" w14:textId="77777777">
      <w:pPr>
        <w:rPr>
          <w:szCs w:val="22"/>
        </w:rPr>
      </w:pPr>
      <w:r>
        <w:rPr>
          <w:szCs w:val="22"/>
        </w:rPr>
        <w:t>Washington, DC  20006-1631</w:t>
      </w:r>
    </w:p>
    <w:p w:rsidR="005A1CF0" w:rsidRPr="00D76F8A" w:rsidP="005A1CF0" w14:paraId="4A7B3291" w14:textId="77777777">
      <w:pPr>
        <w:rPr>
          <w:szCs w:val="22"/>
        </w:rPr>
      </w:pPr>
    </w:p>
    <w:p w:rsidR="00877D93" w:rsidRPr="00B15ECF" w:rsidP="009A2BD0" w14:paraId="734FD464" w14:textId="77777777">
      <w:pPr>
        <w:tabs>
          <w:tab w:val="left" w:pos="4680"/>
          <w:tab w:val="left" w:pos="4860"/>
          <w:tab w:val="left" w:pos="5400"/>
        </w:tabs>
        <w:rPr>
          <w:szCs w:val="22"/>
        </w:rPr>
      </w:pPr>
      <w:r w:rsidRPr="00D76F8A">
        <w:rPr>
          <w:szCs w:val="22"/>
        </w:rPr>
        <w:tab/>
      </w:r>
      <w:r w:rsidR="00F95653">
        <w:rPr>
          <w:b/>
          <w:szCs w:val="22"/>
        </w:rPr>
        <w:t>In re:</w:t>
      </w:r>
      <w:r w:rsidR="007112EA">
        <w:rPr>
          <w:b/>
          <w:szCs w:val="22"/>
        </w:rPr>
        <w:t xml:space="preserve">   </w:t>
      </w:r>
      <w:r w:rsidRPr="00B15ECF" w:rsidR="00E31AF1">
        <w:rPr>
          <w:szCs w:val="22"/>
        </w:rPr>
        <w:t>Capstar</w:t>
      </w:r>
      <w:r w:rsidRPr="00B15ECF" w:rsidR="00E31AF1">
        <w:rPr>
          <w:szCs w:val="22"/>
        </w:rPr>
        <w:t xml:space="preserve"> TX, LLC</w:t>
      </w:r>
    </w:p>
    <w:p w:rsidR="00E31AF1" w:rsidRPr="00B15ECF" w:rsidP="009A2BD0" w14:paraId="5893F9DC" w14:textId="77777777">
      <w:pPr>
        <w:tabs>
          <w:tab w:val="left" w:pos="4680"/>
          <w:tab w:val="left" w:pos="4860"/>
          <w:tab w:val="left" w:pos="5400"/>
        </w:tabs>
        <w:rPr>
          <w:szCs w:val="22"/>
        </w:rPr>
      </w:pPr>
      <w:r w:rsidRPr="00B15ECF">
        <w:rPr>
          <w:szCs w:val="22"/>
        </w:rPr>
        <w:tab/>
      </w:r>
      <w:r w:rsidRPr="00B15ECF">
        <w:rPr>
          <w:szCs w:val="22"/>
        </w:rPr>
        <w:tab/>
      </w:r>
      <w:r w:rsidRPr="00B15ECF">
        <w:rPr>
          <w:szCs w:val="22"/>
        </w:rPr>
        <w:tab/>
        <w:t xml:space="preserve">(NEW) FM Translator, Modesto, </w:t>
      </w:r>
    </w:p>
    <w:p w:rsidR="00E31AF1" w:rsidRPr="00B15ECF" w:rsidP="009A2BD0" w14:paraId="3FE55EBD" w14:textId="77777777">
      <w:pPr>
        <w:tabs>
          <w:tab w:val="left" w:pos="4680"/>
          <w:tab w:val="left" w:pos="4860"/>
          <w:tab w:val="left" w:pos="5400"/>
        </w:tabs>
        <w:rPr>
          <w:szCs w:val="22"/>
        </w:rPr>
      </w:pPr>
      <w:r w:rsidRPr="00B15ECF">
        <w:rPr>
          <w:szCs w:val="22"/>
        </w:rPr>
        <w:tab/>
      </w:r>
      <w:r w:rsidRPr="00B15ECF">
        <w:rPr>
          <w:szCs w:val="22"/>
        </w:rPr>
        <w:tab/>
      </w:r>
      <w:r w:rsidRPr="00B15ECF">
        <w:rPr>
          <w:szCs w:val="22"/>
        </w:rPr>
        <w:tab/>
        <w:t xml:space="preserve">  California</w:t>
      </w:r>
    </w:p>
    <w:p w:rsidR="00E31AF1" w:rsidRPr="00B15ECF" w:rsidP="009A2BD0" w14:paraId="5D704F20" w14:textId="77777777">
      <w:pPr>
        <w:tabs>
          <w:tab w:val="left" w:pos="4680"/>
          <w:tab w:val="left" w:pos="4860"/>
          <w:tab w:val="left" w:pos="5400"/>
        </w:tabs>
        <w:rPr>
          <w:szCs w:val="22"/>
        </w:rPr>
      </w:pPr>
      <w:r w:rsidRPr="00B15ECF">
        <w:rPr>
          <w:szCs w:val="22"/>
        </w:rPr>
        <w:tab/>
      </w:r>
      <w:r w:rsidRPr="00B15ECF">
        <w:rPr>
          <w:szCs w:val="22"/>
        </w:rPr>
        <w:tab/>
      </w:r>
      <w:r w:rsidRPr="00B15ECF">
        <w:rPr>
          <w:szCs w:val="22"/>
        </w:rPr>
        <w:tab/>
        <w:t xml:space="preserve">Facility ID No. </w:t>
      </w:r>
      <w:r w:rsidRPr="00B15ECF" w:rsidR="00613D9D">
        <w:rPr>
          <w:szCs w:val="22"/>
        </w:rPr>
        <w:t>202581</w:t>
      </w:r>
    </w:p>
    <w:p w:rsidR="00613D9D" w:rsidRPr="00D76F8A" w:rsidP="009A2BD0" w14:paraId="38986FFE" w14:textId="77777777">
      <w:pPr>
        <w:tabs>
          <w:tab w:val="left" w:pos="4680"/>
          <w:tab w:val="left" w:pos="4860"/>
          <w:tab w:val="left" w:pos="5400"/>
        </w:tabs>
        <w:rPr>
          <w:b/>
          <w:szCs w:val="22"/>
        </w:rPr>
      </w:pPr>
      <w:r w:rsidRPr="00B15ECF">
        <w:rPr>
          <w:szCs w:val="22"/>
        </w:rPr>
        <w:tab/>
      </w:r>
      <w:r w:rsidRPr="00B15ECF">
        <w:rPr>
          <w:szCs w:val="22"/>
        </w:rPr>
        <w:tab/>
      </w:r>
      <w:r w:rsidRPr="00B15ECF">
        <w:rPr>
          <w:szCs w:val="22"/>
        </w:rPr>
        <w:tab/>
        <w:t>File No. BNPFT-20181102AAJ</w:t>
      </w:r>
    </w:p>
    <w:p w:rsidR="005834B6" w:rsidP="00422DD5" w14:paraId="4B0D364B" w14:textId="77777777">
      <w:pPr>
        <w:tabs>
          <w:tab w:val="left" w:pos="5400"/>
        </w:tabs>
        <w:ind w:left="720"/>
        <w:rPr>
          <w:szCs w:val="22"/>
        </w:rPr>
      </w:pPr>
      <w:r>
        <w:rPr>
          <w:szCs w:val="22"/>
        </w:rPr>
        <w:tab/>
      </w:r>
    </w:p>
    <w:p w:rsidR="0062554B" w:rsidRPr="0062554B" w:rsidP="0062554B" w14:paraId="54E8BEFA" w14:textId="77777777">
      <w:pPr>
        <w:tabs>
          <w:tab w:val="left" w:pos="4680"/>
          <w:tab w:val="left" w:pos="5040"/>
        </w:tabs>
        <w:ind w:left="5400"/>
        <w:rPr>
          <w:b/>
        </w:rPr>
      </w:pPr>
      <w:r>
        <w:rPr>
          <w:rStyle w:val="Style2"/>
        </w:rPr>
        <w:t>Petition to Deny</w:t>
      </w:r>
    </w:p>
    <w:p w:rsidR="005A1CF0" w:rsidRPr="005D407D" w:rsidP="005A1CF0" w14:paraId="7FF34D97" w14:textId="77777777">
      <w:pPr>
        <w:tabs>
          <w:tab w:val="left" w:pos="4680"/>
          <w:tab w:val="left" w:pos="5040"/>
        </w:tabs>
        <w:rPr>
          <w:szCs w:val="22"/>
        </w:rPr>
      </w:pPr>
      <w:r w:rsidRPr="005D407D">
        <w:rPr>
          <w:szCs w:val="22"/>
        </w:rPr>
        <w:tab/>
      </w:r>
      <w:r w:rsidRPr="005D407D">
        <w:rPr>
          <w:szCs w:val="22"/>
        </w:rPr>
        <w:tab/>
      </w:r>
    </w:p>
    <w:p w:rsidR="005A1CF0" w:rsidRPr="005D407D" w:rsidP="005A1CF0" w14:paraId="33F492B7" w14:textId="77777777">
      <w:pPr>
        <w:tabs>
          <w:tab w:val="left" w:pos="6840"/>
        </w:tabs>
        <w:rPr>
          <w:szCs w:val="22"/>
        </w:rPr>
      </w:pPr>
      <w:r w:rsidRPr="005D407D">
        <w:rPr>
          <w:szCs w:val="22"/>
        </w:rPr>
        <w:t xml:space="preserve"> Dear</w:t>
      </w:r>
      <w:r w:rsidR="00003CBA">
        <w:rPr>
          <w:szCs w:val="22"/>
        </w:rPr>
        <w:t xml:space="preserve"> </w:t>
      </w:r>
      <w:r w:rsidR="007112EA">
        <w:rPr>
          <w:szCs w:val="22"/>
        </w:rPr>
        <w:t>Petitioner and Counsel</w:t>
      </w:r>
      <w:r w:rsidR="004B00BF">
        <w:rPr>
          <w:szCs w:val="22"/>
        </w:rPr>
        <w:t>:</w:t>
      </w:r>
    </w:p>
    <w:p w:rsidR="005A1CF0" w:rsidRPr="005D407D" w:rsidP="005A1CF0" w14:paraId="48AD4FDF" w14:textId="77777777">
      <w:pPr>
        <w:tabs>
          <w:tab w:val="left" w:pos="4680"/>
          <w:tab w:val="left" w:pos="5337"/>
        </w:tabs>
        <w:rPr>
          <w:szCs w:val="22"/>
        </w:rPr>
      </w:pPr>
    </w:p>
    <w:p w:rsidR="005A1CF0" w:rsidP="005A1CF0" w14:paraId="3BDDEC3D" w14:textId="566555C6">
      <w:pPr>
        <w:ind w:firstLine="720"/>
        <w:rPr>
          <w:szCs w:val="22"/>
        </w:rPr>
      </w:pPr>
      <w:r>
        <w:rPr>
          <w:szCs w:val="22"/>
        </w:rPr>
        <w:t xml:space="preserve">Mr. Justin </w:t>
      </w:r>
      <w:r>
        <w:rPr>
          <w:szCs w:val="22"/>
        </w:rPr>
        <w:t>Howze</w:t>
      </w:r>
      <w:r>
        <w:rPr>
          <w:szCs w:val="22"/>
        </w:rPr>
        <w:t xml:space="preserve"> (</w:t>
      </w:r>
      <w:r>
        <w:rPr>
          <w:szCs w:val="22"/>
        </w:rPr>
        <w:t>Howze</w:t>
      </w:r>
      <w:r w:rsidR="004447E3">
        <w:rPr>
          <w:szCs w:val="22"/>
        </w:rPr>
        <w:t xml:space="preserve">) </w:t>
      </w:r>
      <w:r w:rsidR="00746B11">
        <w:rPr>
          <w:szCs w:val="22"/>
        </w:rPr>
        <w:t xml:space="preserve">filed </w:t>
      </w:r>
      <w:r>
        <w:rPr>
          <w:szCs w:val="22"/>
        </w:rPr>
        <w:t>a November 18, 2018, Petition to Deny</w:t>
      </w:r>
      <w:r w:rsidR="004447E3">
        <w:rPr>
          <w:szCs w:val="22"/>
        </w:rPr>
        <w:t xml:space="preserve"> </w:t>
      </w:r>
      <w:r w:rsidR="00746B11">
        <w:rPr>
          <w:szCs w:val="22"/>
        </w:rPr>
        <w:t>(</w:t>
      </w:r>
      <w:r>
        <w:rPr>
          <w:szCs w:val="22"/>
        </w:rPr>
        <w:t>Petition</w:t>
      </w:r>
      <w:r w:rsidR="00746B11">
        <w:rPr>
          <w:szCs w:val="22"/>
        </w:rPr>
        <w:t xml:space="preserve">) </w:t>
      </w:r>
      <w:r w:rsidR="00613D9D">
        <w:rPr>
          <w:szCs w:val="22"/>
        </w:rPr>
        <w:t xml:space="preserve">the application of </w:t>
      </w:r>
      <w:r w:rsidR="00613D9D">
        <w:rPr>
          <w:szCs w:val="22"/>
        </w:rPr>
        <w:t>Capstar</w:t>
      </w:r>
      <w:r w:rsidR="00613D9D">
        <w:rPr>
          <w:szCs w:val="22"/>
        </w:rPr>
        <w:t xml:space="preserve"> TX, LLC (</w:t>
      </w:r>
      <w:r w:rsidR="00613D9D">
        <w:rPr>
          <w:szCs w:val="22"/>
        </w:rPr>
        <w:t>Capstar</w:t>
      </w:r>
      <w:r w:rsidR="00613D9D">
        <w:rPr>
          <w:szCs w:val="22"/>
        </w:rPr>
        <w:t>) for a new cross-service FM translator station at Modesto, California.</w:t>
      </w:r>
      <w:r>
        <w:rPr>
          <w:rStyle w:val="FootnoteReference"/>
          <w:szCs w:val="22"/>
        </w:rPr>
        <w:footnoteReference w:id="2"/>
      </w:r>
      <w:r w:rsidR="003B4DD0">
        <w:rPr>
          <w:szCs w:val="22"/>
        </w:rPr>
        <w:t xml:space="preserve">  </w:t>
      </w:r>
      <w:r w:rsidR="00613D9D">
        <w:rPr>
          <w:szCs w:val="22"/>
        </w:rPr>
        <w:t>For the reasons discussed below, we</w:t>
      </w:r>
      <w:r w:rsidR="001C3573">
        <w:rPr>
          <w:szCs w:val="22"/>
        </w:rPr>
        <w:t xml:space="preserve"> </w:t>
      </w:r>
      <w:r w:rsidR="00746B11">
        <w:rPr>
          <w:szCs w:val="22"/>
        </w:rPr>
        <w:t>deny the Petition</w:t>
      </w:r>
      <w:r w:rsidR="00CB3B7B">
        <w:rPr>
          <w:szCs w:val="22"/>
        </w:rPr>
        <w:t xml:space="preserve"> and grant the Application</w:t>
      </w:r>
      <w:r w:rsidR="00746B11">
        <w:rPr>
          <w:szCs w:val="22"/>
        </w:rPr>
        <w:t>.</w:t>
      </w:r>
    </w:p>
    <w:p w:rsidR="00746B11" w:rsidP="005A1CF0" w14:paraId="4BBCABEA" w14:textId="77777777">
      <w:pPr>
        <w:ind w:firstLine="720"/>
        <w:rPr>
          <w:szCs w:val="22"/>
        </w:rPr>
      </w:pPr>
    </w:p>
    <w:p w:rsidR="00F359D6" w:rsidP="001C3573" w14:paraId="201BFBFD" w14:textId="4F032680">
      <w:pPr>
        <w:widowControl/>
        <w:ind w:firstLine="720"/>
        <w:rPr>
          <w:szCs w:val="22"/>
        </w:rPr>
      </w:pPr>
      <w:r w:rsidRPr="000C6CBF">
        <w:rPr>
          <w:b/>
          <w:szCs w:val="22"/>
        </w:rPr>
        <w:t>Background.</w:t>
      </w:r>
      <w:r>
        <w:rPr>
          <w:szCs w:val="22"/>
        </w:rPr>
        <w:t xml:space="preserve">  </w:t>
      </w:r>
      <w:r w:rsidR="00613D9D">
        <w:rPr>
          <w:szCs w:val="22"/>
        </w:rPr>
        <w:t>Capstar</w:t>
      </w:r>
      <w:r w:rsidR="00613D9D">
        <w:rPr>
          <w:szCs w:val="22"/>
        </w:rPr>
        <w:t xml:space="preserve"> filed the </w:t>
      </w:r>
      <w:r>
        <w:rPr>
          <w:szCs w:val="22"/>
        </w:rPr>
        <w:t>Application as part of the second new</w:t>
      </w:r>
      <w:r w:rsidR="00970924">
        <w:rPr>
          <w:szCs w:val="22"/>
        </w:rPr>
        <w:t xml:space="preserve"> cross-service</w:t>
      </w:r>
      <w:r>
        <w:rPr>
          <w:szCs w:val="22"/>
        </w:rPr>
        <w:t xml:space="preserve"> translator filing window, designated Auction 100, opened at the Commission’s direction as part of the </w:t>
      </w:r>
      <w:r w:rsidRPr="00F359D6">
        <w:rPr>
          <w:i/>
          <w:szCs w:val="22"/>
        </w:rPr>
        <w:t>AM Revitalization</w:t>
      </w:r>
      <w:r>
        <w:rPr>
          <w:szCs w:val="22"/>
        </w:rPr>
        <w:t xml:space="preserve"> proceeding.</w:t>
      </w:r>
      <w:r>
        <w:rPr>
          <w:rStyle w:val="FootnoteReference"/>
          <w:szCs w:val="22"/>
        </w:rPr>
        <w:footnoteReference w:id="3"/>
      </w:r>
      <w:r w:rsidR="00751A36">
        <w:rPr>
          <w:szCs w:val="22"/>
        </w:rPr>
        <w:t xml:space="preserve">  Although </w:t>
      </w:r>
      <w:r w:rsidR="00970924">
        <w:rPr>
          <w:szCs w:val="22"/>
        </w:rPr>
        <w:t xml:space="preserve">the Commission </w:t>
      </w:r>
      <w:r w:rsidR="00751A36">
        <w:rPr>
          <w:szCs w:val="22"/>
        </w:rPr>
        <w:t xml:space="preserve">initially determined </w:t>
      </w:r>
      <w:r w:rsidR="00970924">
        <w:rPr>
          <w:szCs w:val="22"/>
        </w:rPr>
        <w:t>Capstar’s</w:t>
      </w:r>
      <w:r w:rsidR="00970924">
        <w:rPr>
          <w:szCs w:val="22"/>
        </w:rPr>
        <w:t xml:space="preserve"> short-form application was</w:t>
      </w:r>
      <w:r w:rsidR="00751A36">
        <w:rPr>
          <w:szCs w:val="22"/>
        </w:rPr>
        <w:t xml:space="preserve"> mutually exclusive with another application, the mutual</w:t>
      </w:r>
      <w:r w:rsidR="00E36BA7">
        <w:rPr>
          <w:szCs w:val="22"/>
        </w:rPr>
        <w:t>ly</w:t>
      </w:r>
      <w:r w:rsidR="00751A36">
        <w:rPr>
          <w:szCs w:val="22"/>
        </w:rPr>
        <w:t xml:space="preserve"> exclusiv</w:t>
      </w:r>
      <w:r w:rsidR="00E36BA7">
        <w:rPr>
          <w:szCs w:val="22"/>
        </w:rPr>
        <w:t>e</w:t>
      </w:r>
      <w:r w:rsidR="00751A36">
        <w:rPr>
          <w:szCs w:val="22"/>
        </w:rPr>
        <w:t xml:space="preserve"> </w:t>
      </w:r>
      <w:r w:rsidR="00E36BA7">
        <w:rPr>
          <w:szCs w:val="22"/>
        </w:rPr>
        <w:t xml:space="preserve">applicant </w:t>
      </w:r>
      <w:r w:rsidR="00F27621">
        <w:rPr>
          <w:szCs w:val="22"/>
        </w:rPr>
        <w:t>withdrew</w:t>
      </w:r>
      <w:r w:rsidR="00E36BA7">
        <w:rPr>
          <w:szCs w:val="22"/>
        </w:rPr>
        <w:t xml:space="preserve"> its short-form application</w:t>
      </w:r>
      <w:r w:rsidR="00751A36">
        <w:rPr>
          <w:szCs w:val="22"/>
        </w:rPr>
        <w:t>,</w:t>
      </w:r>
      <w:r>
        <w:rPr>
          <w:rStyle w:val="FootnoteReference"/>
          <w:szCs w:val="22"/>
        </w:rPr>
        <w:footnoteReference w:id="4"/>
      </w:r>
      <w:r w:rsidR="00751A36">
        <w:rPr>
          <w:szCs w:val="22"/>
        </w:rPr>
        <w:t xml:space="preserve"> and </w:t>
      </w:r>
      <w:r w:rsidR="00751A36">
        <w:rPr>
          <w:szCs w:val="22"/>
        </w:rPr>
        <w:t>Capstar</w:t>
      </w:r>
      <w:r w:rsidR="00751A36">
        <w:rPr>
          <w:szCs w:val="22"/>
        </w:rPr>
        <w:t xml:space="preserve"> was directed to file a long-form (FCC Form 349) application for the Modesto translator.</w:t>
      </w:r>
      <w:r w:rsidR="00DB4CFE">
        <w:rPr>
          <w:szCs w:val="22"/>
        </w:rPr>
        <w:t xml:space="preserve">  The Application was filed November 2, 2018</w:t>
      </w:r>
      <w:r w:rsidR="00B43388">
        <w:rPr>
          <w:szCs w:val="22"/>
        </w:rPr>
        <w:t xml:space="preserve">, with Public Notice of the filing </w:t>
      </w:r>
      <w:r w:rsidR="002F3C06">
        <w:rPr>
          <w:szCs w:val="22"/>
        </w:rPr>
        <w:t>released</w:t>
      </w:r>
      <w:r w:rsidR="00B43388">
        <w:rPr>
          <w:szCs w:val="22"/>
        </w:rPr>
        <w:t xml:space="preserve"> November 7, 2018.</w:t>
      </w:r>
      <w:r>
        <w:rPr>
          <w:rStyle w:val="FootnoteReference"/>
          <w:szCs w:val="22"/>
        </w:rPr>
        <w:footnoteReference w:id="5"/>
      </w:r>
      <w:r w:rsidR="00B43388">
        <w:rPr>
          <w:szCs w:val="22"/>
        </w:rPr>
        <w:t xml:space="preserve">  </w:t>
      </w:r>
      <w:r w:rsidR="00B43388">
        <w:rPr>
          <w:szCs w:val="22"/>
        </w:rPr>
        <w:t>Howze</w:t>
      </w:r>
      <w:r w:rsidR="00B43388">
        <w:rPr>
          <w:szCs w:val="22"/>
        </w:rPr>
        <w:t xml:space="preserve"> timely filed the Petition.</w:t>
      </w:r>
      <w:r>
        <w:rPr>
          <w:rStyle w:val="FootnoteReference"/>
          <w:szCs w:val="22"/>
        </w:rPr>
        <w:footnoteReference w:id="6"/>
      </w:r>
      <w:r w:rsidR="002644F9">
        <w:rPr>
          <w:szCs w:val="22"/>
        </w:rPr>
        <w:t xml:space="preserve">  </w:t>
      </w:r>
      <w:r w:rsidR="002644F9">
        <w:rPr>
          <w:szCs w:val="22"/>
        </w:rPr>
        <w:t>Capstar</w:t>
      </w:r>
      <w:r w:rsidR="002644F9">
        <w:rPr>
          <w:szCs w:val="22"/>
        </w:rPr>
        <w:t xml:space="preserve"> filed an Opposition to Petition to Deny (Opposition)</w:t>
      </w:r>
      <w:r w:rsidR="00081C59">
        <w:rPr>
          <w:szCs w:val="22"/>
        </w:rPr>
        <w:t xml:space="preserve"> on </w:t>
      </w:r>
      <w:r w:rsidR="001C52A4">
        <w:rPr>
          <w:szCs w:val="22"/>
        </w:rPr>
        <w:t xml:space="preserve">December 4, 2018, with </w:t>
      </w:r>
      <w:r w:rsidR="001C52A4">
        <w:rPr>
          <w:szCs w:val="22"/>
        </w:rPr>
        <w:t>Howze</w:t>
      </w:r>
      <w:r w:rsidR="001C52A4">
        <w:rPr>
          <w:szCs w:val="22"/>
        </w:rPr>
        <w:t xml:space="preserve"> filing a Reply to Opposition (Reply) on December 9, 2018.</w:t>
      </w:r>
      <w:r>
        <w:rPr>
          <w:rStyle w:val="FootnoteReference"/>
          <w:szCs w:val="22"/>
        </w:rPr>
        <w:footnoteReference w:id="7"/>
      </w:r>
    </w:p>
    <w:p w:rsidR="001C52A4" w:rsidP="001C3573" w14:paraId="6C9ED36D" w14:textId="77777777">
      <w:pPr>
        <w:widowControl/>
        <w:ind w:firstLine="720"/>
        <w:rPr>
          <w:szCs w:val="22"/>
        </w:rPr>
      </w:pPr>
    </w:p>
    <w:p w:rsidR="001C52A4" w:rsidP="001C3573" w14:paraId="2421F77B" w14:textId="7309ECE7">
      <w:pPr>
        <w:widowControl/>
        <w:ind w:firstLine="720"/>
        <w:rPr>
          <w:szCs w:val="22"/>
        </w:rPr>
      </w:pPr>
      <w:r>
        <w:rPr>
          <w:szCs w:val="22"/>
        </w:rPr>
        <w:t>Howze</w:t>
      </w:r>
      <w:r>
        <w:rPr>
          <w:szCs w:val="22"/>
        </w:rPr>
        <w:t xml:space="preserve"> argues, first, that </w:t>
      </w:r>
      <w:r>
        <w:rPr>
          <w:szCs w:val="22"/>
        </w:rPr>
        <w:t>Capstar</w:t>
      </w:r>
      <w:r>
        <w:rPr>
          <w:szCs w:val="22"/>
        </w:rPr>
        <w:t xml:space="preserve"> neglected to file a preclusion study or otherwise demonstrate that the Application comports with Section 5 of the Local Community Radio Act of 2010.</w:t>
      </w:r>
      <w:r>
        <w:rPr>
          <w:rStyle w:val="FootnoteReference"/>
          <w:szCs w:val="22"/>
        </w:rPr>
        <w:footnoteReference w:id="8"/>
      </w:r>
      <w:r w:rsidR="00A82723">
        <w:rPr>
          <w:szCs w:val="22"/>
        </w:rPr>
        <w:t xml:space="preserve">  Specifically, he attaches studies purporting to show that grant of the Application would displace “one of two viable open LPFM channels” in spectrum-limited Modesto</w:t>
      </w:r>
      <w:r w:rsidR="006179A4">
        <w:rPr>
          <w:szCs w:val="22"/>
        </w:rPr>
        <w:t>,</w:t>
      </w:r>
      <w:r>
        <w:rPr>
          <w:rStyle w:val="FootnoteReference"/>
          <w:szCs w:val="22"/>
        </w:rPr>
        <w:footnoteReference w:id="9"/>
      </w:r>
      <w:r w:rsidR="00D1005F">
        <w:rPr>
          <w:szCs w:val="22"/>
        </w:rPr>
        <w:t xml:space="preserve"> </w:t>
      </w:r>
      <w:r w:rsidR="006179A4">
        <w:rPr>
          <w:szCs w:val="22"/>
        </w:rPr>
        <w:t xml:space="preserve">and thus that grant of the Application would violate the LCRA because it does not preserve spectrum for a future LPFM station. </w:t>
      </w:r>
      <w:r w:rsidR="00D1005F">
        <w:rPr>
          <w:szCs w:val="22"/>
        </w:rPr>
        <w:t xml:space="preserve"> </w:t>
      </w:r>
      <w:r w:rsidR="00D1005F">
        <w:rPr>
          <w:szCs w:val="22"/>
        </w:rPr>
        <w:t>Howze</w:t>
      </w:r>
      <w:r w:rsidR="00D1005F">
        <w:rPr>
          <w:szCs w:val="22"/>
        </w:rPr>
        <w:t xml:space="preserve"> also contends that, because </w:t>
      </w:r>
      <w:r w:rsidR="00D1005F">
        <w:rPr>
          <w:szCs w:val="22"/>
        </w:rPr>
        <w:t>Capstar</w:t>
      </w:r>
      <w:r w:rsidR="00D1005F">
        <w:rPr>
          <w:szCs w:val="22"/>
        </w:rPr>
        <w:t xml:space="preserve"> was in bankruptcy at the time it filed the Application, it lacks the financial resources to build a new translator, and thus the public interest militates against grant of the Application.</w:t>
      </w:r>
      <w:r>
        <w:rPr>
          <w:rStyle w:val="FootnoteReference"/>
          <w:szCs w:val="22"/>
        </w:rPr>
        <w:footnoteReference w:id="10"/>
      </w:r>
      <w:r w:rsidR="0048012C">
        <w:rPr>
          <w:szCs w:val="22"/>
        </w:rPr>
        <w:t xml:space="preserve">  </w:t>
      </w:r>
      <w:r w:rsidR="0048012C">
        <w:rPr>
          <w:szCs w:val="22"/>
        </w:rPr>
        <w:t>Capstar</w:t>
      </w:r>
      <w:r w:rsidR="0048012C">
        <w:rPr>
          <w:szCs w:val="22"/>
        </w:rPr>
        <w:t xml:space="preserve">, in Opposition, </w:t>
      </w:r>
      <w:r w:rsidR="00742C80">
        <w:rPr>
          <w:szCs w:val="22"/>
        </w:rPr>
        <w:t xml:space="preserve">argues that </w:t>
      </w:r>
      <w:r w:rsidR="00742C80">
        <w:rPr>
          <w:szCs w:val="22"/>
        </w:rPr>
        <w:t>Howze</w:t>
      </w:r>
      <w:r w:rsidR="00742C80">
        <w:rPr>
          <w:szCs w:val="22"/>
        </w:rPr>
        <w:t xml:space="preserve"> is in essence filing a tardy petition for reconsideration of the </w:t>
      </w:r>
      <w:r w:rsidRPr="006179A4" w:rsidR="00742C80">
        <w:rPr>
          <w:i/>
          <w:szCs w:val="22"/>
        </w:rPr>
        <w:t>AMR First R&amp;O</w:t>
      </w:r>
      <w:r w:rsidR="00742C80">
        <w:rPr>
          <w:szCs w:val="22"/>
        </w:rPr>
        <w:t xml:space="preserve">, in which the Auction 99 and 100 procedures were </w:t>
      </w:r>
      <w:r w:rsidR="006179A4">
        <w:rPr>
          <w:szCs w:val="22"/>
        </w:rPr>
        <w:t>adopted</w:t>
      </w:r>
      <w:r w:rsidR="00742C80">
        <w:rPr>
          <w:szCs w:val="22"/>
        </w:rPr>
        <w:t>, and thus that his complaint is against the procedures generally, not the Application specifically.</w:t>
      </w:r>
      <w:r>
        <w:rPr>
          <w:rStyle w:val="FootnoteReference"/>
          <w:szCs w:val="22"/>
        </w:rPr>
        <w:footnoteReference w:id="11"/>
      </w:r>
      <w:r w:rsidR="00742C80">
        <w:rPr>
          <w:szCs w:val="22"/>
        </w:rPr>
        <w:t xml:space="preserve">  </w:t>
      </w:r>
      <w:r w:rsidR="00742C80">
        <w:rPr>
          <w:szCs w:val="22"/>
        </w:rPr>
        <w:t>Capstar</w:t>
      </w:r>
      <w:r w:rsidR="00742C80">
        <w:rPr>
          <w:szCs w:val="22"/>
        </w:rPr>
        <w:t xml:space="preserve"> also </w:t>
      </w:r>
      <w:r w:rsidR="00875502">
        <w:rPr>
          <w:szCs w:val="22"/>
        </w:rPr>
        <w:t xml:space="preserve">cites a 2018 </w:t>
      </w:r>
      <w:r w:rsidR="00970924">
        <w:rPr>
          <w:szCs w:val="22"/>
        </w:rPr>
        <w:t>Media Bureau</w:t>
      </w:r>
      <w:r w:rsidR="00875502">
        <w:rPr>
          <w:szCs w:val="22"/>
        </w:rPr>
        <w:t xml:space="preserve"> decision in which the staff pointed out that Section 5 of </w:t>
      </w:r>
      <w:r w:rsidR="006B37F6">
        <w:rPr>
          <w:szCs w:val="22"/>
        </w:rPr>
        <w:t xml:space="preserve">the </w:t>
      </w:r>
      <w:r w:rsidR="00875502">
        <w:rPr>
          <w:szCs w:val="22"/>
        </w:rPr>
        <w:t xml:space="preserve">LCRA requires </w:t>
      </w:r>
      <w:r w:rsidR="00A71C04">
        <w:rPr>
          <w:szCs w:val="22"/>
        </w:rPr>
        <w:t xml:space="preserve">that </w:t>
      </w:r>
      <w:r w:rsidR="00875502">
        <w:rPr>
          <w:szCs w:val="22"/>
        </w:rPr>
        <w:t>the Commission</w:t>
      </w:r>
      <w:r w:rsidR="00A71C04">
        <w:rPr>
          <w:szCs w:val="22"/>
        </w:rPr>
        <w:t>, not the applicant,</w:t>
      </w:r>
      <w:r w:rsidR="00875502">
        <w:rPr>
          <w:szCs w:val="22"/>
        </w:rPr>
        <w:t xml:space="preserve"> ensure that </w:t>
      </w:r>
      <w:r w:rsidR="006B37F6">
        <w:rPr>
          <w:szCs w:val="22"/>
        </w:rPr>
        <w:t xml:space="preserve">the </w:t>
      </w:r>
      <w:r w:rsidR="00875502">
        <w:rPr>
          <w:szCs w:val="22"/>
        </w:rPr>
        <w:t xml:space="preserve">LCRA’s mandates are met, and that </w:t>
      </w:r>
      <w:r w:rsidR="00875502">
        <w:rPr>
          <w:szCs w:val="22"/>
        </w:rPr>
        <w:t>Capstar</w:t>
      </w:r>
      <w:r w:rsidR="00875502">
        <w:rPr>
          <w:szCs w:val="22"/>
        </w:rPr>
        <w:t xml:space="preserve"> followed all of the procedures set forth for </w:t>
      </w:r>
      <w:r w:rsidR="006B37F6">
        <w:rPr>
          <w:szCs w:val="22"/>
        </w:rPr>
        <w:t>applicants in the cross-service translator auction</w:t>
      </w:r>
      <w:r w:rsidR="00875502">
        <w:rPr>
          <w:szCs w:val="22"/>
        </w:rPr>
        <w:t>.</w:t>
      </w:r>
      <w:r>
        <w:rPr>
          <w:rStyle w:val="FootnoteReference"/>
          <w:szCs w:val="22"/>
        </w:rPr>
        <w:footnoteReference w:id="12"/>
      </w:r>
      <w:r w:rsidR="00A17883">
        <w:rPr>
          <w:szCs w:val="22"/>
        </w:rPr>
        <w:t xml:space="preserve">  </w:t>
      </w:r>
      <w:r w:rsidR="00742C80">
        <w:rPr>
          <w:szCs w:val="22"/>
        </w:rPr>
        <w:t xml:space="preserve">In </w:t>
      </w:r>
      <w:r w:rsidR="00742C80">
        <w:rPr>
          <w:szCs w:val="22"/>
        </w:rPr>
        <w:t>Capstar’s</w:t>
      </w:r>
      <w:r w:rsidR="00742C80">
        <w:rPr>
          <w:szCs w:val="22"/>
        </w:rPr>
        <w:t xml:space="preserve"> view, </w:t>
      </w:r>
      <w:r w:rsidR="00742C80">
        <w:rPr>
          <w:szCs w:val="22"/>
        </w:rPr>
        <w:t>Howze</w:t>
      </w:r>
      <w:r w:rsidR="00742C80">
        <w:rPr>
          <w:szCs w:val="22"/>
        </w:rPr>
        <w:t xml:space="preserve"> may not </w:t>
      </w:r>
      <w:r w:rsidR="008F30E6">
        <w:rPr>
          <w:szCs w:val="22"/>
        </w:rPr>
        <w:t>exact additional demands of it beyond what was required by the</w:t>
      </w:r>
      <w:r w:rsidR="00742C80">
        <w:rPr>
          <w:szCs w:val="22"/>
        </w:rPr>
        <w:t xml:space="preserve"> Commission.</w:t>
      </w:r>
      <w:r>
        <w:rPr>
          <w:rStyle w:val="FootnoteReference"/>
          <w:szCs w:val="22"/>
        </w:rPr>
        <w:footnoteReference w:id="13"/>
      </w:r>
      <w:r w:rsidR="00742C80">
        <w:rPr>
          <w:szCs w:val="22"/>
        </w:rPr>
        <w:t xml:space="preserve">  </w:t>
      </w:r>
      <w:r w:rsidR="00A17883">
        <w:rPr>
          <w:szCs w:val="22"/>
        </w:rPr>
        <w:t>Capstar</w:t>
      </w:r>
      <w:r w:rsidR="00A17883">
        <w:rPr>
          <w:szCs w:val="22"/>
        </w:rPr>
        <w:t xml:space="preserve"> further argues </w:t>
      </w:r>
      <w:r w:rsidR="00BF497A">
        <w:rPr>
          <w:szCs w:val="22"/>
        </w:rPr>
        <w:t>that nothing in its Chapter 11 reo</w:t>
      </w:r>
      <w:r w:rsidR="00742C80">
        <w:rPr>
          <w:szCs w:val="22"/>
        </w:rPr>
        <w:t>r</w:t>
      </w:r>
      <w:r w:rsidR="00BF497A">
        <w:rPr>
          <w:szCs w:val="22"/>
        </w:rPr>
        <w:t xml:space="preserve">ganization plan </w:t>
      </w:r>
      <w:r w:rsidR="00742C80">
        <w:rPr>
          <w:szCs w:val="22"/>
        </w:rPr>
        <w:t>prevents it from continuing to conduct business, including establishing a new cross-service translator</w:t>
      </w:r>
      <w:r w:rsidR="00296729">
        <w:rPr>
          <w:szCs w:val="22"/>
        </w:rPr>
        <w:t xml:space="preserve"> at Modesto.</w:t>
      </w:r>
      <w:r>
        <w:rPr>
          <w:rStyle w:val="FootnoteReference"/>
          <w:szCs w:val="22"/>
        </w:rPr>
        <w:footnoteReference w:id="14"/>
      </w:r>
      <w:r w:rsidR="002D6CD7">
        <w:rPr>
          <w:szCs w:val="22"/>
        </w:rPr>
        <w:t xml:space="preserve">  In his Reply, </w:t>
      </w:r>
      <w:r w:rsidR="002D6CD7">
        <w:rPr>
          <w:szCs w:val="22"/>
        </w:rPr>
        <w:t>Howze</w:t>
      </w:r>
      <w:r w:rsidR="002D6CD7">
        <w:rPr>
          <w:szCs w:val="22"/>
        </w:rPr>
        <w:t xml:space="preserve"> reiterates </w:t>
      </w:r>
      <w:r w:rsidR="00237C19">
        <w:rPr>
          <w:szCs w:val="22"/>
        </w:rPr>
        <w:t xml:space="preserve">his position </w:t>
      </w:r>
      <w:r w:rsidR="002D6CD7">
        <w:rPr>
          <w:szCs w:val="22"/>
        </w:rPr>
        <w:t xml:space="preserve">that the procedures utilized in Auction 99 and 100 are contrary to the mandate of Section 5 of </w:t>
      </w:r>
      <w:r w:rsidR="006B37F6">
        <w:rPr>
          <w:szCs w:val="22"/>
        </w:rPr>
        <w:t xml:space="preserve">the </w:t>
      </w:r>
      <w:r w:rsidR="002D6CD7">
        <w:rPr>
          <w:szCs w:val="22"/>
        </w:rPr>
        <w:t>LCRA, and that this is the case regardless of whether a rulemaking proceeding has concluded.</w:t>
      </w:r>
      <w:r>
        <w:rPr>
          <w:rStyle w:val="FootnoteReference"/>
          <w:szCs w:val="22"/>
        </w:rPr>
        <w:footnoteReference w:id="15"/>
      </w:r>
    </w:p>
    <w:p w:rsidR="00F359D6" w:rsidP="001C3573" w14:paraId="461FFF54" w14:textId="77777777">
      <w:pPr>
        <w:widowControl/>
        <w:ind w:firstLine="720"/>
        <w:rPr>
          <w:szCs w:val="22"/>
        </w:rPr>
      </w:pPr>
    </w:p>
    <w:p w:rsidR="0046546C" w:rsidP="004349E1" w14:paraId="54930498" w14:textId="5ED246DD">
      <w:pPr>
        <w:ind w:firstLine="720"/>
        <w:rPr>
          <w:szCs w:val="22"/>
        </w:rPr>
      </w:pPr>
      <w:r w:rsidRPr="00726350">
        <w:rPr>
          <w:b/>
          <w:szCs w:val="22"/>
        </w:rPr>
        <w:t>Discussion.</w:t>
      </w:r>
      <w:r>
        <w:rPr>
          <w:szCs w:val="22"/>
        </w:rPr>
        <w:t xml:space="preserve">  </w:t>
      </w:r>
      <w:r w:rsidR="006A4504">
        <w:rPr>
          <w:i/>
          <w:szCs w:val="22"/>
        </w:rPr>
        <w:t>Bankruptcy</w:t>
      </w:r>
      <w:r w:rsidR="000E779F">
        <w:rPr>
          <w:szCs w:val="22"/>
        </w:rPr>
        <w:t xml:space="preserve">.  </w:t>
      </w:r>
      <w:r w:rsidR="002D6CD7">
        <w:rPr>
          <w:szCs w:val="22"/>
        </w:rPr>
        <w:t xml:space="preserve">At the outset, we reject </w:t>
      </w:r>
      <w:r w:rsidR="002D6CD7">
        <w:rPr>
          <w:szCs w:val="22"/>
        </w:rPr>
        <w:t>Howze’s</w:t>
      </w:r>
      <w:r w:rsidR="002D6CD7">
        <w:rPr>
          <w:szCs w:val="22"/>
        </w:rPr>
        <w:t xml:space="preserve"> contention that </w:t>
      </w:r>
      <w:r w:rsidR="007D137F">
        <w:rPr>
          <w:szCs w:val="22"/>
        </w:rPr>
        <w:t xml:space="preserve">the Application must be dismissed due to </w:t>
      </w:r>
      <w:r w:rsidR="007D137F">
        <w:rPr>
          <w:szCs w:val="22"/>
        </w:rPr>
        <w:t>Capstar’s</w:t>
      </w:r>
      <w:r w:rsidR="007D137F">
        <w:rPr>
          <w:szCs w:val="22"/>
        </w:rPr>
        <w:t xml:space="preserve"> bankruptcy.  First, </w:t>
      </w:r>
      <w:r w:rsidR="00DA5EE3">
        <w:rPr>
          <w:szCs w:val="22"/>
        </w:rPr>
        <w:t xml:space="preserve">in </w:t>
      </w:r>
      <w:r w:rsidR="007D137F">
        <w:rPr>
          <w:szCs w:val="22"/>
        </w:rPr>
        <w:t>a Chapter 11 reorganization</w:t>
      </w:r>
      <w:r w:rsidR="00DA5EE3">
        <w:rPr>
          <w:szCs w:val="22"/>
        </w:rPr>
        <w:t>,</w:t>
      </w:r>
      <w:r w:rsidR="007D137F">
        <w:rPr>
          <w:szCs w:val="22"/>
        </w:rPr>
        <w:t xml:space="preserve"> the </w:t>
      </w:r>
      <w:r w:rsidR="001102D5">
        <w:rPr>
          <w:szCs w:val="22"/>
        </w:rPr>
        <w:t>debtor in possession is empowered to operate the bankrupt’s</w:t>
      </w:r>
      <w:r w:rsidR="007D137F">
        <w:rPr>
          <w:szCs w:val="22"/>
        </w:rPr>
        <w:t xml:space="preserve"> business while it reorganizes.</w:t>
      </w:r>
      <w:r>
        <w:rPr>
          <w:rStyle w:val="FootnoteReference"/>
          <w:szCs w:val="22"/>
        </w:rPr>
        <w:footnoteReference w:id="16"/>
      </w:r>
      <w:r w:rsidR="007D137F">
        <w:rPr>
          <w:szCs w:val="22"/>
        </w:rPr>
        <w:t xml:space="preserve">  Second, as </w:t>
      </w:r>
      <w:r w:rsidR="007D137F">
        <w:rPr>
          <w:szCs w:val="22"/>
        </w:rPr>
        <w:t>Capstar</w:t>
      </w:r>
      <w:r w:rsidR="007D137F">
        <w:rPr>
          <w:szCs w:val="22"/>
        </w:rPr>
        <w:t xml:space="preserve"> points out, the applicant is the same as the licensee of the primary AM station</w:t>
      </w:r>
      <w:r w:rsidR="002D14F1">
        <w:rPr>
          <w:szCs w:val="22"/>
        </w:rPr>
        <w:t xml:space="preserve"> (WFIV) </w:t>
      </w:r>
      <w:r w:rsidR="00074596">
        <w:rPr>
          <w:szCs w:val="22"/>
        </w:rPr>
        <w:t xml:space="preserve">that filed the Application.  The only reason the appellation “as debtor in possession” was not originally appended to the applicant name was that the short-form application for the Modesto Translator was filed prior to </w:t>
      </w:r>
      <w:r w:rsidR="00074596">
        <w:rPr>
          <w:szCs w:val="22"/>
        </w:rPr>
        <w:t>Capstar’s</w:t>
      </w:r>
      <w:r w:rsidR="00074596">
        <w:rPr>
          <w:szCs w:val="22"/>
        </w:rPr>
        <w:t xml:space="preserve"> filing for </w:t>
      </w:r>
      <w:r w:rsidR="00074596">
        <w:rPr>
          <w:szCs w:val="22"/>
        </w:rPr>
        <w:t>Chapter 11 protection.</w:t>
      </w:r>
      <w:r>
        <w:rPr>
          <w:rStyle w:val="FootnoteReference"/>
          <w:szCs w:val="22"/>
        </w:rPr>
        <w:footnoteReference w:id="17"/>
      </w:r>
      <w:r w:rsidR="00074596">
        <w:rPr>
          <w:szCs w:val="22"/>
        </w:rPr>
        <w:t xml:space="preserve">  </w:t>
      </w:r>
      <w:r w:rsidR="006A3C11">
        <w:rPr>
          <w:szCs w:val="22"/>
        </w:rPr>
        <w:t xml:space="preserve">Finally, </w:t>
      </w:r>
      <w:r w:rsidR="008E6079">
        <w:rPr>
          <w:szCs w:val="22"/>
        </w:rPr>
        <w:t>Capstar</w:t>
      </w:r>
      <w:r w:rsidR="008E6079">
        <w:rPr>
          <w:szCs w:val="22"/>
        </w:rPr>
        <w:t xml:space="preserve"> has recently emerged from bankruptcy</w:t>
      </w:r>
      <w:r w:rsidR="006B37F6">
        <w:rPr>
          <w:szCs w:val="22"/>
        </w:rPr>
        <w:t>,</w:t>
      </w:r>
      <w:r w:rsidR="008E6079">
        <w:rPr>
          <w:szCs w:val="22"/>
        </w:rPr>
        <w:t xml:space="preserve"> and the reorganized entity is no longer a debtor in possession.</w:t>
      </w:r>
      <w:r>
        <w:rPr>
          <w:rStyle w:val="FootnoteReference"/>
          <w:szCs w:val="22"/>
        </w:rPr>
        <w:footnoteReference w:id="18"/>
      </w:r>
      <w:r w:rsidR="008E6079">
        <w:rPr>
          <w:szCs w:val="22"/>
        </w:rPr>
        <w:t xml:space="preserve">  </w:t>
      </w:r>
      <w:r w:rsidR="008E6079">
        <w:rPr>
          <w:szCs w:val="22"/>
        </w:rPr>
        <w:t>Howze’s</w:t>
      </w:r>
      <w:r w:rsidR="008E6079">
        <w:rPr>
          <w:szCs w:val="22"/>
        </w:rPr>
        <w:t xml:space="preserve"> argument is therefore moot, and</w:t>
      </w:r>
      <w:r w:rsidR="00074596">
        <w:rPr>
          <w:szCs w:val="22"/>
        </w:rPr>
        <w:t xml:space="preserve"> there is no reason to dismiss the Application based on </w:t>
      </w:r>
      <w:r w:rsidR="00074596">
        <w:rPr>
          <w:szCs w:val="22"/>
        </w:rPr>
        <w:t>Capstar’s</w:t>
      </w:r>
      <w:r w:rsidR="00074596">
        <w:rPr>
          <w:szCs w:val="22"/>
        </w:rPr>
        <w:t xml:space="preserve"> bankruptcy.</w:t>
      </w:r>
    </w:p>
    <w:p w:rsidR="00074596" w:rsidP="004349E1" w14:paraId="27241536" w14:textId="77777777">
      <w:pPr>
        <w:ind w:firstLine="720"/>
        <w:rPr>
          <w:szCs w:val="22"/>
        </w:rPr>
      </w:pPr>
    </w:p>
    <w:p w:rsidR="00074596" w:rsidP="004349E1" w14:paraId="2E4E71DD" w14:textId="3010F45B">
      <w:pPr>
        <w:ind w:firstLine="720"/>
        <w:rPr>
          <w:szCs w:val="22"/>
        </w:rPr>
      </w:pPr>
      <w:r w:rsidRPr="000832E0">
        <w:rPr>
          <w:i/>
          <w:szCs w:val="22"/>
        </w:rPr>
        <w:t>LCRA Section 5</w:t>
      </w:r>
      <w:r>
        <w:rPr>
          <w:szCs w:val="22"/>
        </w:rPr>
        <w:t xml:space="preserve">.  </w:t>
      </w:r>
      <w:r w:rsidR="000832E0">
        <w:rPr>
          <w:szCs w:val="22"/>
        </w:rPr>
        <w:t xml:space="preserve">The gravamen of </w:t>
      </w:r>
      <w:r w:rsidR="000832E0">
        <w:rPr>
          <w:szCs w:val="22"/>
        </w:rPr>
        <w:t>Howze’s</w:t>
      </w:r>
      <w:r w:rsidR="000832E0">
        <w:rPr>
          <w:szCs w:val="22"/>
        </w:rPr>
        <w:t xml:space="preserve"> Petition is that the Application does not comport with the dictates of Section 5 of the LCRA (Section 5), in that </w:t>
      </w:r>
      <w:r w:rsidR="00BC512F">
        <w:rPr>
          <w:szCs w:val="22"/>
        </w:rPr>
        <w:t>it proposes a new translator in a market where there are more translators than LPFM stations</w:t>
      </w:r>
      <w:r w:rsidR="000832E0">
        <w:rPr>
          <w:szCs w:val="22"/>
        </w:rPr>
        <w:t>, and t</w:t>
      </w:r>
      <w:r w:rsidR="00BC512F">
        <w:rPr>
          <w:szCs w:val="22"/>
        </w:rPr>
        <w:t>hus t</w:t>
      </w:r>
      <w:r w:rsidR="000832E0">
        <w:rPr>
          <w:szCs w:val="22"/>
        </w:rPr>
        <w:t xml:space="preserve">hat the needs of the local community have </w:t>
      </w:r>
      <w:r w:rsidR="00BC512F">
        <w:rPr>
          <w:szCs w:val="22"/>
        </w:rPr>
        <w:t xml:space="preserve">not </w:t>
      </w:r>
      <w:r w:rsidR="000832E0">
        <w:rPr>
          <w:szCs w:val="22"/>
        </w:rPr>
        <w:t xml:space="preserve">been </w:t>
      </w:r>
      <w:r w:rsidR="000832E0">
        <w:rPr>
          <w:szCs w:val="22"/>
        </w:rPr>
        <w:t>taken into account</w:t>
      </w:r>
      <w:r w:rsidR="000832E0">
        <w:rPr>
          <w:szCs w:val="22"/>
        </w:rPr>
        <w:t xml:space="preserve">.  As discussed below, we find that </w:t>
      </w:r>
      <w:r w:rsidR="000832E0">
        <w:rPr>
          <w:szCs w:val="22"/>
        </w:rPr>
        <w:t>Capstar’s</w:t>
      </w:r>
      <w:r w:rsidR="000832E0">
        <w:rPr>
          <w:szCs w:val="22"/>
        </w:rPr>
        <w:t xml:space="preserve"> Application conformed to the procedures </w:t>
      </w:r>
      <w:r w:rsidR="00BC512F">
        <w:rPr>
          <w:szCs w:val="22"/>
        </w:rPr>
        <w:t>established</w:t>
      </w:r>
      <w:r w:rsidR="000832E0">
        <w:rPr>
          <w:szCs w:val="22"/>
        </w:rPr>
        <w:t xml:space="preserve"> for Auction 100</w:t>
      </w:r>
      <w:r w:rsidR="00822847">
        <w:rPr>
          <w:szCs w:val="22"/>
        </w:rPr>
        <w:t xml:space="preserve">, and further that the Auction 100 procedures </w:t>
      </w:r>
      <w:r w:rsidR="00BC512F">
        <w:rPr>
          <w:szCs w:val="22"/>
        </w:rPr>
        <w:t>comport with</w:t>
      </w:r>
      <w:r w:rsidR="00822847">
        <w:rPr>
          <w:szCs w:val="22"/>
        </w:rPr>
        <w:t xml:space="preserve"> Section 5.</w:t>
      </w:r>
    </w:p>
    <w:p w:rsidR="007F7A5F" w:rsidP="004349E1" w14:paraId="1272FC70" w14:textId="77777777">
      <w:pPr>
        <w:ind w:firstLine="720"/>
        <w:rPr>
          <w:szCs w:val="22"/>
        </w:rPr>
      </w:pPr>
    </w:p>
    <w:p w:rsidR="007F7A5F" w:rsidP="004349E1" w14:paraId="604AFD4C" w14:textId="798D87FC">
      <w:pPr>
        <w:ind w:firstLine="720"/>
        <w:rPr>
          <w:szCs w:val="22"/>
        </w:rPr>
      </w:pPr>
      <w:r>
        <w:rPr>
          <w:szCs w:val="22"/>
        </w:rPr>
        <w:t>We</w:t>
      </w:r>
      <w:r>
        <w:rPr>
          <w:szCs w:val="22"/>
        </w:rPr>
        <w:t xml:space="preserve"> reject </w:t>
      </w:r>
      <w:r>
        <w:rPr>
          <w:szCs w:val="22"/>
        </w:rPr>
        <w:t>Capstar’s</w:t>
      </w:r>
      <w:r>
        <w:rPr>
          <w:szCs w:val="22"/>
        </w:rPr>
        <w:t xml:space="preserve"> assertion that </w:t>
      </w:r>
      <w:r>
        <w:rPr>
          <w:szCs w:val="22"/>
        </w:rPr>
        <w:t>Howze</w:t>
      </w:r>
      <w:r>
        <w:rPr>
          <w:szCs w:val="22"/>
        </w:rPr>
        <w:t xml:space="preserve"> may not object to the Auction 100 procedures after the time for filing petitions for reconsideration of the </w:t>
      </w:r>
      <w:r w:rsidR="005F5766">
        <w:rPr>
          <w:szCs w:val="22"/>
        </w:rPr>
        <w:t>order</w:t>
      </w:r>
      <w:r>
        <w:rPr>
          <w:szCs w:val="22"/>
        </w:rPr>
        <w:t xml:space="preserve"> </w:t>
      </w:r>
      <w:r w:rsidR="0098256A">
        <w:rPr>
          <w:szCs w:val="22"/>
        </w:rPr>
        <w:t>adopting</w:t>
      </w:r>
      <w:r>
        <w:rPr>
          <w:szCs w:val="22"/>
        </w:rPr>
        <w:t xml:space="preserve"> those procedures has elapsed.  It has long been </w:t>
      </w:r>
      <w:r w:rsidR="00295ED1">
        <w:rPr>
          <w:szCs w:val="22"/>
        </w:rPr>
        <w:t>established</w:t>
      </w:r>
      <w:r>
        <w:rPr>
          <w:szCs w:val="22"/>
        </w:rPr>
        <w:t xml:space="preserve"> that</w:t>
      </w:r>
      <w:r w:rsidR="00295ED1">
        <w:rPr>
          <w:szCs w:val="22"/>
        </w:rPr>
        <w:t xml:space="preserve">, </w:t>
      </w:r>
      <w:r w:rsidR="005F5766">
        <w:rPr>
          <w:szCs w:val="22"/>
        </w:rPr>
        <w:t>“</w:t>
      </w:r>
      <w:r w:rsidRPr="00295ED1" w:rsidR="00295ED1">
        <w:rPr>
          <w:color w:val="000000"/>
          <w:szCs w:val="22"/>
        </w:rPr>
        <w:t>unlike ordinary adjudicatory orders, administrative rules and regulations are capable of continuing application</w:t>
      </w:r>
      <w:r w:rsidR="005F5766">
        <w:rPr>
          <w:color w:val="000000"/>
          <w:szCs w:val="22"/>
        </w:rPr>
        <w:t>;</w:t>
      </w:r>
      <w:r w:rsidR="00295ED1">
        <w:rPr>
          <w:color w:val="000000"/>
          <w:szCs w:val="22"/>
        </w:rPr>
        <w:t xml:space="preserve"> </w:t>
      </w:r>
      <w:r w:rsidR="005F5766">
        <w:t>limiting the right of review of the underlying rule would effectively deny many parties ultimately affected by a rule an opportunity to question its validity.”</w:t>
      </w:r>
      <w:r>
        <w:rPr>
          <w:rStyle w:val="FootnoteReference"/>
          <w:color w:val="000000"/>
          <w:szCs w:val="22"/>
        </w:rPr>
        <w:footnoteReference w:id="19"/>
      </w:r>
      <w:r w:rsidRPr="00295ED1">
        <w:rPr>
          <w:szCs w:val="22"/>
        </w:rPr>
        <w:t xml:space="preserve"> </w:t>
      </w:r>
      <w:r w:rsidR="00F86E02">
        <w:rPr>
          <w:szCs w:val="22"/>
        </w:rPr>
        <w:t xml:space="preserve"> </w:t>
      </w:r>
      <w:r w:rsidR="006E6952">
        <w:rPr>
          <w:szCs w:val="22"/>
        </w:rPr>
        <w:t>Howze</w:t>
      </w:r>
      <w:r w:rsidR="006E6952">
        <w:rPr>
          <w:szCs w:val="22"/>
        </w:rPr>
        <w:t xml:space="preserve"> has standing</w:t>
      </w:r>
      <w:r w:rsidR="005E5388">
        <w:rPr>
          <w:szCs w:val="22"/>
        </w:rPr>
        <w:t xml:space="preserve"> to file the Petition</w:t>
      </w:r>
      <w:r w:rsidR="00D85675">
        <w:rPr>
          <w:szCs w:val="22"/>
        </w:rPr>
        <w:t xml:space="preserve">, </w:t>
      </w:r>
      <w:r w:rsidR="006E6952">
        <w:rPr>
          <w:szCs w:val="22"/>
        </w:rPr>
        <w:t xml:space="preserve">as </w:t>
      </w:r>
      <w:r w:rsidR="00D85675">
        <w:rPr>
          <w:szCs w:val="22"/>
        </w:rPr>
        <w:t xml:space="preserve">he is </w:t>
      </w:r>
      <w:r w:rsidR="006E6952">
        <w:rPr>
          <w:szCs w:val="22"/>
        </w:rPr>
        <w:t>a resident of the area in which the proposed new translator can be heard</w:t>
      </w:r>
      <w:r w:rsidR="00D85675">
        <w:rPr>
          <w:szCs w:val="22"/>
        </w:rPr>
        <w:t>.</w:t>
      </w:r>
      <w:r>
        <w:rPr>
          <w:rStyle w:val="FootnoteReference"/>
          <w:szCs w:val="22"/>
        </w:rPr>
        <w:footnoteReference w:id="20"/>
      </w:r>
      <w:r w:rsidR="006E6952">
        <w:rPr>
          <w:szCs w:val="22"/>
        </w:rPr>
        <w:t xml:space="preserve"> </w:t>
      </w:r>
      <w:r w:rsidR="00D85675">
        <w:rPr>
          <w:szCs w:val="22"/>
        </w:rPr>
        <w:t xml:space="preserve"> H</w:t>
      </w:r>
      <w:r w:rsidR="006E6952">
        <w:rPr>
          <w:szCs w:val="22"/>
        </w:rPr>
        <w:t xml:space="preserve">e was not, however, </w:t>
      </w:r>
      <w:r w:rsidR="00E225A1">
        <w:rPr>
          <w:szCs w:val="22"/>
        </w:rPr>
        <w:t>expected</w:t>
      </w:r>
      <w:r w:rsidR="006E6952">
        <w:rPr>
          <w:szCs w:val="22"/>
        </w:rPr>
        <w:t xml:space="preserve"> to predict at the time the </w:t>
      </w:r>
      <w:r w:rsidRPr="006E6952" w:rsidR="006E6952">
        <w:rPr>
          <w:i/>
          <w:szCs w:val="22"/>
        </w:rPr>
        <w:t>AMR First R&amp;O</w:t>
      </w:r>
      <w:r w:rsidR="006E6952">
        <w:rPr>
          <w:szCs w:val="22"/>
        </w:rPr>
        <w:t xml:space="preserve"> was released that he would be directly affected by an application to be filed pursuant to the procedures announced in that order.</w:t>
      </w:r>
      <w:r w:rsidR="00E225A1">
        <w:rPr>
          <w:szCs w:val="22"/>
        </w:rPr>
        <w:t xml:space="preserve">  Thus, his petition is not untimely.</w:t>
      </w:r>
    </w:p>
    <w:p w:rsidR="00B376FE" w:rsidP="004349E1" w14:paraId="37E437AF" w14:textId="77777777">
      <w:pPr>
        <w:ind w:firstLine="720"/>
        <w:rPr>
          <w:szCs w:val="22"/>
        </w:rPr>
      </w:pPr>
    </w:p>
    <w:p w:rsidR="00B376FE" w:rsidP="004349E1" w14:paraId="4938FDB4" w14:textId="0CAF68FB">
      <w:pPr>
        <w:ind w:firstLine="720"/>
        <w:rPr>
          <w:szCs w:val="22"/>
        </w:rPr>
      </w:pPr>
      <w:r>
        <w:rPr>
          <w:szCs w:val="22"/>
        </w:rPr>
        <w:t>We therefore review the procedures set forth for the AMR filing windows, Auctions 99 and 100, to determine whether they comport with Section 5.  Section 5 by its terms requires that, when licensing new FM translator</w:t>
      </w:r>
      <w:r w:rsidR="002D46D2">
        <w:rPr>
          <w:szCs w:val="22"/>
        </w:rPr>
        <w:t>s, boosters, or LPFM</w:t>
      </w:r>
      <w:r>
        <w:rPr>
          <w:szCs w:val="22"/>
        </w:rPr>
        <w:t xml:space="preserve"> stations, the Commission must ensure:  </w:t>
      </w:r>
      <w:r w:rsidR="006D7249">
        <w:rPr>
          <w:szCs w:val="22"/>
        </w:rPr>
        <w:t xml:space="preserve">(1) </w:t>
      </w:r>
      <w:r>
        <w:rPr>
          <w:szCs w:val="22"/>
        </w:rPr>
        <w:t xml:space="preserve">that licenses are available to FM translator stations, LPFM stations, and FM booster stations; </w:t>
      </w:r>
      <w:r w:rsidR="006D7249">
        <w:rPr>
          <w:szCs w:val="22"/>
        </w:rPr>
        <w:t xml:space="preserve">(2) </w:t>
      </w:r>
      <w:r>
        <w:rPr>
          <w:szCs w:val="22"/>
        </w:rPr>
        <w:t xml:space="preserve">that licensing decisions are made based on the needs of the local community; and </w:t>
      </w:r>
      <w:r w:rsidR="006D7249">
        <w:rPr>
          <w:szCs w:val="22"/>
        </w:rPr>
        <w:t xml:space="preserve">(3) </w:t>
      </w:r>
      <w:r>
        <w:rPr>
          <w:szCs w:val="22"/>
        </w:rPr>
        <w:t>that FM translator stations, LPFM stations, and FM booster stations remain equal in status and secondary to existing and modified full-service FM stations.  It is through this lens that we examine the Auction 99 and 100 filing procedures.</w:t>
      </w:r>
    </w:p>
    <w:p w:rsidR="002D2448" w:rsidP="004349E1" w14:paraId="2A69C705" w14:textId="77777777">
      <w:pPr>
        <w:ind w:firstLine="720"/>
        <w:rPr>
          <w:szCs w:val="22"/>
        </w:rPr>
      </w:pPr>
    </w:p>
    <w:p w:rsidR="002D2448" w:rsidP="004349E1" w14:paraId="3704E27C" w14:textId="6BC1B37F">
      <w:pPr>
        <w:ind w:firstLine="720"/>
        <w:rPr>
          <w:szCs w:val="22"/>
        </w:rPr>
      </w:pPr>
      <w:r>
        <w:rPr>
          <w:szCs w:val="22"/>
        </w:rPr>
        <w:t>Howze</w:t>
      </w:r>
      <w:r>
        <w:rPr>
          <w:szCs w:val="22"/>
        </w:rPr>
        <w:t xml:space="preserve">, however, </w:t>
      </w:r>
      <w:r w:rsidR="003806C2">
        <w:rPr>
          <w:szCs w:val="22"/>
        </w:rPr>
        <w:t>contends</w:t>
      </w:r>
      <w:r>
        <w:rPr>
          <w:szCs w:val="22"/>
        </w:rPr>
        <w:t xml:space="preserve"> that we</w:t>
      </w:r>
      <w:r w:rsidR="003806C2">
        <w:rPr>
          <w:szCs w:val="22"/>
        </w:rPr>
        <w:t xml:space="preserve"> must</w:t>
      </w:r>
      <w:r>
        <w:rPr>
          <w:szCs w:val="22"/>
        </w:rPr>
        <w:t xml:space="preserve"> examine these procedures through a different lens, namely, what we termed the “extraordinary </w:t>
      </w:r>
      <w:r w:rsidRPr="002D2448">
        <w:rPr>
          <w:i/>
          <w:szCs w:val="22"/>
        </w:rPr>
        <w:t>ad hoc</w:t>
      </w:r>
      <w:r>
        <w:rPr>
          <w:szCs w:val="22"/>
        </w:rPr>
        <w:t xml:space="preserve"> processing measures” the Commission established in the context of disposing of over 13,000 new translator applications filed in Auction 83, while preserving sufficient spectrum to open a subsequent LPFM window.</w:t>
      </w:r>
      <w:r>
        <w:rPr>
          <w:rStyle w:val="FootnoteReference"/>
          <w:szCs w:val="22"/>
        </w:rPr>
        <w:footnoteReference w:id="21"/>
      </w:r>
      <w:r w:rsidR="00C77BDF">
        <w:rPr>
          <w:szCs w:val="22"/>
        </w:rPr>
        <w:t xml:space="preserve">  It bears noting that neither the processing measures adopted in the </w:t>
      </w:r>
      <w:r w:rsidRPr="00C77BDF" w:rsidR="00C77BDF">
        <w:rPr>
          <w:i/>
          <w:szCs w:val="22"/>
        </w:rPr>
        <w:t>LPFM Fourth R&amp;O</w:t>
      </w:r>
      <w:r w:rsidR="00C77BDF">
        <w:rPr>
          <w:szCs w:val="22"/>
        </w:rPr>
        <w:t xml:space="preserve"> nor those adopted in the subsequent </w:t>
      </w:r>
      <w:r w:rsidRPr="00C77BDF" w:rsidR="00C77BDF">
        <w:rPr>
          <w:i/>
          <w:szCs w:val="22"/>
        </w:rPr>
        <w:t>AMR First R&amp;O</w:t>
      </w:r>
      <w:r w:rsidR="00C77BDF">
        <w:rPr>
          <w:szCs w:val="22"/>
        </w:rPr>
        <w:t xml:space="preserve">, although both subjected to notice-and-comment rulemaking procedures, were </w:t>
      </w:r>
      <w:r w:rsidR="001F3347">
        <w:rPr>
          <w:szCs w:val="22"/>
        </w:rPr>
        <w:t>codified</w:t>
      </w:r>
      <w:r w:rsidR="00C77BDF">
        <w:rPr>
          <w:szCs w:val="22"/>
        </w:rPr>
        <w:t xml:space="preserve">.  This is because neither set of procedures </w:t>
      </w:r>
      <w:r w:rsidR="00C77BDF">
        <w:rPr>
          <w:szCs w:val="22"/>
        </w:rPr>
        <w:t>was considered to be</w:t>
      </w:r>
      <w:r w:rsidR="00C77BDF">
        <w:rPr>
          <w:szCs w:val="22"/>
        </w:rPr>
        <w:t xml:space="preserve"> of general applicability in applying the dictates of Section </w:t>
      </w:r>
      <w:r w:rsidR="00C77BDF">
        <w:rPr>
          <w:szCs w:val="22"/>
        </w:rPr>
        <w:t xml:space="preserve">5 to </w:t>
      </w:r>
      <w:r w:rsidR="004C0F6E">
        <w:rPr>
          <w:szCs w:val="22"/>
        </w:rPr>
        <w:t xml:space="preserve">all </w:t>
      </w:r>
      <w:r w:rsidR="00C77BDF">
        <w:rPr>
          <w:szCs w:val="22"/>
        </w:rPr>
        <w:t xml:space="preserve">new secondary service licensing.  Rather, each set of procedures was responsive to the </w:t>
      </w:r>
      <w:r w:rsidR="005610F7">
        <w:rPr>
          <w:szCs w:val="22"/>
        </w:rPr>
        <w:t>unique</w:t>
      </w:r>
      <w:r w:rsidR="00C77BDF">
        <w:rPr>
          <w:szCs w:val="22"/>
        </w:rPr>
        <w:t xml:space="preserve"> circumstances and public interest considerations underlying </w:t>
      </w:r>
      <w:r w:rsidR="00036E49">
        <w:rPr>
          <w:szCs w:val="22"/>
        </w:rPr>
        <w:t>a</w:t>
      </w:r>
      <w:r w:rsidR="005610F7">
        <w:rPr>
          <w:szCs w:val="22"/>
        </w:rPr>
        <w:t xml:space="preserve"> </w:t>
      </w:r>
      <w:r w:rsidR="005610F7">
        <w:rPr>
          <w:szCs w:val="22"/>
        </w:rPr>
        <w:t>particular</w:t>
      </w:r>
      <w:r w:rsidR="00C77BDF">
        <w:rPr>
          <w:szCs w:val="22"/>
        </w:rPr>
        <w:t xml:space="preserve"> filing</w:t>
      </w:r>
      <w:r w:rsidR="00C77BDF">
        <w:rPr>
          <w:szCs w:val="22"/>
        </w:rPr>
        <w:t xml:space="preserve"> window.</w:t>
      </w:r>
    </w:p>
    <w:p w:rsidR="00C77BDF" w:rsidP="004349E1" w14:paraId="51717674" w14:textId="77777777">
      <w:pPr>
        <w:ind w:firstLine="720"/>
        <w:rPr>
          <w:szCs w:val="22"/>
        </w:rPr>
      </w:pPr>
    </w:p>
    <w:p w:rsidR="00C77BDF" w:rsidP="004349E1" w14:paraId="08DA1DF4" w14:textId="76988D9C">
      <w:pPr>
        <w:ind w:firstLine="720"/>
        <w:rPr>
          <w:szCs w:val="22"/>
        </w:rPr>
      </w:pPr>
      <w:r>
        <w:rPr>
          <w:szCs w:val="22"/>
        </w:rPr>
        <w:t xml:space="preserve">In the case of Auction 83, 13,377 </w:t>
      </w:r>
      <w:r w:rsidR="00496FCD">
        <w:rPr>
          <w:szCs w:val="22"/>
        </w:rPr>
        <w:t xml:space="preserve">new FM translator </w:t>
      </w:r>
      <w:r>
        <w:rPr>
          <w:szCs w:val="22"/>
        </w:rPr>
        <w:t xml:space="preserve">applications </w:t>
      </w:r>
      <w:r w:rsidR="00961A40">
        <w:rPr>
          <w:szCs w:val="22"/>
        </w:rPr>
        <w:t>were filed by</w:t>
      </w:r>
      <w:r>
        <w:rPr>
          <w:szCs w:val="22"/>
        </w:rPr>
        <w:t xml:space="preserve"> </w:t>
      </w:r>
      <w:r w:rsidR="00961A40">
        <w:rPr>
          <w:szCs w:val="22"/>
        </w:rPr>
        <w:t xml:space="preserve">any party wishing to do so, without </w:t>
      </w:r>
      <w:r w:rsidR="00496FCD">
        <w:rPr>
          <w:szCs w:val="22"/>
        </w:rPr>
        <w:t>restriction on</w:t>
      </w:r>
      <w:r w:rsidR="00961A40">
        <w:rPr>
          <w:szCs w:val="22"/>
        </w:rPr>
        <w:t xml:space="preserve"> the number of applications filed by any one applicant, the location of the proposed translator(s), or the </w:t>
      </w:r>
      <w:r w:rsidR="00BE6264">
        <w:rPr>
          <w:szCs w:val="22"/>
        </w:rPr>
        <w:t>alienability of</w:t>
      </w:r>
      <w:r w:rsidR="00961A40">
        <w:rPr>
          <w:szCs w:val="22"/>
        </w:rPr>
        <w:t xml:space="preserve"> the authorization.</w:t>
      </w:r>
      <w:r>
        <w:rPr>
          <w:rStyle w:val="FootnoteReference"/>
          <w:szCs w:val="22"/>
        </w:rPr>
        <w:footnoteReference w:id="22"/>
      </w:r>
      <w:r w:rsidR="00961A40">
        <w:rPr>
          <w:szCs w:val="22"/>
        </w:rPr>
        <w:t xml:space="preserve">  Grant of all or a significant portion of these applications would have severely depleted spectrum available to other secondary services, including LPFM.  By 2011, eight years after the Auction 83 window opened, Congress enacted the LCRA, to guard against such spectrum depletion.  Thus, faced with an unprecedented volume of translator applications </w:t>
      </w:r>
      <w:r w:rsidR="00BE6264">
        <w:rPr>
          <w:szCs w:val="22"/>
        </w:rPr>
        <w:t>filed in</w:t>
      </w:r>
      <w:r w:rsidR="00961A40">
        <w:rPr>
          <w:szCs w:val="22"/>
        </w:rPr>
        <w:t xml:space="preserve"> the general Auction 83 window, the Commission introduced </w:t>
      </w:r>
      <w:r w:rsidR="007D4744">
        <w:rPr>
          <w:szCs w:val="22"/>
        </w:rPr>
        <w:t xml:space="preserve">extraordinary </w:t>
      </w:r>
      <w:r w:rsidR="007537C1">
        <w:rPr>
          <w:szCs w:val="22"/>
        </w:rPr>
        <w:t>remedial measures</w:t>
      </w:r>
      <w:r w:rsidR="00961A40">
        <w:rPr>
          <w:szCs w:val="22"/>
        </w:rPr>
        <w:t xml:space="preserve">, including </w:t>
      </w:r>
      <w:r w:rsidR="005E5388">
        <w:rPr>
          <w:szCs w:val="22"/>
        </w:rPr>
        <w:t>limiting the number</w:t>
      </w:r>
      <w:r w:rsidR="00DB20F8">
        <w:rPr>
          <w:szCs w:val="22"/>
        </w:rPr>
        <w:t xml:space="preserve"> of </w:t>
      </w:r>
      <w:r w:rsidR="005E5388">
        <w:rPr>
          <w:szCs w:val="22"/>
        </w:rPr>
        <w:t xml:space="preserve">filed </w:t>
      </w:r>
      <w:r w:rsidR="00DB20F8">
        <w:rPr>
          <w:szCs w:val="22"/>
        </w:rPr>
        <w:t>applications</w:t>
      </w:r>
      <w:r w:rsidR="005E5388">
        <w:rPr>
          <w:szCs w:val="22"/>
        </w:rPr>
        <w:t xml:space="preserve"> that applicants could continue to prosecute</w:t>
      </w:r>
      <w:r w:rsidR="00DB20F8">
        <w:rPr>
          <w:szCs w:val="22"/>
        </w:rPr>
        <w:t>,</w:t>
      </w:r>
      <w:r w:rsidR="00961A40">
        <w:rPr>
          <w:szCs w:val="22"/>
        </w:rPr>
        <w:t xml:space="preserve"> and </w:t>
      </w:r>
      <w:r w:rsidR="00DB20F8">
        <w:rPr>
          <w:szCs w:val="22"/>
        </w:rPr>
        <w:t>requiring</w:t>
      </w:r>
      <w:r w:rsidR="00F86E02">
        <w:rPr>
          <w:szCs w:val="22"/>
        </w:rPr>
        <w:t xml:space="preserve"> applicant-filed </w:t>
      </w:r>
      <w:r w:rsidR="00961A40">
        <w:rPr>
          <w:szCs w:val="22"/>
        </w:rPr>
        <w:t xml:space="preserve">preclusion studies, </w:t>
      </w:r>
      <w:r w:rsidR="00DB20F8">
        <w:rPr>
          <w:szCs w:val="22"/>
        </w:rPr>
        <w:t xml:space="preserve">all </w:t>
      </w:r>
      <w:r w:rsidR="00961A40">
        <w:rPr>
          <w:szCs w:val="22"/>
        </w:rPr>
        <w:t>to preserve spectrum for</w:t>
      </w:r>
      <w:r w:rsidR="00DB20F8">
        <w:rPr>
          <w:szCs w:val="22"/>
        </w:rPr>
        <w:t xml:space="preserve"> future</w:t>
      </w:r>
      <w:r w:rsidR="00961A40">
        <w:rPr>
          <w:szCs w:val="22"/>
        </w:rPr>
        <w:t xml:space="preserve"> LPFM stations.</w:t>
      </w:r>
      <w:r>
        <w:rPr>
          <w:rStyle w:val="FootnoteReference"/>
          <w:szCs w:val="22"/>
        </w:rPr>
        <w:footnoteReference w:id="23"/>
      </w:r>
    </w:p>
    <w:p w:rsidR="007D4744" w:rsidP="004349E1" w14:paraId="32BBDD01" w14:textId="77777777">
      <w:pPr>
        <w:ind w:firstLine="720"/>
        <w:rPr>
          <w:szCs w:val="22"/>
        </w:rPr>
      </w:pPr>
    </w:p>
    <w:p w:rsidR="007D4744" w:rsidP="004349E1" w14:paraId="6C1A2E27" w14:textId="5A8AD8F9">
      <w:pPr>
        <w:ind w:firstLine="720"/>
        <w:rPr>
          <w:szCs w:val="22"/>
        </w:rPr>
      </w:pPr>
      <w:r>
        <w:rPr>
          <w:szCs w:val="22"/>
        </w:rPr>
        <w:t xml:space="preserve">As a result of the severe restrictions </w:t>
      </w:r>
      <w:r w:rsidR="00186CAC">
        <w:rPr>
          <w:szCs w:val="22"/>
        </w:rPr>
        <w:t xml:space="preserve">placed </w:t>
      </w:r>
      <w:r>
        <w:rPr>
          <w:szCs w:val="22"/>
        </w:rPr>
        <w:t xml:space="preserve">on Auction 83 applicants, 5,450 new translator permits were </w:t>
      </w:r>
      <w:r w:rsidR="00F86E02">
        <w:rPr>
          <w:szCs w:val="22"/>
        </w:rPr>
        <w:t>awarded</w:t>
      </w:r>
      <w:r>
        <w:rPr>
          <w:szCs w:val="22"/>
        </w:rPr>
        <w:t>, out of a theoretical maximum of 13,377</w:t>
      </w:r>
      <w:r w:rsidR="00915AA6">
        <w:rPr>
          <w:szCs w:val="22"/>
        </w:rPr>
        <w:t xml:space="preserve">, or 40.7 percent.  This </w:t>
      </w:r>
      <w:r w:rsidR="00186CAC">
        <w:rPr>
          <w:szCs w:val="22"/>
        </w:rPr>
        <w:t>enabled</w:t>
      </w:r>
      <w:r w:rsidR="00915AA6">
        <w:rPr>
          <w:szCs w:val="22"/>
        </w:rPr>
        <w:t xml:space="preserve"> </w:t>
      </w:r>
      <w:r w:rsidR="00865C21">
        <w:rPr>
          <w:szCs w:val="22"/>
        </w:rPr>
        <w:t>the October-November 2013</w:t>
      </w:r>
      <w:r w:rsidR="001B7561">
        <w:rPr>
          <w:szCs w:val="22"/>
        </w:rPr>
        <w:t xml:space="preserve"> LPFM filing window,</w:t>
      </w:r>
      <w:r>
        <w:rPr>
          <w:rStyle w:val="FootnoteReference"/>
          <w:szCs w:val="22"/>
        </w:rPr>
        <w:footnoteReference w:id="24"/>
      </w:r>
      <w:r w:rsidR="001B7561">
        <w:rPr>
          <w:szCs w:val="22"/>
        </w:rPr>
        <w:t xml:space="preserve"> in which 1,994 out of a total of 2,827 new </w:t>
      </w:r>
      <w:r w:rsidR="00186CAC">
        <w:rPr>
          <w:szCs w:val="22"/>
        </w:rPr>
        <w:t xml:space="preserve">LPFM </w:t>
      </w:r>
      <w:r w:rsidR="001B7561">
        <w:rPr>
          <w:szCs w:val="22"/>
        </w:rPr>
        <w:t xml:space="preserve">station applications filed (70.5 percent) were granted.  </w:t>
      </w:r>
    </w:p>
    <w:p w:rsidR="001B7561" w:rsidP="004349E1" w14:paraId="43697040" w14:textId="77777777">
      <w:pPr>
        <w:ind w:firstLine="720"/>
        <w:rPr>
          <w:szCs w:val="22"/>
        </w:rPr>
      </w:pPr>
    </w:p>
    <w:p w:rsidR="001B7561" w:rsidP="004349E1" w14:paraId="3F04183F" w14:textId="41F11944">
      <w:pPr>
        <w:ind w:firstLine="720"/>
        <w:rPr>
          <w:szCs w:val="22"/>
        </w:rPr>
      </w:pPr>
      <w:r>
        <w:rPr>
          <w:szCs w:val="22"/>
        </w:rPr>
        <w:t xml:space="preserve">In 2013, the Commission initiated the </w:t>
      </w:r>
      <w:r w:rsidRPr="00962CA7">
        <w:rPr>
          <w:i/>
          <w:szCs w:val="22"/>
        </w:rPr>
        <w:t>AM Revitalization</w:t>
      </w:r>
      <w:r>
        <w:rPr>
          <w:szCs w:val="22"/>
        </w:rPr>
        <w:t xml:space="preserve"> proceeding.</w:t>
      </w:r>
      <w:r>
        <w:rPr>
          <w:rStyle w:val="FootnoteReference"/>
          <w:szCs w:val="22"/>
        </w:rPr>
        <w:footnoteReference w:id="25"/>
      </w:r>
      <w:r w:rsidR="006557D5">
        <w:rPr>
          <w:szCs w:val="22"/>
        </w:rPr>
        <w:t xml:space="preserve">  The Commission </w:t>
      </w:r>
      <w:r w:rsidR="00A70623">
        <w:rPr>
          <w:szCs w:val="22"/>
        </w:rPr>
        <w:t xml:space="preserve">observed that listenership of AM stations–the earliest broadcast service–had </w:t>
      </w:r>
      <w:r w:rsidR="006F5B3F">
        <w:rPr>
          <w:szCs w:val="22"/>
        </w:rPr>
        <w:t>decreased</w:t>
      </w:r>
      <w:r w:rsidR="00A70623">
        <w:rPr>
          <w:szCs w:val="22"/>
        </w:rPr>
        <w:t xml:space="preserve"> due to various factors, including the availability of higher-fidelity listening options, inter-station interference, and environmental interference (e.g., computers, LED bulbs, etc.).</w:t>
      </w:r>
      <w:r>
        <w:rPr>
          <w:rStyle w:val="FootnoteReference"/>
          <w:szCs w:val="22"/>
        </w:rPr>
        <w:footnoteReference w:id="26"/>
      </w:r>
      <w:r w:rsidR="00A70623">
        <w:rPr>
          <w:szCs w:val="22"/>
        </w:rPr>
        <w:t xml:space="preserve">  Notwithstanding the </w:t>
      </w:r>
      <w:r w:rsidR="00697D2E">
        <w:rPr>
          <w:szCs w:val="22"/>
        </w:rPr>
        <w:t>decline in</w:t>
      </w:r>
      <w:r w:rsidR="00A70623">
        <w:rPr>
          <w:szCs w:val="22"/>
        </w:rPr>
        <w:t xml:space="preserve"> listenership, the Commission stressed the importance of AM stations to the communities they serve:  </w:t>
      </w:r>
    </w:p>
    <w:p w:rsidR="00A70623" w:rsidRPr="00EA3CAC" w:rsidP="004349E1" w14:paraId="1B23104A" w14:textId="77777777">
      <w:pPr>
        <w:ind w:firstLine="720"/>
        <w:rPr>
          <w:szCs w:val="22"/>
        </w:rPr>
      </w:pPr>
    </w:p>
    <w:p w:rsidR="00A70623" w:rsidP="00EA3CAC" w14:paraId="2B34B3D6" w14:textId="77777777">
      <w:pPr>
        <w:ind w:left="720" w:right="360"/>
        <w:rPr>
          <w:szCs w:val="22"/>
        </w:rPr>
      </w:pPr>
      <w:r w:rsidRPr="00EA3CAC">
        <w:rPr>
          <w:szCs w:val="22"/>
        </w:rPr>
        <w:t>Today, AM radio remains an important source of broadcast entertainment and information programming, particularly for locally oriented content.  AM broadcasters provide unique, community-based programming to distinguish themselves from other media sources in an increasingly competitive mass media market.</w:t>
      </w:r>
      <w:r>
        <w:rPr>
          <w:szCs w:val="22"/>
        </w:rPr>
        <w:t xml:space="preserve"> (citation </w:t>
      </w:r>
      <w:r>
        <w:rPr>
          <w:szCs w:val="22"/>
        </w:rPr>
        <w:t>omitted)</w:t>
      </w:r>
      <w:r w:rsidRPr="00EA3CAC">
        <w:rPr>
          <w:szCs w:val="22"/>
        </w:rPr>
        <w:t xml:space="preserve">  For</w:t>
      </w:r>
      <w:r w:rsidRPr="00EA3CAC">
        <w:rPr>
          <w:szCs w:val="22"/>
        </w:rPr>
        <w:t xml:space="preserve"> example, all-news/talk, all-sports, foreign language, and religious programming formats are common on the AM band.  Indeed, over 90 percent of all news/talk stations operate on the AM band.</w:t>
      </w:r>
      <w:r>
        <w:rPr>
          <w:szCs w:val="22"/>
        </w:rPr>
        <w:t xml:space="preserve"> (citation </w:t>
      </w:r>
      <w:r>
        <w:rPr>
          <w:szCs w:val="22"/>
        </w:rPr>
        <w:t>omitted)</w:t>
      </w:r>
      <w:r w:rsidRPr="00EA3CAC">
        <w:rPr>
          <w:szCs w:val="22"/>
        </w:rPr>
        <w:t xml:space="preserve">  Local</w:t>
      </w:r>
      <w:r w:rsidRPr="00EA3CAC">
        <w:rPr>
          <w:szCs w:val="22"/>
        </w:rPr>
        <w:t xml:space="preserve"> programming is also prevalent on the AM dial, including discussions of local news, politics and public affairs, traffic announcements, and coverage of community events such as high school athletic contests.</w:t>
      </w:r>
      <w:r>
        <w:rPr>
          <w:rStyle w:val="FootnoteReference"/>
          <w:szCs w:val="22"/>
        </w:rPr>
        <w:footnoteReference w:id="27"/>
      </w:r>
    </w:p>
    <w:p w:rsidR="00EA3CAC" w:rsidP="00EA3CAC" w14:paraId="1FE3E120" w14:textId="77777777">
      <w:pPr>
        <w:rPr>
          <w:szCs w:val="22"/>
        </w:rPr>
      </w:pPr>
    </w:p>
    <w:p w:rsidR="00EA3CAC" w:rsidP="00EA3CAC" w14:paraId="04404DF0" w14:textId="533D71E8">
      <w:r>
        <w:rPr>
          <w:szCs w:val="22"/>
        </w:rPr>
        <w:tab/>
        <w:t xml:space="preserve">Thus, in the </w:t>
      </w:r>
      <w:r w:rsidRPr="00EA3CAC">
        <w:rPr>
          <w:i/>
          <w:szCs w:val="22"/>
        </w:rPr>
        <w:t>AMR NPRM</w:t>
      </w:r>
      <w:r>
        <w:rPr>
          <w:szCs w:val="22"/>
        </w:rPr>
        <w:t>, the Commission emphasized not just the value of AM programming</w:t>
      </w:r>
      <w:r w:rsidR="00F86E02">
        <w:rPr>
          <w:szCs w:val="22"/>
        </w:rPr>
        <w:t xml:space="preserve"> generally</w:t>
      </w:r>
      <w:r>
        <w:rPr>
          <w:szCs w:val="22"/>
        </w:rPr>
        <w:t xml:space="preserve">, but specifically the value of such programming to the local communities served by AM </w:t>
      </w:r>
      <w:r>
        <w:rPr>
          <w:szCs w:val="22"/>
        </w:rPr>
        <w:t xml:space="preserve">stations.  It then proposed several measures designed to </w:t>
      </w:r>
      <w:r w:rsidR="001922DD">
        <w:rPr>
          <w:szCs w:val="22"/>
        </w:rPr>
        <w:t>revitalize</w:t>
      </w:r>
      <w:r w:rsidR="00135CE4">
        <w:rPr>
          <w:szCs w:val="22"/>
        </w:rPr>
        <w:t xml:space="preserve"> the AM band generally and </w:t>
      </w:r>
      <w:r w:rsidR="001922DD">
        <w:rPr>
          <w:szCs w:val="22"/>
        </w:rPr>
        <w:t>assist existing AM broadcasters</w:t>
      </w:r>
      <w:r w:rsidR="005E5388">
        <w:rPr>
          <w:szCs w:val="22"/>
        </w:rPr>
        <w:t xml:space="preserve"> specifically</w:t>
      </w:r>
      <w:r w:rsidR="001922DD">
        <w:rPr>
          <w:szCs w:val="22"/>
        </w:rPr>
        <w:t xml:space="preserve">.  </w:t>
      </w:r>
      <w:r w:rsidR="002E2730">
        <w:rPr>
          <w:szCs w:val="22"/>
        </w:rPr>
        <w:t>The</w:t>
      </w:r>
      <w:r w:rsidR="001922DD">
        <w:rPr>
          <w:szCs w:val="22"/>
        </w:rPr>
        <w:t xml:space="preserve"> latter category included a proposal to </w:t>
      </w:r>
      <w:r w:rsidR="00CB22AA">
        <w:rPr>
          <w:szCs w:val="22"/>
        </w:rPr>
        <w:t xml:space="preserve">open a filing window during which AM station licensees could apply for </w:t>
      </w:r>
      <w:r w:rsidR="00DB6C30">
        <w:rPr>
          <w:szCs w:val="22"/>
        </w:rPr>
        <w:t>a</w:t>
      </w:r>
      <w:r w:rsidR="00CB22AA">
        <w:rPr>
          <w:szCs w:val="22"/>
        </w:rPr>
        <w:t xml:space="preserve"> fill-in cross-service FM translator, </w:t>
      </w:r>
      <w:r w:rsidR="00286136">
        <w:rPr>
          <w:szCs w:val="22"/>
        </w:rPr>
        <w:t>with a cap of one translator application per AM station.  Each such translator</w:t>
      </w:r>
      <w:r w:rsidR="00CB22AA">
        <w:rPr>
          <w:szCs w:val="22"/>
        </w:rPr>
        <w:t xml:space="preserve"> would be permanently linked to the AM primary station that it rebroadcast</w:t>
      </w:r>
      <w:r w:rsidR="00286136">
        <w:rPr>
          <w:szCs w:val="22"/>
        </w:rPr>
        <w:t>–</w:t>
      </w:r>
      <w:r w:rsidR="00CB22AA">
        <w:rPr>
          <w:szCs w:val="22"/>
        </w:rPr>
        <w:t>the proposed translator could not be assigned or transferred except in conjunction with the AM primary station that licensed it.  The Commission sought comment as to the effect of such a window on other services, including LPFM,</w:t>
      </w:r>
      <w:r>
        <w:rPr>
          <w:rStyle w:val="FootnoteReference"/>
          <w:szCs w:val="22"/>
        </w:rPr>
        <w:footnoteReference w:id="28"/>
      </w:r>
      <w:r w:rsidR="00CB22AA">
        <w:rPr>
          <w:szCs w:val="22"/>
        </w:rPr>
        <w:t xml:space="preserve"> and specifically noted</w:t>
      </w:r>
      <w:r w:rsidR="00DB6C30">
        <w:rPr>
          <w:szCs w:val="22"/>
        </w:rPr>
        <w:t xml:space="preserve"> its belief</w:t>
      </w:r>
      <w:r w:rsidR="00CB22AA">
        <w:rPr>
          <w:szCs w:val="22"/>
        </w:rPr>
        <w:t xml:space="preserve"> that </w:t>
      </w:r>
      <w:r w:rsidR="00DB6C30">
        <w:rPr>
          <w:szCs w:val="22"/>
        </w:rPr>
        <w:t>“</w:t>
      </w:r>
      <w:r w:rsidR="00DB6C30">
        <w:t>a narrowly tailored filing window for such FM translators, as proposed above, could yield significant public interest benefits with little to no detriment either to the FM translator service or to licensing opportunities for LPFM stations, especially since the filing window proposed here will follow the 2013 LPFM filing window.”</w:t>
      </w:r>
      <w:r>
        <w:rPr>
          <w:rStyle w:val="FootnoteReference"/>
        </w:rPr>
        <w:footnoteReference w:id="29"/>
      </w:r>
    </w:p>
    <w:p w:rsidR="00DB6C30" w:rsidP="00EA3CAC" w14:paraId="31FAA457" w14:textId="77777777">
      <w:pPr>
        <w:rPr>
          <w:szCs w:val="22"/>
        </w:rPr>
      </w:pPr>
    </w:p>
    <w:p w:rsidR="00DB6C30" w:rsidP="00EA3CAC" w14:paraId="777F6143" w14:textId="41A267BB">
      <w:pPr>
        <w:rPr>
          <w:szCs w:val="22"/>
        </w:rPr>
      </w:pPr>
      <w:r>
        <w:rPr>
          <w:szCs w:val="22"/>
        </w:rPr>
        <w:tab/>
        <w:t>The proposal to open a new cross-service FM translator window exclusively for AM stations met with overwhelming,</w:t>
      </w:r>
      <w:r>
        <w:rPr>
          <w:rStyle w:val="FootnoteReference"/>
          <w:szCs w:val="22"/>
        </w:rPr>
        <w:footnoteReference w:id="30"/>
      </w:r>
      <w:r>
        <w:rPr>
          <w:szCs w:val="22"/>
        </w:rPr>
        <w:t xml:space="preserve"> </w:t>
      </w:r>
      <w:r w:rsidR="00595DD1">
        <w:rPr>
          <w:szCs w:val="22"/>
        </w:rPr>
        <w:t>though</w:t>
      </w:r>
      <w:r>
        <w:rPr>
          <w:szCs w:val="22"/>
        </w:rPr>
        <w:t xml:space="preserve"> not universal,</w:t>
      </w:r>
      <w:r>
        <w:rPr>
          <w:rStyle w:val="FootnoteReference"/>
          <w:szCs w:val="22"/>
        </w:rPr>
        <w:footnoteReference w:id="31"/>
      </w:r>
      <w:r>
        <w:rPr>
          <w:szCs w:val="22"/>
        </w:rPr>
        <w:t xml:space="preserve"> commenter approval.  In the </w:t>
      </w:r>
      <w:r w:rsidRPr="00B21DB2">
        <w:rPr>
          <w:i/>
          <w:szCs w:val="22"/>
        </w:rPr>
        <w:t>AMR First R&amp;O</w:t>
      </w:r>
      <w:r>
        <w:rPr>
          <w:szCs w:val="22"/>
        </w:rPr>
        <w:t xml:space="preserve">, the Commission </w:t>
      </w:r>
      <w:r w:rsidR="00D60E89">
        <w:rPr>
          <w:szCs w:val="22"/>
        </w:rPr>
        <w:t>ordered</w:t>
      </w:r>
      <w:r w:rsidR="00B21DB2">
        <w:rPr>
          <w:szCs w:val="22"/>
        </w:rPr>
        <w:t xml:space="preserve">, first, two filing windows for AM licensees wishing to purchase and </w:t>
      </w:r>
      <w:r w:rsidR="00F074DE">
        <w:rPr>
          <w:szCs w:val="22"/>
        </w:rPr>
        <w:t>modify</w:t>
      </w:r>
      <w:r w:rsidR="00B21DB2">
        <w:rPr>
          <w:szCs w:val="22"/>
        </w:rPr>
        <w:t xml:space="preserve"> existing FM translators to use as cross-service translators, followed by two </w:t>
      </w:r>
      <w:r w:rsidR="00BF2C4B">
        <w:rPr>
          <w:szCs w:val="22"/>
        </w:rPr>
        <w:t xml:space="preserve">auction </w:t>
      </w:r>
      <w:r w:rsidR="00B21DB2">
        <w:rPr>
          <w:szCs w:val="22"/>
        </w:rPr>
        <w:t>windows for new cross-service FM translators</w:t>
      </w:r>
      <w:r w:rsidR="00BE23B0">
        <w:rPr>
          <w:szCs w:val="22"/>
        </w:rPr>
        <w:t>,</w:t>
      </w:r>
      <w:r w:rsidR="00B21DB2">
        <w:rPr>
          <w:szCs w:val="22"/>
        </w:rPr>
        <w:t xml:space="preserve"> </w:t>
      </w:r>
      <w:r w:rsidR="00BE23B0">
        <w:rPr>
          <w:szCs w:val="22"/>
        </w:rPr>
        <w:t>which</w:t>
      </w:r>
      <w:r w:rsidR="00B21DB2">
        <w:rPr>
          <w:szCs w:val="22"/>
        </w:rPr>
        <w:t xml:space="preserve"> have since been designated Auctions 99 and 100.</w:t>
      </w:r>
      <w:r>
        <w:rPr>
          <w:rStyle w:val="FootnoteReference"/>
          <w:szCs w:val="22"/>
        </w:rPr>
        <w:footnoteReference w:id="32"/>
      </w:r>
      <w:r w:rsidR="00B21DB2">
        <w:rPr>
          <w:szCs w:val="22"/>
        </w:rPr>
        <w:t xml:space="preserve">  The Commission </w:t>
      </w:r>
      <w:r w:rsidR="00602218">
        <w:rPr>
          <w:szCs w:val="22"/>
        </w:rPr>
        <w:t xml:space="preserve">limited participation in the </w:t>
      </w:r>
      <w:r w:rsidR="00FE280E">
        <w:rPr>
          <w:szCs w:val="22"/>
        </w:rPr>
        <w:t>Auction 99 and 100</w:t>
      </w:r>
      <w:r w:rsidR="00BF2C4B">
        <w:rPr>
          <w:szCs w:val="22"/>
        </w:rPr>
        <w:t xml:space="preserve"> windows</w:t>
      </w:r>
      <w:r w:rsidR="00F074DE">
        <w:rPr>
          <w:szCs w:val="22"/>
        </w:rPr>
        <w:t xml:space="preserve"> to those AM station licensees that had not already participated in a modification window.</w:t>
      </w:r>
      <w:r>
        <w:rPr>
          <w:rStyle w:val="FootnoteReference"/>
          <w:szCs w:val="22"/>
        </w:rPr>
        <w:footnoteReference w:id="33"/>
      </w:r>
      <w:r w:rsidR="00474419">
        <w:rPr>
          <w:szCs w:val="22"/>
        </w:rPr>
        <w:t xml:space="preserve">  </w:t>
      </w:r>
      <w:r w:rsidR="003D30DB">
        <w:rPr>
          <w:szCs w:val="22"/>
        </w:rPr>
        <w:t>This</w:t>
      </w:r>
      <w:r w:rsidR="00474419">
        <w:rPr>
          <w:szCs w:val="22"/>
        </w:rPr>
        <w:t xml:space="preserve"> </w:t>
      </w:r>
      <w:r w:rsidR="0007038B">
        <w:rPr>
          <w:szCs w:val="22"/>
        </w:rPr>
        <w:t>restriction</w:t>
      </w:r>
      <w:r w:rsidR="00BB7AD9">
        <w:rPr>
          <w:szCs w:val="22"/>
        </w:rPr>
        <w:t xml:space="preserve"> </w:t>
      </w:r>
      <w:r w:rsidR="00474419">
        <w:rPr>
          <w:szCs w:val="22"/>
        </w:rPr>
        <w:t>reduce</w:t>
      </w:r>
      <w:r w:rsidR="003D30DB">
        <w:rPr>
          <w:szCs w:val="22"/>
        </w:rPr>
        <w:t>d</w:t>
      </w:r>
      <w:r w:rsidR="00474419">
        <w:rPr>
          <w:szCs w:val="22"/>
        </w:rPr>
        <w:t xml:space="preserve"> the number of new translator applications that could be filed, as </w:t>
      </w:r>
      <w:r w:rsidR="00F14FE3">
        <w:rPr>
          <w:szCs w:val="22"/>
        </w:rPr>
        <w:t xml:space="preserve">many </w:t>
      </w:r>
      <w:r w:rsidR="00474419">
        <w:rPr>
          <w:szCs w:val="22"/>
        </w:rPr>
        <w:t>AM broadcasters opt</w:t>
      </w:r>
      <w:r w:rsidR="00E03488">
        <w:rPr>
          <w:szCs w:val="22"/>
        </w:rPr>
        <w:t>ed</w:t>
      </w:r>
      <w:r w:rsidR="00474419">
        <w:rPr>
          <w:szCs w:val="22"/>
        </w:rPr>
        <w:t xml:space="preserve"> to modify and </w:t>
      </w:r>
      <w:r w:rsidR="00FE280E">
        <w:rPr>
          <w:szCs w:val="22"/>
        </w:rPr>
        <w:t>relocate</w:t>
      </w:r>
      <w:r w:rsidR="00474419">
        <w:rPr>
          <w:szCs w:val="22"/>
        </w:rPr>
        <w:t xml:space="preserve"> </w:t>
      </w:r>
      <w:r w:rsidR="00E03488">
        <w:rPr>
          <w:szCs w:val="22"/>
        </w:rPr>
        <w:t xml:space="preserve">an </w:t>
      </w:r>
      <w:r w:rsidR="00474419">
        <w:rPr>
          <w:szCs w:val="22"/>
        </w:rPr>
        <w:t>existing FM translator</w:t>
      </w:r>
      <w:r w:rsidR="00E31BA0">
        <w:rPr>
          <w:szCs w:val="22"/>
        </w:rPr>
        <w:t xml:space="preserve"> rather than apply for</w:t>
      </w:r>
      <w:r w:rsidR="00E03488">
        <w:rPr>
          <w:szCs w:val="22"/>
        </w:rPr>
        <w:t xml:space="preserve"> a</w:t>
      </w:r>
      <w:r w:rsidR="00E31BA0">
        <w:rPr>
          <w:szCs w:val="22"/>
        </w:rPr>
        <w:t xml:space="preserve"> new one</w:t>
      </w:r>
      <w:r w:rsidR="00474419">
        <w:rPr>
          <w:szCs w:val="22"/>
        </w:rPr>
        <w:t>.  Although some commenters expressed concern about the effect of the new cross-service FM translator auction windows on licensing opportunities</w:t>
      </w:r>
      <w:r w:rsidR="00E370D6">
        <w:rPr>
          <w:szCs w:val="22"/>
        </w:rPr>
        <w:t xml:space="preserve"> for other secondary services</w:t>
      </w:r>
      <w:r w:rsidR="00474419">
        <w:rPr>
          <w:szCs w:val="22"/>
        </w:rPr>
        <w:t>,</w:t>
      </w:r>
      <w:r>
        <w:rPr>
          <w:rStyle w:val="FootnoteReference"/>
          <w:szCs w:val="22"/>
        </w:rPr>
        <w:footnoteReference w:id="34"/>
      </w:r>
      <w:r w:rsidR="00474419">
        <w:rPr>
          <w:szCs w:val="22"/>
        </w:rPr>
        <w:t xml:space="preserve"> none sought reconsideration of the </w:t>
      </w:r>
      <w:r w:rsidR="007F18EF">
        <w:rPr>
          <w:szCs w:val="22"/>
        </w:rPr>
        <w:t>tailored</w:t>
      </w:r>
      <w:r w:rsidR="00E03488">
        <w:rPr>
          <w:szCs w:val="22"/>
        </w:rPr>
        <w:t xml:space="preserve"> window-</w:t>
      </w:r>
      <w:r w:rsidR="007F18EF">
        <w:rPr>
          <w:szCs w:val="22"/>
        </w:rPr>
        <w:t>specific</w:t>
      </w:r>
      <w:r w:rsidR="00E03488">
        <w:rPr>
          <w:szCs w:val="22"/>
        </w:rPr>
        <w:t xml:space="preserve"> eligibility requirements and </w:t>
      </w:r>
      <w:r w:rsidR="00474419">
        <w:rPr>
          <w:szCs w:val="22"/>
        </w:rPr>
        <w:t xml:space="preserve">adopted </w:t>
      </w:r>
      <w:r w:rsidR="00E03488">
        <w:rPr>
          <w:szCs w:val="22"/>
        </w:rPr>
        <w:t xml:space="preserve">filing </w:t>
      </w:r>
      <w:r w:rsidR="00474419">
        <w:rPr>
          <w:szCs w:val="22"/>
        </w:rPr>
        <w:t>procedures.</w:t>
      </w:r>
      <w:r>
        <w:rPr>
          <w:rStyle w:val="FootnoteReference"/>
          <w:szCs w:val="22"/>
        </w:rPr>
        <w:footnoteReference w:id="35"/>
      </w:r>
    </w:p>
    <w:p w:rsidR="00E31BA0" w:rsidP="00EA3CAC" w14:paraId="6CC3485D" w14:textId="77777777">
      <w:pPr>
        <w:rPr>
          <w:szCs w:val="22"/>
        </w:rPr>
      </w:pPr>
    </w:p>
    <w:p w:rsidR="00E31BA0" w:rsidP="00EA3CAC" w14:paraId="1ABC0FE6" w14:textId="5141832D">
      <w:pPr>
        <w:rPr>
          <w:szCs w:val="22"/>
        </w:rPr>
      </w:pPr>
      <w:r>
        <w:rPr>
          <w:szCs w:val="22"/>
        </w:rPr>
        <w:tab/>
        <w:t xml:space="preserve">In short, the procedures adopted for the AMR filing windows, like those adopted following the Auction 83 filing window, were designed to </w:t>
      </w:r>
      <w:r w:rsidR="00ED3AC7">
        <w:rPr>
          <w:szCs w:val="22"/>
        </w:rPr>
        <w:t xml:space="preserve">strike a balance between the stated goals of the </w:t>
      </w:r>
      <w:r w:rsidRPr="00DB4DED" w:rsidR="00ED3AC7">
        <w:rPr>
          <w:i/>
          <w:szCs w:val="22"/>
        </w:rPr>
        <w:t>AM Revitalization</w:t>
      </w:r>
      <w:r w:rsidR="00ED3AC7">
        <w:rPr>
          <w:szCs w:val="22"/>
        </w:rPr>
        <w:t xml:space="preserve"> proceeding and the need to preserve spectrum for future applicants</w:t>
      </w:r>
      <w:r>
        <w:rPr>
          <w:szCs w:val="22"/>
        </w:rPr>
        <w:t xml:space="preserve">.  First, the Commission limited participation to AM station licensees and permittees on a one-per-AM station basis, </w:t>
      </w:r>
      <w:r w:rsidR="007E64C8">
        <w:rPr>
          <w:szCs w:val="22"/>
        </w:rPr>
        <w:t xml:space="preserve">thus effectively </w:t>
      </w:r>
      <w:r>
        <w:rPr>
          <w:szCs w:val="22"/>
        </w:rPr>
        <w:t xml:space="preserve">capping the potential number of applications at 4,684 (the number of AM stations at the </w:t>
      </w:r>
      <w:r>
        <w:rPr>
          <w:szCs w:val="22"/>
        </w:rPr>
        <w:t>time).</w:t>
      </w:r>
      <w:r>
        <w:rPr>
          <w:rStyle w:val="FootnoteReference"/>
          <w:szCs w:val="22"/>
        </w:rPr>
        <w:footnoteReference w:id="36"/>
      </w:r>
      <w:r w:rsidR="00A205A0">
        <w:rPr>
          <w:szCs w:val="22"/>
        </w:rPr>
        <w:t xml:space="preserve">  Second, </w:t>
      </w:r>
      <w:r w:rsidR="000C60D8">
        <w:rPr>
          <w:szCs w:val="22"/>
        </w:rPr>
        <w:t>translator</w:t>
      </w:r>
      <w:r w:rsidR="00CD7FB7">
        <w:rPr>
          <w:szCs w:val="22"/>
        </w:rPr>
        <w:t>s were required</w:t>
      </w:r>
      <w:r w:rsidR="000C60D8">
        <w:rPr>
          <w:szCs w:val="22"/>
        </w:rPr>
        <w:t xml:space="preserve"> to </w:t>
      </w:r>
      <w:r w:rsidR="009141F2">
        <w:rPr>
          <w:szCs w:val="22"/>
        </w:rPr>
        <w:t>operat</w:t>
      </w:r>
      <w:r w:rsidR="00CD7FB7">
        <w:rPr>
          <w:szCs w:val="22"/>
        </w:rPr>
        <w:t>e</w:t>
      </w:r>
      <w:r w:rsidR="001D1253">
        <w:rPr>
          <w:szCs w:val="22"/>
        </w:rPr>
        <w:t xml:space="preserve"> on a fill-in basis</w:t>
      </w:r>
      <w:r w:rsidR="00CD7FB7">
        <w:rPr>
          <w:szCs w:val="22"/>
        </w:rPr>
        <w:t xml:space="preserve"> only</w:t>
      </w:r>
      <w:r w:rsidR="000C60D8">
        <w:rPr>
          <w:szCs w:val="22"/>
        </w:rPr>
        <w:t xml:space="preserve">, thus restricting the area in which such </w:t>
      </w:r>
      <w:r w:rsidR="00ED3AC7">
        <w:rPr>
          <w:szCs w:val="22"/>
        </w:rPr>
        <w:t xml:space="preserve">a </w:t>
      </w:r>
      <w:r w:rsidR="000C60D8">
        <w:rPr>
          <w:szCs w:val="22"/>
        </w:rPr>
        <w:t>translator could be located.</w:t>
      </w:r>
      <w:r>
        <w:rPr>
          <w:rStyle w:val="FootnoteReference"/>
          <w:szCs w:val="22"/>
        </w:rPr>
        <w:footnoteReference w:id="37"/>
      </w:r>
      <w:r w:rsidR="000C60D8">
        <w:rPr>
          <w:szCs w:val="22"/>
        </w:rPr>
        <w:t xml:space="preserve">  Third, the introduction of a modification window, allowing AM broadcasters to move an existing FM translator up to 250 miles rather than add a new FM translator, further limited the number of potential new FM translator grants, as modification window participants were precluded from participating in Auction 99 or 100.  </w:t>
      </w:r>
      <w:r w:rsidR="00F14F18">
        <w:rPr>
          <w:szCs w:val="22"/>
        </w:rPr>
        <w:t xml:space="preserve">Finally, new translators awarded through the Auction 99 and 100 filing windows may not be assigned or transferred except in conjunction with the AM primary station by which </w:t>
      </w:r>
      <w:r w:rsidR="00ED77B8">
        <w:rPr>
          <w:szCs w:val="22"/>
        </w:rPr>
        <w:t>it is</w:t>
      </w:r>
      <w:r w:rsidR="00F14F18">
        <w:rPr>
          <w:szCs w:val="22"/>
        </w:rPr>
        <w:t xml:space="preserve"> owned, and may not rebroadcast any other station, thus limiting the extent to which </w:t>
      </w:r>
      <w:r w:rsidR="00ED77B8">
        <w:rPr>
          <w:szCs w:val="22"/>
        </w:rPr>
        <w:t>it can</w:t>
      </w:r>
      <w:r w:rsidR="00F14F18">
        <w:rPr>
          <w:szCs w:val="22"/>
        </w:rPr>
        <w:t xml:space="preserve"> be moved </w:t>
      </w:r>
      <w:r w:rsidR="00ED77B8">
        <w:rPr>
          <w:szCs w:val="22"/>
        </w:rPr>
        <w:t>and precluding potential interference</w:t>
      </w:r>
      <w:r w:rsidR="00F14F18">
        <w:rPr>
          <w:szCs w:val="22"/>
        </w:rPr>
        <w:t xml:space="preserve"> with other secondary station licensing opportunities.</w:t>
      </w:r>
    </w:p>
    <w:p w:rsidR="00F14F18" w:rsidP="00EA3CAC" w14:paraId="3BBAA4A0" w14:textId="77777777">
      <w:pPr>
        <w:rPr>
          <w:szCs w:val="22"/>
        </w:rPr>
      </w:pPr>
    </w:p>
    <w:p w:rsidR="00F14F18" w:rsidP="00EA3CAC" w14:paraId="024A5F34" w14:textId="0B38C5B3">
      <w:pPr>
        <w:rPr>
          <w:szCs w:val="22"/>
        </w:rPr>
      </w:pPr>
      <w:r>
        <w:rPr>
          <w:szCs w:val="22"/>
        </w:rPr>
        <w:tab/>
      </w:r>
      <w:r>
        <w:rPr>
          <w:szCs w:val="22"/>
        </w:rPr>
        <w:t>The end result</w:t>
      </w:r>
      <w:r>
        <w:rPr>
          <w:szCs w:val="22"/>
        </w:rPr>
        <w:t xml:space="preserve"> of these restrictions is that no more than 1,707 new cross-service FM translators have been or can be granted as a result of the Auction 99 and 100 filing windows, out of a theoretical maximum of 4,684, or just under 37 percent.  This is comparable to the percentage of new translator grants from the Auction 83 window, vis-à-vis the original number of applications, suggesting that the restrictions placed on Auction 99 and 100 applicants were equally efficacious in terms of overall spectrum </w:t>
      </w:r>
      <w:r w:rsidR="00EA2755">
        <w:rPr>
          <w:szCs w:val="22"/>
        </w:rPr>
        <w:t>preservation</w:t>
      </w:r>
      <w:r>
        <w:rPr>
          <w:szCs w:val="22"/>
        </w:rPr>
        <w:t>.</w:t>
      </w:r>
    </w:p>
    <w:p w:rsidR="00F14F18" w:rsidP="00EA3CAC" w14:paraId="7A32EF88" w14:textId="77777777">
      <w:pPr>
        <w:rPr>
          <w:szCs w:val="22"/>
        </w:rPr>
      </w:pPr>
    </w:p>
    <w:p w:rsidR="00F83E83" w:rsidP="00EA3CAC" w14:paraId="0F1C239B" w14:textId="6B9F3947">
      <w:pPr>
        <w:rPr>
          <w:szCs w:val="22"/>
        </w:rPr>
      </w:pPr>
      <w:r>
        <w:rPr>
          <w:szCs w:val="22"/>
        </w:rPr>
        <w:tab/>
        <w:t xml:space="preserve">To the extent that </w:t>
      </w:r>
      <w:r>
        <w:rPr>
          <w:szCs w:val="22"/>
        </w:rPr>
        <w:t>Howze</w:t>
      </w:r>
      <w:r>
        <w:rPr>
          <w:szCs w:val="22"/>
        </w:rPr>
        <w:t xml:space="preserve"> argues that Section 5 requires a market-by-market evaluation of secondary spectrum </w:t>
      </w:r>
      <w:r>
        <w:rPr>
          <w:szCs w:val="22"/>
        </w:rPr>
        <w:t>availability, or</w:t>
      </w:r>
      <w:r>
        <w:rPr>
          <w:szCs w:val="22"/>
        </w:rPr>
        <w:t xml:space="preserve"> prohibits further award of </w:t>
      </w:r>
      <w:r w:rsidR="00345A04">
        <w:rPr>
          <w:szCs w:val="22"/>
        </w:rPr>
        <w:t>FM translator construction permits in markets where translators outnumber</w:t>
      </w:r>
      <w:r>
        <w:rPr>
          <w:szCs w:val="22"/>
        </w:rPr>
        <w:t xml:space="preserve"> LPFM stations, we reiterate that nothing in the language of Section 5 mandates such</w:t>
      </w:r>
      <w:r w:rsidR="00F65D74">
        <w:rPr>
          <w:szCs w:val="22"/>
        </w:rPr>
        <w:t xml:space="preserve"> specific</w:t>
      </w:r>
      <w:r>
        <w:rPr>
          <w:szCs w:val="22"/>
        </w:rPr>
        <w:t xml:space="preserve"> </w:t>
      </w:r>
      <w:r w:rsidR="00284D11">
        <w:rPr>
          <w:szCs w:val="22"/>
        </w:rPr>
        <w:t>measures</w:t>
      </w:r>
      <w:r>
        <w:rPr>
          <w:szCs w:val="22"/>
        </w:rPr>
        <w:t xml:space="preserve">.  It requires only that the Commission ensure that licensing opportunities are available for all secondary services, that its licensing decisions are made based on the needs of the local community, and that all secondary services remain equal in status (not number) and secondary to full-service FM stations.  </w:t>
      </w:r>
      <w:r w:rsidR="00E837FC">
        <w:rPr>
          <w:szCs w:val="22"/>
        </w:rPr>
        <w:t>The Auction 99 and 100 procedures are in full compliance with Section 5’s dictates.  Applications were capped at one per AM station (as opposed to allowing multiple translator grants) and further capped by forcing applicants to choose between modifying</w:t>
      </w:r>
      <w:r w:rsidR="006E04F4">
        <w:rPr>
          <w:szCs w:val="22"/>
        </w:rPr>
        <w:t xml:space="preserve"> an</w:t>
      </w:r>
      <w:r w:rsidR="00E837FC">
        <w:rPr>
          <w:szCs w:val="22"/>
        </w:rPr>
        <w:t xml:space="preserve"> existing translator</w:t>
      </w:r>
      <w:r w:rsidR="006E04F4">
        <w:rPr>
          <w:szCs w:val="22"/>
        </w:rPr>
        <w:t xml:space="preserve"> or</w:t>
      </w:r>
      <w:r w:rsidR="00E837FC">
        <w:rPr>
          <w:szCs w:val="22"/>
        </w:rPr>
        <w:t xml:space="preserve"> applying for </w:t>
      </w:r>
      <w:r w:rsidR="006E04F4">
        <w:rPr>
          <w:szCs w:val="22"/>
        </w:rPr>
        <w:t xml:space="preserve">a </w:t>
      </w:r>
      <w:r w:rsidR="00E837FC">
        <w:rPr>
          <w:szCs w:val="22"/>
        </w:rPr>
        <w:t xml:space="preserve">new one, thus ensuring that new translators awarded through these windows would not consume all available spectrum.  </w:t>
      </w:r>
      <w:r w:rsidR="009C5344">
        <w:rPr>
          <w:szCs w:val="22"/>
        </w:rPr>
        <w:t>Every</w:t>
      </w:r>
      <w:r w:rsidR="00E837FC">
        <w:rPr>
          <w:szCs w:val="22"/>
        </w:rPr>
        <w:t xml:space="preserve"> new translator</w:t>
      </w:r>
      <w:r w:rsidR="009C5344">
        <w:rPr>
          <w:szCs w:val="22"/>
        </w:rPr>
        <w:t xml:space="preserve"> wa</w:t>
      </w:r>
      <w:r w:rsidR="00E837FC">
        <w:rPr>
          <w:szCs w:val="22"/>
        </w:rPr>
        <w:t xml:space="preserve">s awarded to assist </w:t>
      </w:r>
      <w:r w:rsidR="009C5344">
        <w:rPr>
          <w:szCs w:val="22"/>
        </w:rPr>
        <w:t xml:space="preserve">an </w:t>
      </w:r>
      <w:r w:rsidR="00E837FC">
        <w:rPr>
          <w:szCs w:val="22"/>
        </w:rPr>
        <w:t>existing AM station</w:t>
      </w:r>
      <w:r w:rsidR="009C5344">
        <w:rPr>
          <w:szCs w:val="22"/>
        </w:rPr>
        <w:t>.  Because</w:t>
      </w:r>
      <w:r w:rsidR="00E837FC">
        <w:rPr>
          <w:szCs w:val="22"/>
        </w:rPr>
        <w:t xml:space="preserve"> the Commission </w:t>
      </w:r>
      <w:r w:rsidR="009C5344">
        <w:rPr>
          <w:szCs w:val="22"/>
        </w:rPr>
        <w:t xml:space="preserve">has </w:t>
      </w:r>
      <w:r w:rsidR="00E837FC">
        <w:rPr>
          <w:szCs w:val="22"/>
        </w:rPr>
        <w:t xml:space="preserve">found </w:t>
      </w:r>
      <w:r w:rsidR="009C5344">
        <w:rPr>
          <w:szCs w:val="22"/>
        </w:rPr>
        <w:t xml:space="preserve">that AM stations </w:t>
      </w:r>
      <w:r w:rsidR="00E837FC">
        <w:rPr>
          <w:szCs w:val="22"/>
        </w:rPr>
        <w:t xml:space="preserve">provide uniquely local service in many instances, the needs of local communities </w:t>
      </w:r>
      <w:r w:rsidR="00A06458">
        <w:rPr>
          <w:szCs w:val="22"/>
        </w:rPr>
        <w:t>were considered</w:t>
      </w:r>
      <w:r w:rsidR="009C5344">
        <w:rPr>
          <w:szCs w:val="22"/>
        </w:rPr>
        <w:t>,</w:t>
      </w:r>
      <w:r w:rsidR="00A06458">
        <w:rPr>
          <w:szCs w:val="22"/>
        </w:rPr>
        <w:t xml:space="preserve"> and </w:t>
      </w:r>
      <w:r w:rsidR="009C5344">
        <w:rPr>
          <w:szCs w:val="22"/>
        </w:rPr>
        <w:t>such communities will benefit</w:t>
      </w:r>
      <w:r w:rsidR="00E837FC">
        <w:rPr>
          <w:szCs w:val="22"/>
        </w:rPr>
        <w:t xml:space="preserve"> by expanding AM service into </w:t>
      </w:r>
      <w:r w:rsidR="00520795">
        <w:rPr>
          <w:szCs w:val="22"/>
        </w:rPr>
        <w:t xml:space="preserve">areas and </w:t>
      </w:r>
      <w:r w:rsidR="00E837FC">
        <w:rPr>
          <w:szCs w:val="22"/>
        </w:rPr>
        <w:t xml:space="preserve">dayparts </w:t>
      </w:r>
      <w:r w:rsidR="002E2730">
        <w:rPr>
          <w:szCs w:val="22"/>
        </w:rPr>
        <w:t xml:space="preserve">that local AM stations cannot currently </w:t>
      </w:r>
      <w:r w:rsidR="00142730">
        <w:rPr>
          <w:szCs w:val="22"/>
        </w:rPr>
        <w:t>provide</w:t>
      </w:r>
      <w:r w:rsidR="00E837FC">
        <w:rPr>
          <w:szCs w:val="22"/>
        </w:rPr>
        <w:t>, with better signal quality.  Finally, nothing in the Auction 99 or 100 procedures elevates new cross-service FM translators to higher status than LPFM stations</w:t>
      </w:r>
      <w:r w:rsidR="00B61484">
        <w:rPr>
          <w:szCs w:val="22"/>
        </w:rPr>
        <w:t>, and</w:t>
      </w:r>
      <w:r w:rsidR="00E837FC">
        <w:rPr>
          <w:szCs w:val="22"/>
        </w:rPr>
        <w:t xml:space="preserve"> </w:t>
      </w:r>
      <w:r w:rsidR="00B61484">
        <w:rPr>
          <w:szCs w:val="22"/>
        </w:rPr>
        <w:t>in fact the siting and alienability restrictions on these</w:t>
      </w:r>
      <w:r w:rsidR="00E837FC">
        <w:rPr>
          <w:szCs w:val="22"/>
        </w:rPr>
        <w:t xml:space="preserve"> new translators </w:t>
      </w:r>
      <w:r w:rsidR="00B61484">
        <w:rPr>
          <w:szCs w:val="22"/>
        </w:rPr>
        <w:t xml:space="preserve">in many cases give them less flexibility than </w:t>
      </w:r>
      <w:r w:rsidR="006E04F4">
        <w:rPr>
          <w:szCs w:val="22"/>
        </w:rPr>
        <w:t>previously authorized</w:t>
      </w:r>
      <w:r w:rsidR="00B61484">
        <w:rPr>
          <w:szCs w:val="22"/>
        </w:rPr>
        <w:t xml:space="preserve"> FM translators and LPFM stations</w:t>
      </w:r>
      <w:r w:rsidR="00E837FC">
        <w:rPr>
          <w:szCs w:val="22"/>
        </w:rPr>
        <w:t>.</w:t>
      </w:r>
    </w:p>
    <w:p w:rsidR="00F83E83" w:rsidP="00EA3CAC" w14:paraId="458EAAC7" w14:textId="77777777">
      <w:pPr>
        <w:rPr>
          <w:szCs w:val="22"/>
        </w:rPr>
      </w:pPr>
    </w:p>
    <w:p w:rsidR="00F14F18" w:rsidP="00F83E83" w14:paraId="0D3A7A59" w14:textId="31DD0221">
      <w:pPr>
        <w:ind w:firstLine="720"/>
        <w:rPr>
          <w:szCs w:val="22"/>
        </w:rPr>
      </w:pPr>
      <w:r>
        <w:rPr>
          <w:szCs w:val="22"/>
        </w:rPr>
        <w:t xml:space="preserve">Section 5 does not, by its terms, mandate that the same </w:t>
      </w:r>
      <w:r w:rsidR="00A058CB">
        <w:rPr>
          <w:szCs w:val="22"/>
        </w:rPr>
        <w:t xml:space="preserve">drastic </w:t>
      </w:r>
      <w:r>
        <w:rPr>
          <w:szCs w:val="22"/>
        </w:rPr>
        <w:t xml:space="preserve">spectrum-preservation measures adopted in Auction 83 be used in Auctions 99 and 100, just as it does not require </w:t>
      </w:r>
      <w:r w:rsidR="00A058CB">
        <w:rPr>
          <w:szCs w:val="22"/>
        </w:rPr>
        <w:t xml:space="preserve">that </w:t>
      </w:r>
      <w:r>
        <w:rPr>
          <w:szCs w:val="22"/>
        </w:rPr>
        <w:t>the same measures adopted in Auctions 99 and 100 be used in subsequent FM translator or LPFM windows.</w:t>
      </w:r>
      <w:r>
        <w:rPr>
          <w:rStyle w:val="FootnoteReference"/>
          <w:szCs w:val="22"/>
        </w:rPr>
        <w:footnoteReference w:id="38"/>
      </w:r>
      <w:r>
        <w:rPr>
          <w:szCs w:val="22"/>
        </w:rPr>
        <w:t xml:space="preserve">  The Commission must make public interest decisions for all aural services, and these decisions </w:t>
      </w:r>
      <w:r w:rsidR="007E0CB2">
        <w:rPr>
          <w:szCs w:val="22"/>
        </w:rPr>
        <w:t>always</w:t>
      </w:r>
      <w:r>
        <w:rPr>
          <w:szCs w:val="22"/>
        </w:rPr>
        <w:t xml:space="preserve"> involve a balancing of interests.  The </w:t>
      </w:r>
      <w:r w:rsidR="00362356">
        <w:rPr>
          <w:szCs w:val="22"/>
        </w:rPr>
        <w:t xml:space="preserve">prevailing interest in Auction 83 was to prevent an extraordinary number of FM translator applications from </w:t>
      </w:r>
      <w:r w:rsidR="00284D11">
        <w:rPr>
          <w:szCs w:val="22"/>
        </w:rPr>
        <w:t>absorbing</w:t>
      </w:r>
      <w:r w:rsidR="00362356">
        <w:rPr>
          <w:szCs w:val="22"/>
        </w:rPr>
        <w:t xml:space="preserve"> all available secondary service spectrum.  In Auctions 99 and </w:t>
      </w:r>
      <w:r w:rsidR="00362356">
        <w:rPr>
          <w:szCs w:val="22"/>
        </w:rPr>
        <w:t xml:space="preserve">100, the prevailing interest </w:t>
      </w:r>
      <w:r w:rsidR="002F5825">
        <w:rPr>
          <w:szCs w:val="22"/>
        </w:rPr>
        <w:t>wa</w:t>
      </w:r>
      <w:r w:rsidR="00362356">
        <w:rPr>
          <w:szCs w:val="22"/>
        </w:rPr>
        <w:t xml:space="preserve">s to enable AM stations to expand and improve the service they provide to their communities.  Were we to </w:t>
      </w:r>
      <w:r w:rsidR="00BE46EE">
        <w:rPr>
          <w:szCs w:val="22"/>
        </w:rPr>
        <w:t xml:space="preserve">impose the </w:t>
      </w:r>
      <w:r w:rsidR="006E04F4">
        <w:rPr>
          <w:szCs w:val="22"/>
        </w:rPr>
        <w:t>extreme</w:t>
      </w:r>
      <w:r w:rsidR="00BE46EE">
        <w:rPr>
          <w:szCs w:val="22"/>
        </w:rPr>
        <w:t xml:space="preserve"> market-by-market</w:t>
      </w:r>
      <w:r w:rsidR="00CF0694">
        <w:rPr>
          <w:szCs w:val="22"/>
        </w:rPr>
        <w:t xml:space="preserve"> limits used in Auction 83 that </w:t>
      </w:r>
      <w:r w:rsidR="00CF0694">
        <w:rPr>
          <w:szCs w:val="22"/>
        </w:rPr>
        <w:t>Howze</w:t>
      </w:r>
      <w:r w:rsidR="00CF0694">
        <w:rPr>
          <w:szCs w:val="22"/>
        </w:rPr>
        <w:t xml:space="preserve"> demands, we could severely dilute</w:t>
      </w:r>
      <w:r w:rsidR="002E2730">
        <w:rPr>
          <w:szCs w:val="22"/>
        </w:rPr>
        <w:t>–</w:t>
      </w:r>
      <w:r w:rsidR="00CF0694">
        <w:rPr>
          <w:szCs w:val="22"/>
        </w:rPr>
        <w:t>if not undercut completely</w:t>
      </w:r>
      <w:r w:rsidR="002E2730">
        <w:rPr>
          <w:szCs w:val="22"/>
        </w:rPr>
        <w:t>–</w:t>
      </w:r>
      <w:r w:rsidR="00CF0694">
        <w:rPr>
          <w:szCs w:val="22"/>
        </w:rPr>
        <w:t xml:space="preserve">the public interest benefits to local markets served by AM stations that the Commission sought to implement in the </w:t>
      </w:r>
      <w:r w:rsidRPr="002E2730" w:rsidR="00CF0694">
        <w:rPr>
          <w:i/>
          <w:szCs w:val="22"/>
        </w:rPr>
        <w:t>AMR First R&amp;O</w:t>
      </w:r>
      <w:r w:rsidR="00CF0694">
        <w:rPr>
          <w:szCs w:val="22"/>
        </w:rPr>
        <w:t>.</w:t>
      </w:r>
      <w:r>
        <w:rPr>
          <w:rStyle w:val="FootnoteReference"/>
          <w:szCs w:val="22"/>
        </w:rPr>
        <w:footnoteReference w:id="39"/>
      </w:r>
    </w:p>
    <w:p w:rsidR="0030187C" w:rsidP="00F83E83" w14:paraId="17746AF2" w14:textId="77777777">
      <w:pPr>
        <w:ind w:firstLine="720"/>
        <w:rPr>
          <w:szCs w:val="22"/>
        </w:rPr>
      </w:pPr>
    </w:p>
    <w:p w:rsidR="00284D11" w:rsidP="00F83E83" w14:paraId="2D01079A" w14:textId="7E65E1C8">
      <w:pPr>
        <w:ind w:firstLine="720"/>
        <w:rPr>
          <w:szCs w:val="22"/>
        </w:rPr>
      </w:pPr>
      <w:r>
        <w:rPr>
          <w:szCs w:val="22"/>
        </w:rPr>
        <w:t>We therefore</w:t>
      </w:r>
      <w:r>
        <w:rPr>
          <w:szCs w:val="22"/>
        </w:rPr>
        <w:t xml:space="preserve"> reject </w:t>
      </w:r>
      <w:r>
        <w:rPr>
          <w:szCs w:val="22"/>
        </w:rPr>
        <w:t>Howze’s</w:t>
      </w:r>
      <w:r>
        <w:rPr>
          <w:szCs w:val="22"/>
        </w:rPr>
        <w:t xml:space="preserve"> contention that </w:t>
      </w:r>
      <w:r w:rsidRPr="006E04F4" w:rsidR="006E04F4">
        <w:rPr>
          <w:szCs w:val="22"/>
        </w:rPr>
        <w:t xml:space="preserve">the procedures set up for Auction 83 </w:t>
      </w:r>
      <w:r w:rsidR="00683C77">
        <w:rPr>
          <w:szCs w:val="22"/>
        </w:rPr>
        <w:t xml:space="preserve">must </w:t>
      </w:r>
      <w:r w:rsidRPr="006E04F4" w:rsidR="006E04F4">
        <w:rPr>
          <w:szCs w:val="22"/>
        </w:rPr>
        <w:t>be utilized in all subsequent secondary service filing windows.</w:t>
      </w:r>
      <w:r w:rsidR="006E04F4">
        <w:rPr>
          <w:szCs w:val="22"/>
        </w:rPr>
        <w:t xml:space="preserve">  </w:t>
      </w:r>
      <w:r>
        <w:rPr>
          <w:szCs w:val="22"/>
        </w:rPr>
        <w:t>We find that the Commission’s procedures for Auctions 99 and 100, adopted after notice and comment, comport with Section 5 while serving the stated public interest rationale for the auction filing windows.  Accordingly, we deny the Petition.</w:t>
      </w:r>
    </w:p>
    <w:p w:rsidR="00284D11" w:rsidP="00F83E83" w14:paraId="1B8D7C3C" w14:textId="77777777">
      <w:pPr>
        <w:ind w:firstLine="720"/>
        <w:rPr>
          <w:szCs w:val="22"/>
        </w:rPr>
      </w:pPr>
    </w:p>
    <w:p w:rsidR="00284D11" w:rsidP="00F83E83" w14:paraId="1DE3C2BF" w14:textId="77777777">
      <w:pPr>
        <w:ind w:firstLine="720"/>
        <w:rPr>
          <w:szCs w:val="22"/>
        </w:rPr>
      </w:pPr>
      <w:r w:rsidRPr="00E31E22">
        <w:rPr>
          <w:i/>
          <w:szCs w:val="22"/>
        </w:rPr>
        <w:t>Capstar</w:t>
      </w:r>
      <w:r w:rsidRPr="00E31E22">
        <w:rPr>
          <w:i/>
          <w:szCs w:val="22"/>
        </w:rPr>
        <w:t xml:space="preserve"> application</w:t>
      </w:r>
      <w:r>
        <w:rPr>
          <w:szCs w:val="22"/>
        </w:rPr>
        <w:t xml:space="preserve">.  </w:t>
      </w:r>
      <w:r w:rsidRPr="00210201" w:rsidR="00E31E22">
        <w:rPr>
          <w:szCs w:val="22"/>
        </w:rPr>
        <w:t xml:space="preserve">We have examined the </w:t>
      </w:r>
      <w:r w:rsidR="00E31E22">
        <w:rPr>
          <w:szCs w:val="22"/>
        </w:rPr>
        <w:t>Capstar</w:t>
      </w:r>
      <w:r w:rsidRPr="00210201" w:rsidR="00E31E22">
        <w:rPr>
          <w:szCs w:val="22"/>
        </w:rPr>
        <w:t xml:space="preserve"> </w:t>
      </w:r>
      <w:r w:rsidRPr="00210201" w:rsidR="00E31E22">
        <w:rPr>
          <w:szCs w:val="22"/>
        </w:rPr>
        <w:t>Application, and</w:t>
      </w:r>
      <w:r w:rsidRPr="00210201" w:rsidR="00E31E22">
        <w:rPr>
          <w:szCs w:val="22"/>
        </w:rPr>
        <w:t xml:space="preserve"> are satisfied that </w:t>
      </w:r>
      <w:r w:rsidR="00E31E22">
        <w:rPr>
          <w:szCs w:val="22"/>
        </w:rPr>
        <w:t>Capstar</w:t>
      </w:r>
      <w:r w:rsidRPr="00210201" w:rsidR="00E31E22">
        <w:rPr>
          <w:szCs w:val="22"/>
        </w:rPr>
        <w:t xml:space="preserve"> is fully qualified to be a Commission licensee, and that grant of the </w:t>
      </w:r>
      <w:r w:rsidR="00E31E22">
        <w:rPr>
          <w:szCs w:val="22"/>
        </w:rPr>
        <w:t>Capstar</w:t>
      </w:r>
      <w:r w:rsidRPr="00210201" w:rsidR="00E31E22">
        <w:rPr>
          <w:szCs w:val="22"/>
        </w:rPr>
        <w:t xml:space="preserve"> Application is in the public interest</w:t>
      </w:r>
      <w:r w:rsidR="00456BDC">
        <w:rPr>
          <w:szCs w:val="22"/>
        </w:rPr>
        <w:t>, convenience, and necessity</w:t>
      </w:r>
      <w:r w:rsidRPr="00210201" w:rsidR="00E31E22">
        <w:rPr>
          <w:szCs w:val="22"/>
        </w:rPr>
        <w:t xml:space="preserve">.  </w:t>
      </w:r>
    </w:p>
    <w:p w:rsidR="00E31E22" w:rsidP="00F83E83" w14:paraId="45B2CEA9" w14:textId="77777777">
      <w:pPr>
        <w:ind w:firstLine="720"/>
        <w:rPr>
          <w:szCs w:val="22"/>
        </w:rPr>
      </w:pPr>
    </w:p>
    <w:p w:rsidR="00E31E22" w:rsidRPr="00726350" w:rsidP="00E31E22" w14:paraId="77AF08DA" w14:textId="77777777">
      <w:pPr>
        <w:ind w:firstLine="720"/>
        <w:rPr>
          <w:szCs w:val="22"/>
        </w:rPr>
      </w:pPr>
      <w:r w:rsidRPr="002064BF">
        <w:rPr>
          <w:b/>
          <w:szCs w:val="22"/>
        </w:rPr>
        <w:t>Conclusion.</w:t>
      </w:r>
      <w:r>
        <w:rPr>
          <w:szCs w:val="22"/>
        </w:rPr>
        <w:t xml:space="preserve">  For the foregoing reasons, the Petition to Deny filed by Justin </w:t>
      </w:r>
      <w:r>
        <w:rPr>
          <w:szCs w:val="22"/>
        </w:rPr>
        <w:t>Howze</w:t>
      </w:r>
      <w:r>
        <w:rPr>
          <w:szCs w:val="22"/>
        </w:rPr>
        <w:t xml:space="preserve"> IS DENIED, and </w:t>
      </w:r>
      <w:r w:rsidR="00597FC7">
        <w:rPr>
          <w:szCs w:val="22"/>
        </w:rPr>
        <w:t xml:space="preserve">the Application of </w:t>
      </w:r>
      <w:r w:rsidR="00597FC7">
        <w:rPr>
          <w:szCs w:val="22"/>
        </w:rPr>
        <w:t>Capstar</w:t>
      </w:r>
      <w:r w:rsidR="00597FC7">
        <w:rPr>
          <w:szCs w:val="22"/>
        </w:rPr>
        <w:t xml:space="preserve"> TX, LLC, for a new FM translator station at Modesto, California, File No. BNPFT-20181102AAJ, IS GRANTED</w:t>
      </w:r>
      <w:r>
        <w:rPr>
          <w:szCs w:val="22"/>
        </w:rPr>
        <w:t>.</w:t>
      </w:r>
    </w:p>
    <w:p w:rsidR="00E31E22" w:rsidP="00E31E22" w14:paraId="10F37CC6" w14:textId="77777777">
      <w:pPr>
        <w:pStyle w:val="BodyText"/>
        <w:ind w:left="5040"/>
        <w:rPr>
          <w:szCs w:val="22"/>
        </w:rPr>
      </w:pPr>
    </w:p>
    <w:p w:rsidR="00E31E22" w:rsidRPr="00DE5E79" w:rsidP="00E31E22" w14:paraId="680668DB" w14:textId="77777777">
      <w:pPr>
        <w:pStyle w:val="BodyText"/>
        <w:ind w:left="5040"/>
        <w:rPr>
          <w:szCs w:val="22"/>
        </w:rPr>
      </w:pPr>
      <w:r w:rsidRPr="00DE5E79">
        <w:rPr>
          <w:szCs w:val="22"/>
        </w:rPr>
        <w:t>Sincerely,</w:t>
      </w:r>
    </w:p>
    <w:p w:rsidR="00E31E22" w:rsidRPr="00DE5E79" w:rsidP="00E31E22" w14:paraId="58F18AD9" w14:textId="77777777">
      <w:pPr>
        <w:pStyle w:val="BodyText"/>
        <w:rPr>
          <w:szCs w:val="22"/>
        </w:rPr>
      </w:pPr>
    </w:p>
    <w:p w:rsidR="00E31E22" w:rsidRPr="00DE5E79" w:rsidP="00E31E22" w14:paraId="4568993F" w14:textId="77777777">
      <w:pPr>
        <w:pStyle w:val="BodyText"/>
        <w:rPr>
          <w:szCs w:val="22"/>
        </w:rPr>
      </w:pPr>
    </w:p>
    <w:p w:rsidR="00E31E22" w:rsidRPr="00DE5E79" w:rsidP="00E31E22" w14:paraId="58CBEDBC" w14:textId="77777777">
      <w:pPr>
        <w:pStyle w:val="BodyText"/>
        <w:rPr>
          <w:szCs w:val="22"/>
        </w:rPr>
      </w:pPr>
    </w:p>
    <w:p w:rsidR="00E31E22" w:rsidRPr="00DE5E79" w:rsidP="00E31E22" w14:paraId="226C3C0F" w14:textId="77777777">
      <w:pPr>
        <w:pStyle w:val="BodyText"/>
        <w:rPr>
          <w:szCs w:val="22"/>
        </w:rPr>
      </w:pPr>
      <w:r w:rsidRPr="00DE5E79">
        <w:rPr>
          <w:szCs w:val="22"/>
        </w:rPr>
        <w:tab/>
      </w:r>
      <w:r w:rsidRPr="00DE5E79">
        <w:rPr>
          <w:szCs w:val="22"/>
        </w:rPr>
        <w:tab/>
      </w:r>
      <w:r w:rsidRPr="00DE5E79">
        <w:rPr>
          <w:szCs w:val="22"/>
        </w:rPr>
        <w:tab/>
      </w:r>
      <w:r w:rsidRPr="00DE5E79">
        <w:rPr>
          <w:szCs w:val="22"/>
        </w:rPr>
        <w:tab/>
      </w:r>
      <w:r w:rsidRPr="00DE5E79">
        <w:rPr>
          <w:szCs w:val="22"/>
        </w:rPr>
        <w:tab/>
      </w:r>
      <w:r w:rsidRPr="00DE5E79">
        <w:rPr>
          <w:szCs w:val="22"/>
        </w:rPr>
        <w:tab/>
      </w:r>
      <w:r w:rsidRPr="00DE5E79">
        <w:rPr>
          <w:szCs w:val="22"/>
        </w:rPr>
        <w:tab/>
      </w:r>
      <w:r>
        <w:rPr>
          <w:szCs w:val="22"/>
        </w:rPr>
        <w:t>Albert Shuldiner</w:t>
      </w:r>
    </w:p>
    <w:p w:rsidR="00E31E22" w:rsidRPr="00DE5E79" w:rsidP="00E31E22" w14:paraId="2D48E178" w14:textId="77777777">
      <w:pPr>
        <w:pStyle w:val="BodyText"/>
        <w:rPr>
          <w:szCs w:val="22"/>
        </w:rPr>
      </w:pPr>
      <w:r w:rsidRPr="00DE5E79">
        <w:rPr>
          <w:szCs w:val="22"/>
        </w:rPr>
        <w:tab/>
      </w:r>
      <w:r w:rsidRPr="00DE5E79">
        <w:rPr>
          <w:szCs w:val="22"/>
        </w:rPr>
        <w:tab/>
      </w:r>
      <w:r w:rsidRPr="00DE5E79">
        <w:rPr>
          <w:szCs w:val="22"/>
        </w:rPr>
        <w:tab/>
      </w:r>
      <w:r w:rsidRPr="00DE5E79">
        <w:rPr>
          <w:szCs w:val="22"/>
        </w:rPr>
        <w:tab/>
      </w:r>
      <w:r w:rsidRPr="00DE5E79">
        <w:rPr>
          <w:szCs w:val="22"/>
        </w:rPr>
        <w:tab/>
      </w:r>
      <w:r w:rsidRPr="00DE5E79">
        <w:rPr>
          <w:szCs w:val="22"/>
        </w:rPr>
        <w:tab/>
      </w:r>
      <w:r w:rsidRPr="00DE5E79">
        <w:rPr>
          <w:szCs w:val="22"/>
        </w:rPr>
        <w:tab/>
        <w:t>Chief, Audio Division</w:t>
      </w:r>
    </w:p>
    <w:p w:rsidR="00E31E22" w:rsidRPr="00EA3CAC" w:rsidP="00E31E22" w14:paraId="5FFE8026" w14:textId="77777777">
      <w:pPr>
        <w:ind w:firstLine="720"/>
        <w:rPr>
          <w:szCs w:val="22"/>
        </w:rPr>
      </w:pPr>
      <w:r w:rsidRPr="00DE5E79">
        <w:rPr>
          <w:szCs w:val="22"/>
        </w:rPr>
        <w:tab/>
      </w:r>
      <w:r w:rsidRPr="00DE5E79">
        <w:rPr>
          <w:szCs w:val="22"/>
        </w:rPr>
        <w:tab/>
      </w:r>
      <w:r w:rsidRPr="00DE5E79">
        <w:rPr>
          <w:szCs w:val="22"/>
        </w:rPr>
        <w:tab/>
      </w:r>
      <w:r w:rsidR="00597FC7">
        <w:rPr>
          <w:szCs w:val="22"/>
        </w:rPr>
        <w:tab/>
      </w:r>
      <w:r w:rsidR="00597FC7">
        <w:rPr>
          <w:szCs w:val="22"/>
        </w:rPr>
        <w:tab/>
      </w:r>
      <w:r w:rsidR="00597FC7">
        <w:rPr>
          <w:szCs w:val="22"/>
        </w:rPr>
        <w:tab/>
      </w:r>
      <w:r w:rsidRPr="00DE5E79">
        <w:rPr>
          <w:szCs w:val="22"/>
        </w:rPr>
        <w:t>Media Bureau</w:t>
      </w:r>
    </w:p>
    <w:p w:rsidR="00A82F21" w:rsidRPr="00EA3CAC" w:rsidP="004349E1" w14:paraId="41871D8D" w14:textId="77777777">
      <w:pPr>
        <w:ind w:firstLine="720"/>
        <w:rPr>
          <w:szCs w:val="22"/>
        </w:rPr>
      </w:pPr>
    </w:p>
    <w:sectPr w:rsidSect="00BF6E58">
      <w:headerReference w:type="default" r:id="rId5"/>
      <w:footerReference w:type="even" r:id="rId6"/>
      <w:footerReference w:type="default" r:id="rId7"/>
      <w:headerReference w:type="first" r:id="rId8"/>
      <w:endnotePr>
        <w:numFmt w:val="decimal"/>
      </w:endnotePr>
      <w:pgSz w:w="12240" w:h="15840" w:code="1"/>
      <w:pgMar w:top="1440" w:right="1440" w:bottom="1440" w:left="1440" w:header="720" w:footer="518"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F6E58" w:rsidP="00BF6E58" w14:paraId="6DF46F48"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BF6E58" w14:paraId="555E17A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F6E58" w:rsidP="00BF6E58" w14:paraId="4F25F64A"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87503">
      <w:rPr>
        <w:rStyle w:val="PageNumber"/>
        <w:noProof/>
      </w:rPr>
      <w:t>6</w:t>
    </w:r>
    <w:r>
      <w:rPr>
        <w:rStyle w:val="PageNumber"/>
      </w:rPr>
      <w:fldChar w:fldCharType="end"/>
    </w:r>
  </w:p>
  <w:p w:rsidR="00BF6E58" w14:paraId="7E6648E0" w14:textId="77777777">
    <w:pPr>
      <w:spacing w:before="140" w:line="100" w:lineRule="exact"/>
      <w:rPr>
        <w:sz w:val="10"/>
      </w:rPr>
    </w:pPr>
  </w:p>
  <w:p w:rsidR="00BF6E58" w14:paraId="3506AAF8" w14:textId="77777777">
    <w:pPr>
      <w:suppressAutoHyphens/>
      <w:spacing w:line="227" w:lineRule="auto"/>
      <w:jc w:val="both"/>
    </w:pPr>
  </w:p>
  <w:p w:rsidR="00BF6E58" w14:paraId="5BD9ADA8"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E2FA8" w:rsidP="00DE5E79" w14:paraId="648D4498" w14:textId="77777777">
      <w:r>
        <w:separator/>
      </w:r>
    </w:p>
  </w:footnote>
  <w:footnote w:type="continuationSeparator" w:id="1">
    <w:p w:rsidR="00AE2FA8" w:rsidP="00DE5E79" w14:paraId="3C91A046" w14:textId="77777777">
      <w:r>
        <w:continuationSeparator/>
      </w:r>
    </w:p>
  </w:footnote>
  <w:footnote w:id="2">
    <w:p w:rsidR="00613D9D" w14:paraId="5B05C485" w14:textId="77777777">
      <w:pPr>
        <w:pStyle w:val="FootnoteText"/>
      </w:pPr>
      <w:r>
        <w:rPr>
          <w:rStyle w:val="FootnoteReference"/>
        </w:rPr>
        <w:footnoteRef/>
      </w:r>
      <w:r>
        <w:t xml:space="preserve"> File No. BNPFT-20181102AAJ (Application).</w:t>
      </w:r>
    </w:p>
  </w:footnote>
  <w:footnote w:id="3">
    <w:p w:rsidR="00F359D6" w14:paraId="0751036D" w14:textId="77777777">
      <w:pPr>
        <w:pStyle w:val="FootnoteText"/>
      </w:pPr>
      <w:r>
        <w:rPr>
          <w:rStyle w:val="FootnoteReference"/>
        </w:rPr>
        <w:footnoteRef/>
      </w:r>
      <w:r>
        <w:t xml:space="preserve"> </w:t>
      </w:r>
      <w:r w:rsidRPr="00AA7677">
        <w:rPr>
          <w:i/>
        </w:rPr>
        <w:t>See</w:t>
      </w:r>
      <w:r>
        <w:t xml:space="preserve"> </w:t>
      </w:r>
      <w:r w:rsidRPr="00D0454F">
        <w:rPr>
          <w:i/>
        </w:rPr>
        <w:t>Revitalization of the AM Radio Service</w:t>
      </w:r>
      <w:r w:rsidRPr="00D0454F">
        <w:t>, First Report and Order, Further Notice of Proposed Rule Making, and Notic</w:t>
      </w:r>
      <w:r>
        <w:t xml:space="preserve">e of Inquiry, 30 FCC </w:t>
      </w:r>
      <w:r>
        <w:t>Rcd</w:t>
      </w:r>
      <w:r>
        <w:t xml:space="preserve"> 12145, 12152-54, paras. 15-17 </w:t>
      </w:r>
      <w:r w:rsidRPr="00D0454F">
        <w:t>(2015)</w:t>
      </w:r>
      <w:r>
        <w:t xml:space="preserve"> (</w:t>
      </w:r>
      <w:r w:rsidRPr="008636A9">
        <w:rPr>
          <w:i/>
        </w:rPr>
        <w:t>AMR First R&amp;O</w:t>
      </w:r>
      <w:r>
        <w:t>) (announcing two 2016 cross-service FM translator modification filing windows, to be followed by two 2017 auction filing windows for new cross-service FM translators, available to AM licensees and permittees that did not participate in 2016 modification windows)</w:t>
      </w:r>
      <w:r w:rsidRPr="00D0454F">
        <w:t>.</w:t>
      </w:r>
    </w:p>
  </w:footnote>
  <w:footnote w:id="4">
    <w:p w:rsidR="00E36BA7" w14:paraId="49FD2FA8" w14:textId="77777777">
      <w:pPr>
        <w:pStyle w:val="FootnoteText"/>
      </w:pPr>
      <w:r>
        <w:rPr>
          <w:rStyle w:val="FootnoteReference"/>
        </w:rPr>
        <w:footnoteRef/>
      </w:r>
      <w:r>
        <w:t xml:space="preserve"> Letter to Mr. Robert Gates, Audio Division, Media Bureau, from Andrew S. </w:t>
      </w:r>
      <w:r>
        <w:t>Kersting</w:t>
      </w:r>
      <w:r>
        <w:t>, Regulatory Counsel, Cumulus Licensing, LLC (May 31, 2018).</w:t>
      </w:r>
    </w:p>
  </w:footnote>
  <w:footnote w:id="5">
    <w:p w:rsidR="00B43388" w14:paraId="111A2FAD" w14:textId="77777777">
      <w:pPr>
        <w:pStyle w:val="FootnoteText"/>
      </w:pPr>
      <w:r>
        <w:rPr>
          <w:rStyle w:val="FootnoteReference"/>
        </w:rPr>
        <w:footnoteRef/>
      </w:r>
      <w:r>
        <w:t xml:space="preserve"> </w:t>
      </w:r>
      <w:r w:rsidRPr="00B43388">
        <w:rPr>
          <w:i/>
        </w:rPr>
        <w:t>Broadcast Applications</w:t>
      </w:r>
      <w:r>
        <w:t>, Public Notice, Report No. 29358 (MB Nov. 7, 2018).</w:t>
      </w:r>
    </w:p>
  </w:footnote>
  <w:footnote w:id="6">
    <w:p w:rsidR="002644F9" w14:paraId="34A3CC0D" w14:textId="77777777">
      <w:pPr>
        <w:pStyle w:val="FootnoteText"/>
      </w:pPr>
      <w:r>
        <w:rPr>
          <w:rStyle w:val="FootnoteReference"/>
        </w:rPr>
        <w:footnoteRef/>
      </w:r>
      <w:r>
        <w:t xml:space="preserve"> </w:t>
      </w:r>
      <w:r w:rsidRPr="002644F9">
        <w:rPr>
          <w:i/>
        </w:rPr>
        <w:t>See</w:t>
      </w:r>
      <w:r>
        <w:t xml:space="preserve"> 47 CFR § 73.5006(b).</w:t>
      </w:r>
    </w:p>
  </w:footnote>
  <w:footnote w:id="7">
    <w:p w:rsidR="002F3C06" w14:paraId="0AD7DE26" w14:textId="77777777">
      <w:pPr>
        <w:pStyle w:val="FootnoteText"/>
      </w:pPr>
      <w:r>
        <w:rPr>
          <w:rStyle w:val="FootnoteReference"/>
        </w:rPr>
        <w:footnoteRef/>
      </w:r>
      <w:r>
        <w:t xml:space="preserve"> </w:t>
      </w:r>
      <w:r>
        <w:t>Capstar</w:t>
      </w:r>
      <w:r>
        <w:t xml:space="preserve"> amended the Application on June 2</w:t>
      </w:r>
      <w:r w:rsidR="00141903">
        <w:t>6</w:t>
      </w:r>
      <w:r>
        <w:t>, 2019</w:t>
      </w:r>
      <w:r w:rsidR="00141903">
        <w:t xml:space="preserve">, to reflect the reorganized </w:t>
      </w:r>
      <w:r w:rsidR="00141903">
        <w:t>Capstar</w:t>
      </w:r>
      <w:r w:rsidR="00141903">
        <w:t xml:space="preserve"> TX, LLC, that emerged from bankruptcy proceedings.</w:t>
      </w:r>
    </w:p>
  </w:footnote>
  <w:footnote w:id="8">
    <w:p w:rsidR="001C52A4" w:rsidP="001C52A4" w14:paraId="16721FF7" w14:textId="77777777">
      <w:pPr>
        <w:pStyle w:val="FootnoteText"/>
      </w:pPr>
      <w:r>
        <w:rPr>
          <w:rStyle w:val="FootnoteReference"/>
        </w:rPr>
        <w:footnoteRef/>
      </w:r>
      <w:r>
        <w:t xml:space="preserve"> </w:t>
      </w:r>
      <w:r w:rsidRPr="00D0454F">
        <w:t>Pub. L. 111-371, 124 Stat. 4072 (2011) (LCRA).</w:t>
      </w:r>
    </w:p>
  </w:footnote>
  <w:footnote w:id="9">
    <w:p w:rsidR="00D0212B" w14:paraId="3340F723" w14:textId="77777777">
      <w:pPr>
        <w:pStyle w:val="FootnoteText"/>
      </w:pPr>
      <w:r>
        <w:rPr>
          <w:rStyle w:val="FootnoteReference"/>
        </w:rPr>
        <w:footnoteRef/>
      </w:r>
      <w:r>
        <w:t xml:space="preserve"> </w:t>
      </w:r>
      <w:r w:rsidR="00D1005F">
        <w:t>Petition at 4.</w:t>
      </w:r>
    </w:p>
  </w:footnote>
  <w:footnote w:id="10">
    <w:p w:rsidR="00D1005F" w14:paraId="5E55BA3A" w14:textId="77777777">
      <w:pPr>
        <w:pStyle w:val="FootnoteText"/>
      </w:pPr>
      <w:r>
        <w:rPr>
          <w:rStyle w:val="FootnoteReference"/>
        </w:rPr>
        <w:footnoteRef/>
      </w:r>
      <w:r>
        <w:t xml:space="preserve"> </w:t>
      </w:r>
      <w:r w:rsidRPr="00D1005F">
        <w:rPr>
          <w:i/>
        </w:rPr>
        <w:t>Id</w:t>
      </w:r>
      <w:r>
        <w:t>. at 4-5.</w:t>
      </w:r>
    </w:p>
  </w:footnote>
  <w:footnote w:id="11">
    <w:p w:rsidR="006179A4" w14:paraId="19D62BF9" w14:textId="77777777">
      <w:pPr>
        <w:pStyle w:val="FootnoteText"/>
      </w:pPr>
      <w:r>
        <w:rPr>
          <w:rStyle w:val="FootnoteReference"/>
        </w:rPr>
        <w:footnoteRef/>
      </w:r>
      <w:r>
        <w:t xml:space="preserve"> Opposition at </w:t>
      </w:r>
      <w:r w:rsidR="00053B45">
        <w:t>3-4.</w:t>
      </w:r>
    </w:p>
  </w:footnote>
  <w:footnote w:id="12">
    <w:p w:rsidR="00875502" w14:paraId="4861AE52" w14:textId="77777777">
      <w:pPr>
        <w:pStyle w:val="FootnoteText"/>
      </w:pPr>
      <w:r>
        <w:rPr>
          <w:rStyle w:val="FootnoteReference"/>
        </w:rPr>
        <w:footnoteRef/>
      </w:r>
      <w:r>
        <w:t xml:space="preserve"> Opposition at 4-5, citing </w:t>
      </w:r>
      <w:r w:rsidRPr="00054962" w:rsidR="00545175">
        <w:rPr>
          <w:i/>
        </w:rPr>
        <w:t>Center for International Media Action, Common Frequency, Inc., and Prometheus Radio Project</w:t>
      </w:r>
      <w:r w:rsidR="00545175">
        <w:t xml:space="preserve">, </w:t>
      </w:r>
      <w:r w:rsidR="00054962">
        <w:t xml:space="preserve">33 FCC </w:t>
      </w:r>
      <w:r w:rsidR="00054962">
        <w:t>Rcd</w:t>
      </w:r>
      <w:r w:rsidR="00054962">
        <w:t xml:space="preserve"> 5394 (MB 2018) (</w:t>
      </w:r>
      <w:r w:rsidRPr="00054962" w:rsidR="00054962">
        <w:rPr>
          <w:i/>
        </w:rPr>
        <w:t>June Translator Decision</w:t>
      </w:r>
      <w:r w:rsidR="00054962">
        <w:t>).</w:t>
      </w:r>
    </w:p>
  </w:footnote>
  <w:footnote w:id="13">
    <w:p w:rsidR="00742C80" w14:paraId="666968D6" w14:textId="77777777">
      <w:pPr>
        <w:pStyle w:val="FootnoteText"/>
      </w:pPr>
      <w:r>
        <w:rPr>
          <w:rStyle w:val="FootnoteReference"/>
        </w:rPr>
        <w:footnoteRef/>
      </w:r>
      <w:r>
        <w:t xml:space="preserve"> Opposition at 4-5.</w:t>
      </w:r>
    </w:p>
  </w:footnote>
  <w:footnote w:id="14">
    <w:p w:rsidR="00296729" w14:paraId="74E7CCE7" w14:textId="77777777">
      <w:pPr>
        <w:pStyle w:val="FootnoteText"/>
      </w:pPr>
      <w:r>
        <w:rPr>
          <w:rStyle w:val="FootnoteReference"/>
        </w:rPr>
        <w:footnoteRef/>
      </w:r>
      <w:r>
        <w:t xml:space="preserve"> </w:t>
      </w:r>
      <w:r w:rsidRPr="00296729">
        <w:rPr>
          <w:i/>
        </w:rPr>
        <w:t>Id</w:t>
      </w:r>
      <w:r>
        <w:t>. at 6-7.</w:t>
      </w:r>
    </w:p>
  </w:footnote>
  <w:footnote w:id="15">
    <w:p w:rsidR="002D6CD7" w14:paraId="7BACC116" w14:textId="77777777">
      <w:pPr>
        <w:pStyle w:val="FootnoteText"/>
      </w:pPr>
      <w:r>
        <w:rPr>
          <w:rStyle w:val="FootnoteReference"/>
        </w:rPr>
        <w:footnoteRef/>
      </w:r>
      <w:r>
        <w:t xml:space="preserve"> Reply at 2-6.</w:t>
      </w:r>
    </w:p>
  </w:footnote>
  <w:footnote w:id="16">
    <w:p w:rsidR="007D137F" w14:paraId="2D785CE8" w14:textId="77777777">
      <w:pPr>
        <w:pStyle w:val="FootnoteText"/>
      </w:pPr>
      <w:r>
        <w:rPr>
          <w:rStyle w:val="FootnoteReference"/>
        </w:rPr>
        <w:footnoteRef/>
      </w:r>
      <w:r>
        <w:t xml:space="preserve"> </w:t>
      </w:r>
      <w:r w:rsidRPr="001102D5" w:rsidR="007805CC">
        <w:rPr>
          <w:i/>
        </w:rPr>
        <w:t>See</w:t>
      </w:r>
      <w:r w:rsidR="007805CC">
        <w:t xml:space="preserve">, </w:t>
      </w:r>
      <w:r w:rsidRPr="001102D5" w:rsidR="007805CC">
        <w:rPr>
          <w:i/>
        </w:rPr>
        <w:t>e.g.</w:t>
      </w:r>
      <w:r w:rsidR="007805CC">
        <w:t xml:space="preserve">, </w:t>
      </w:r>
      <w:r w:rsidRPr="001102D5" w:rsidR="007805CC">
        <w:rPr>
          <w:i/>
        </w:rPr>
        <w:t>Czyzewski</w:t>
      </w:r>
      <w:r w:rsidRPr="001102D5" w:rsidR="007805CC">
        <w:rPr>
          <w:i/>
        </w:rPr>
        <w:t xml:space="preserve"> v. </w:t>
      </w:r>
      <w:r w:rsidRPr="001102D5" w:rsidR="007805CC">
        <w:rPr>
          <w:i/>
        </w:rPr>
        <w:t>Jevic</w:t>
      </w:r>
      <w:r w:rsidRPr="001102D5" w:rsidR="007805CC">
        <w:rPr>
          <w:i/>
        </w:rPr>
        <w:t xml:space="preserve"> Holding Corp.</w:t>
      </w:r>
      <w:r w:rsidR="007805CC">
        <w:t>,</w:t>
      </w:r>
      <w:r w:rsidR="001102D5">
        <w:t xml:space="preserve"> 137 </w:t>
      </w:r>
      <w:r w:rsidR="001102D5">
        <w:t>S.Ct</w:t>
      </w:r>
      <w:r w:rsidR="001102D5">
        <w:t>. 973, 978, 197 L.Ed.2d 398 (2017) (citing 11 U.S.C. §§ 363(c)(1), 1108).</w:t>
      </w:r>
    </w:p>
  </w:footnote>
  <w:footnote w:id="17">
    <w:p w:rsidR="00074596" w14:paraId="7D910A1E" w14:textId="73B1DC4C">
      <w:pPr>
        <w:pStyle w:val="FootnoteText"/>
      </w:pPr>
      <w:r>
        <w:rPr>
          <w:rStyle w:val="FootnoteReference"/>
        </w:rPr>
        <w:footnoteRef/>
      </w:r>
      <w:r>
        <w:t xml:space="preserve"> File No. BNPFT-20180130AEG.  </w:t>
      </w:r>
      <w:r w:rsidRPr="00074596">
        <w:rPr>
          <w:i/>
        </w:rPr>
        <w:t>See</w:t>
      </w:r>
      <w:r>
        <w:t xml:space="preserve"> Opposition at 5-6 and n.12.</w:t>
      </w:r>
      <w:r w:rsidR="00DA5EE3">
        <w:t xml:space="preserve">  Additionally, </w:t>
      </w:r>
      <w:r w:rsidR="00DA5EE3">
        <w:t>Capstar</w:t>
      </w:r>
      <w:r w:rsidR="00DA5EE3">
        <w:t xml:space="preserve"> has provided evidence to show that it has </w:t>
      </w:r>
      <w:r w:rsidR="00DA5EE3">
        <w:t>sufficient</w:t>
      </w:r>
      <w:r w:rsidR="00DA5EE3">
        <w:t xml:space="preserve"> funds on hand to construct the translator applied for.  Opposition, </w:t>
      </w:r>
      <w:r w:rsidR="00013F0D">
        <w:t>Attachment A.</w:t>
      </w:r>
      <w:r w:rsidR="00CD3A46">
        <w:t xml:space="preserve"> </w:t>
      </w:r>
    </w:p>
  </w:footnote>
  <w:footnote w:id="18">
    <w:p w:rsidR="008E6079" w14:paraId="51E9F9AC" w14:textId="23EA68B6">
      <w:pPr>
        <w:pStyle w:val="FootnoteText"/>
      </w:pPr>
      <w:r>
        <w:rPr>
          <w:rStyle w:val="FootnoteReference"/>
        </w:rPr>
        <w:footnoteRef/>
      </w:r>
      <w:r>
        <w:t xml:space="preserve"> </w:t>
      </w:r>
      <w:r w:rsidRPr="008E6079">
        <w:rPr>
          <w:i/>
        </w:rPr>
        <w:t>See supra</w:t>
      </w:r>
      <w:r>
        <w:t xml:space="preserve"> note 6.</w:t>
      </w:r>
    </w:p>
  </w:footnote>
  <w:footnote w:id="19">
    <w:p w:rsidR="00295ED1" w14:paraId="403E18EF" w14:textId="77777777">
      <w:pPr>
        <w:pStyle w:val="FootnoteText"/>
      </w:pPr>
      <w:r>
        <w:rPr>
          <w:rStyle w:val="FootnoteReference"/>
        </w:rPr>
        <w:footnoteRef/>
      </w:r>
      <w:r>
        <w:t xml:space="preserve"> </w:t>
      </w:r>
      <w:r w:rsidRPr="006E6952">
        <w:rPr>
          <w:i/>
        </w:rPr>
        <w:t>Functional Music, Inc. v. FCC</w:t>
      </w:r>
      <w:r>
        <w:t>, 274 F.2d 543</w:t>
      </w:r>
      <w:r w:rsidR="006E6952">
        <w:t>, 546-47</w:t>
      </w:r>
      <w:r>
        <w:t xml:space="preserve"> (D.C. Cir. </w:t>
      </w:r>
      <w:r w:rsidR="006E6952">
        <w:t xml:space="preserve">1958), </w:t>
      </w:r>
      <w:r w:rsidRPr="006E6952" w:rsidR="006E6952">
        <w:rPr>
          <w:i/>
        </w:rPr>
        <w:t>pet</w:t>
      </w:r>
      <w:r w:rsidR="00F86E02">
        <w:rPr>
          <w:i/>
        </w:rPr>
        <w:t>.</w:t>
      </w:r>
      <w:r w:rsidRPr="006E6952" w:rsidR="006E6952">
        <w:rPr>
          <w:i/>
        </w:rPr>
        <w:t xml:space="preserve"> for reh</w:t>
      </w:r>
      <w:r w:rsidR="00F86E02">
        <w:rPr>
          <w:i/>
        </w:rPr>
        <w:t>’</w:t>
      </w:r>
      <w:r w:rsidRPr="006E6952" w:rsidR="006E6952">
        <w:rPr>
          <w:i/>
        </w:rPr>
        <w:t>g en banc denied</w:t>
      </w:r>
      <w:r w:rsidR="006E6952">
        <w:t xml:space="preserve"> (Jan. 15, 1959), </w:t>
      </w:r>
      <w:r w:rsidRPr="006E6952" w:rsidR="006E6952">
        <w:rPr>
          <w:i/>
        </w:rPr>
        <w:t>cert. denied</w:t>
      </w:r>
      <w:r w:rsidR="00F86E02">
        <w:t>,</w:t>
      </w:r>
      <w:r w:rsidR="006E6952">
        <w:t xml:space="preserve"> 80 </w:t>
      </w:r>
      <w:r w:rsidR="006E6952">
        <w:t>S.Ct</w:t>
      </w:r>
      <w:r w:rsidR="006E6952">
        <w:t>. 50 (1959).</w:t>
      </w:r>
    </w:p>
  </w:footnote>
  <w:footnote w:id="20">
    <w:p w:rsidR="006E6952" w14:paraId="294F625E" w14:textId="77777777">
      <w:pPr>
        <w:pStyle w:val="FootnoteText"/>
      </w:pPr>
      <w:r>
        <w:rPr>
          <w:rStyle w:val="FootnoteReference"/>
        </w:rPr>
        <w:footnoteRef/>
      </w:r>
      <w:r>
        <w:t xml:space="preserve"> Petition at 1 and Appx B.</w:t>
      </w:r>
    </w:p>
  </w:footnote>
  <w:footnote w:id="21">
    <w:p w:rsidR="002D2448" w14:paraId="657D65F2" w14:textId="20B62E15">
      <w:pPr>
        <w:pStyle w:val="FootnoteText"/>
      </w:pPr>
      <w:r>
        <w:rPr>
          <w:rStyle w:val="FootnoteReference"/>
        </w:rPr>
        <w:footnoteRef/>
      </w:r>
      <w:r>
        <w:t xml:space="preserve"> </w:t>
      </w:r>
      <w:r w:rsidRPr="00C77BDF">
        <w:rPr>
          <w:i/>
        </w:rPr>
        <w:t>June Translator Decision</w:t>
      </w:r>
      <w:r>
        <w:t xml:space="preserve">, 33 FCC </w:t>
      </w:r>
      <w:r>
        <w:t>Rcd</w:t>
      </w:r>
      <w:r>
        <w:t xml:space="preserve"> at 5396, citing </w:t>
      </w:r>
      <w:r w:rsidRPr="005F6A7C" w:rsidR="00802CF9">
        <w:rPr>
          <w:i/>
          <w:shd w:val="clear" w:color="auto" w:fill="FFFFFF"/>
        </w:rPr>
        <w:t>Media Bureau Announces January 10 - January 25, 2013 Filing Window for Auction 83 FM Translator Application Selections and Caps Showings</w:t>
      </w:r>
      <w:r w:rsidR="00802CF9">
        <w:rPr>
          <w:shd w:val="clear" w:color="auto" w:fill="FFFFFF"/>
        </w:rPr>
        <w:t xml:space="preserve">, Public Notice, 27 FCC </w:t>
      </w:r>
      <w:r w:rsidR="00802CF9">
        <w:rPr>
          <w:shd w:val="clear" w:color="auto" w:fill="FFFFFF"/>
        </w:rPr>
        <w:t>Rcd</w:t>
      </w:r>
      <w:r w:rsidR="00802CF9">
        <w:rPr>
          <w:shd w:val="clear" w:color="auto" w:fill="FFFFFF"/>
        </w:rPr>
        <w:t xml:space="preserve"> 15961 (MB 2012)</w:t>
      </w:r>
      <w:r w:rsidR="00192A9D">
        <w:rPr>
          <w:shd w:val="clear" w:color="auto" w:fill="FFFFFF"/>
        </w:rPr>
        <w:t xml:space="preserve"> (</w:t>
      </w:r>
      <w:r w:rsidRPr="00540375" w:rsidR="00192A9D">
        <w:rPr>
          <w:i/>
          <w:shd w:val="clear" w:color="auto" w:fill="FFFFFF"/>
        </w:rPr>
        <w:t>Cap Public Notice</w:t>
      </w:r>
      <w:r w:rsidR="00192A9D">
        <w:rPr>
          <w:shd w:val="clear" w:color="auto" w:fill="FFFFFF"/>
        </w:rPr>
        <w:t>)</w:t>
      </w:r>
      <w:r w:rsidR="00802CF9">
        <w:rPr>
          <w:shd w:val="clear" w:color="auto" w:fill="FFFFFF"/>
        </w:rPr>
        <w:t xml:space="preserve">; </w:t>
      </w:r>
      <w:r w:rsidRPr="005F6A7C" w:rsidR="00802CF9">
        <w:rPr>
          <w:i/>
          <w:shd w:val="clear" w:color="auto" w:fill="FFFFFF"/>
        </w:rPr>
        <w:t>Media Bureau Offers Examples to Clarify Auction 83 FM Translator Application Selections and Cap Showings Requirements</w:t>
      </w:r>
      <w:r w:rsidR="00802CF9">
        <w:rPr>
          <w:shd w:val="clear" w:color="auto" w:fill="FFFFFF"/>
        </w:rPr>
        <w:t xml:space="preserve">, Public Notice, 28 FCC </w:t>
      </w:r>
      <w:r w:rsidR="00802CF9">
        <w:rPr>
          <w:shd w:val="clear" w:color="auto" w:fill="FFFFFF"/>
        </w:rPr>
        <w:t>Rcd</w:t>
      </w:r>
      <w:r w:rsidR="00802CF9">
        <w:rPr>
          <w:shd w:val="clear" w:color="auto" w:fill="FFFFFF"/>
        </w:rPr>
        <w:t xml:space="preserve"> 98 (MB 2013).  </w:t>
      </w:r>
      <w:r w:rsidRPr="0015334F" w:rsidR="0015334F">
        <w:rPr>
          <w:i/>
          <w:shd w:val="clear" w:color="auto" w:fill="FFFFFF"/>
        </w:rPr>
        <w:t>See also</w:t>
      </w:r>
      <w:r w:rsidR="0015334F">
        <w:rPr>
          <w:shd w:val="clear" w:color="auto" w:fill="FFFFFF"/>
        </w:rPr>
        <w:t xml:space="preserve"> </w:t>
      </w:r>
      <w:r w:rsidRPr="007777B0" w:rsidR="0015334F">
        <w:rPr>
          <w:i/>
        </w:rPr>
        <w:t>Creation of a Low Power Radio Service</w:t>
      </w:r>
      <w:r w:rsidR="0015334F">
        <w:t xml:space="preserve">, Fourth Report and Order and Third Order on Reconsideration, 27 FCC </w:t>
      </w:r>
      <w:r w:rsidR="0015334F">
        <w:t>Rcd</w:t>
      </w:r>
      <w:r w:rsidR="0015334F">
        <w:t xml:space="preserve"> 3364, 3372, para. 18 (2012) (</w:t>
      </w:r>
      <w:r w:rsidRPr="00F83612" w:rsidR="0015334F">
        <w:rPr>
          <w:i/>
        </w:rPr>
        <w:t>LPFM Fourth R&amp;O</w:t>
      </w:r>
      <w:r w:rsidR="0015334F">
        <w:t>).</w:t>
      </w:r>
    </w:p>
  </w:footnote>
  <w:footnote w:id="22">
    <w:p w:rsidR="00961A40" w:rsidP="00961A40" w14:paraId="16BCDECA" w14:textId="150D304E">
      <w:pPr>
        <w:pStyle w:val="FootnoteText"/>
      </w:pPr>
      <w:r>
        <w:rPr>
          <w:rStyle w:val="FootnoteReference"/>
        </w:rPr>
        <w:footnoteRef/>
      </w:r>
      <w:r>
        <w:t xml:space="preserve"> </w:t>
      </w:r>
      <w:r w:rsidRPr="008636A9">
        <w:rPr>
          <w:i/>
        </w:rPr>
        <w:t xml:space="preserve">See Creation of a Low Power </w:t>
      </w:r>
      <w:r>
        <w:rPr>
          <w:i/>
        </w:rPr>
        <w:t>Radio</w:t>
      </w:r>
      <w:r w:rsidRPr="008636A9">
        <w:rPr>
          <w:i/>
        </w:rPr>
        <w:t xml:space="preserve"> Service</w:t>
      </w:r>
      <w:r>
        <w:t xml:space="preserve">, Fifth Order on Reconsideration and Sixth Report and Order, 27 FCC </w:t>
      </w:r>
      <w:r>
        <w:t>Rcd</w:t>
      </w:r>
      <w:r>
        <w:t xml:space="preserve"> 15402, 15404, para. 4 (2012)</w:t>
      </w:r>
      <w:r w:rsidR="008C5D9F">
        <w:t xml:space="preserve"> (</w:t>
      </w:r>
      <w:r w:rsidRPr="008C5D9F" w:rsidR="008C5D9F">
        <w:rPr>
          <w:i/>
        </w:rPr>
        <w:t>LPFM Fifth R&amp;O</w:t>
      </w:r>
      <w:r w:rsidR="008C5D9F">
        <w:t>)</w:t>
      </w:r>
      <w:r>
        <w:t xml:space="preserve"> (noting that 40 percent of FM translator permits initially awarded in Auction 83 window were assigned to non-applicants, and that co-owned filers of</w:t>
      </w:r>
      <w:r w:rsidR="002D46D2">
        <w:t xml:space="preserve"> the</w:t>
      </w:r>
      <w:r>
        <w:t xml:space="preserve"> largest number of applications sought to assign more than 50 percent of the construction permits they received).</w:t>
      </w:r>
    </w:p>
  </w:footnote>
  <w:footnote w:id="23">
    <w:p w:rsidR="00961A40" w:rsidP="00961A40" w14:paraId="66BBB81B" w14:textId="77777777">
      <w:pPr>
        <w:pStyle w:val="FootnoteText"/>
      </w:pPr>
      <w:r>
        <w:rPr>
          <w:rStyle w:val="FootnoteReference"/>
        </w:rPr>
        <w:footnoteRef/>
      </w:r>
      <w:r>
        <w:t xml:space="preserve"> </w:t>
      </w:r>
      <w:r w:rsidRPr="007777B0">
        <w:rPr>
          <w:i/>
        </w:rPr>
        <w:t xml:space="preserve">See generally </w:t>
      </w:r>
      <w:r>
        <w:rPr>
          <w:i/>
        </w:rPr>
        <w:t>LPFM Fourth R&amp;O</w:t>
      </w:r>
      <w:r>
        <w:t xml:space="preserve">, 27 FCC </w:t>
      </w:r>
      <w:r>
        <w:t>Rcd</w:t>
      </w:r>
      <w:r>
        <w:t xml:space="preserve"> at 3382-88, paras. 38-49</w:t>
      </w:r>
      <w:r w:rsidR="00F35F00">
        <w:t xml:space="preserve">; </w:t>
      </w:r>
      <w:r w:rsidRPr="006F5B3F" w:rsidR="00F35F00">
        <w:rPr>
          <w:i/>
        </w:rPr>
        <w:t xml:space="preserve">LPFM </w:t>
      </w:r>
      <w:r w:rsidRPr="006F5B3F" w:rsidR="008C5D9F">
        <w:rPr>
          <w:i/>
        </w:rPr>
        <w:t>Fifth R&amp;O</w:t>
      </w:r>
      <w:r w:rsidR="008C5D9F">
        <w:t xml:space="preserve">, 27 FCC </w:t>
      </w:r>
      <w:r w:rsidR="008C5D9F">
        <w:t>Rcd</w:t>
      </w:r>
      <w:r w:rsidR="008C5D9F">
        <w:t xml:space="preserve"> at 15404-07, paras. 4-13 (discussing need for application caps)</w:t>
      </w:r>
      <w:r>
        <w:t xml:space="preserve">. </w:t>
      </w:r>
    </w:p>
  </w:footnote>
  <w:footnote w:id="24">
    <w:p w:rsidR="008C5D9F" w14:paraId="4A92E403" w14:textId="77777777">
      <w:pPr>
        <w:pStyle w:val="FootnoteText"/>
      </w:pPr>
      <w:r>
        <w:rPr>
          <w:rStyle w:val="FootnoteReference"/>
        </w:rPr>
        <w:footnoteRef/>
      </w:r>
      <w:r>
        <w:t xml:space="preserve"> </w:t>
      </w:r>
      <w:r w:rsidRPr="008C5D9F">
        <w:rPr>
          <w:i/>
        </w:rPr>
        <w:t>See</w:t>
      </w:r>
      <w:r>
        <w:t xml:space="preserve">, </w:t>
      </w:r>
      <w:r w:rsidRPr="008C5D9F">
        <w:rPr>
          <w:i/>
        </w:rPr>
        <w:t>e.g.</w:t>
      </w:r>
      <w:r>
        <w:t xml:space="preserve">, </w:t>
      </w:r>
      <w:r w:rsidRPr="008C5D9F">
        <w:rPr>
          <w:i/>
        </w:rPr>
        <w:t>Media Bureau Announces Availability of the Revised FCC Form 318 and the Filing Procedures for October 15 – October 29, 2013, Low Power FM Filing Window</w:t>
      </w:r>
      <w:r>
        <w:t xml:space="preserve">, Public Notice, 28 FCC </w:t>
      </w:r>
      <w:r>
        <w:t>Rcd</w:t>
      </w:r>
      <w:r>
        <w:t xml:space="preserve"> 8854 (MB 2013).</w:t>
      </w:r>
    </w:p>
  </w:footnote>
  <w:footnote w:id="25">
    <w:p w:rsidR="00895B16" w14:paraId="004218C4" w14:textId="77777777">
      <w:pPr>
        <w:pStyle w:val="FootnoteText"/>
      </w:pPr>
      <w:r>
        <w:rPr>
          <w:rStyle w:val="FootnoteReference"/>
        </w:rPr>
        <w:footnoteRef/>
      </w:r>
      <w:r>
        <w:t xml:space="preserve"> </w:t>
      </w:r>
      <w:r w:rsidRPr="00895B16">
        <w:rPr>
          <w:i/>
        </w:rPr>
        <w:t>Revitalization of the AM Radio Service</w:t>
      </w:r>
      <w:r>
        <w:t xml:space="preserve">, Notice of Proposed Rule Making, 28 FCC </w:t>
      </w:r>
      <w:r>
        <w:t>Rcd</w:t>
      </w:r>
      <w:r>
        <w:t xml:space="preserve"> 15221 (2013) (</w:t>
      </w:r>
      <w:r w:rsidRPr="00895B16">
        <w:rPr>
          <w:i/>
        </w:rPr>
        <w:t>AMR NPRM</w:t>
      </w:r>
      <w:r>
        <w:t>).</w:t>
      </w:r>
    </w:p>
  </w:footnote>
  <w:footnote w:id="26">
    <w:p w:rsidR="00A70623" w14:paraId="02BCCA3C" w14:textId="77777777">
      <w:pPr>
        <w:pStyle w:val="FootnoteText"/>
      </w:pPr>
      <w:r>
        <w:rPr>
          <w:rStyle w:val="FootnoteReference"/>
        </w:rPr>
        <w:footnoteRef/>
      </w:r>
      <w:r>
        <w:t xml:space="preserve"> </w:t>
      </w:r>
      <w:r w:rsidRPr="00A70623">
        <w:rPr>
          <w:i/>
        </w:rPr>
        <w:t>Id</w:t>
      </w:r>
      <w:r>
        <w:t>. at 15222-23, paras. 4-6.</w:t>
      </w:r>
    </w:p>
  </w:footnote>
  <w:footnote w:id="27">
    <w:p w:rsidR="00EA3CAC" w14:paraId="1FA707AA" w14:textId="77777777">
      <w:pPr>
        <w:pStyle w:val="FootnoteText"/>
      </w:pPr>
      <w:r>
        <w:rPr>
          <w:rStyle w:val="FootnoteReference"/>
        </w:rPr>
        <w:footnoteRef/>
      </w:r>
      <w:r>
        <w:t xml:space="preserve"> </w:t>
      </w:r>
      <w:r w:rsidRPr="00EA3CAC">
        <w:rPr>
          <w:i/>
        </w:rPr>
        <w:t>Id</w:t>
      </w:r>
      <w:r>
        <w:t>. at 15222, para. 3.</w:t>
      </w:r>
    </w:p>
  </w:footnote>
  <w:footnote w:id="28">
    <w:p w:rsidR="00DB6C30" w14:paraId="65DDB885" w14:textId="77777777">
      <w:pPr>
        <w:pStyle w:val="FootnoteText"/>
      </w:pPr>
      <w:r>
        <w:rPr>
          <w:rStyle w:val="FootnoteReference"/>
        </w:rPr>
        <w:footnoteRef/>
      </w:r>
      <w:r>
        <w:t xml:space="preserve"> </w:t>
      </w:r>
      <w:r w:rsidRPr="00DB6C30">
        <w:rPr>
          <w:i/>
        </w:rPr>
        <w:t>Id</w:t>
      </w:r>
      <w:r>
        <w:t>. at 15228, para. 17.</w:t>
      </w:r>
    </w:p>
  </w:footnote>
  <w:footnote w:id="29">
    <w:p w:rsidR="00DB6C30" w14:paraId="05FCB3FA" w14:textId="77777777">
      <w:pPr>
        <w:pStyle w:val="FootnoteText"/>
      </w:pPr>
      <w:r>
        <w:rPr>
          <w:rStyle w:val="FootnoteReference"/>
        </w:rPr>
        <w:footnoteRef/>
      </w:r>
      <w:r>
        <w:t xml:space="preserve"> </w:t>
      </w:r>
      <w:r w:rsidRPr="00DB6C30">
        <w:rPr>
          <w:i/>
        </w:rPr>
        <w:t>Id</w:t>
      </w:r>
      <w:r>
        <w:t>. at 15229, para. 18.</w:t>
      </w:r>
    </w:p>
  </w:footnote>
  <w:footnote w:id="30">
    <w:p w:rsidR="00CA35A9" w14:paraId="4A913DF5" w14:textId="77777777">
      <w:pPr>
        <w:pStyle w:val="FootnoteText"/>
      </w:pPr>
      <w:r>
        <w:rPr>
          <w:rStyle w:val="FootnoteReference"/>
        </w:rPr>
        <w:footnoteRef/>
      </w:r>
      <w:r>
        <w:t xml:space="preserve"> </w:t>
      </w:r>
      <w:r w:rsidRPr="00CA35A9">
        <w:rPr>
          <w:i/>
        </w:rPr>
        <w:t>See AMR First R&amp;O</w:t>
      </w:r>
      <w:r>
        <w:t xml:space="preserve">, 30 FCC </w:t>
      </w:r>
      <w:r>
        <w:t>Rcd</w:t>
      </w:r>
      <w:r>
        <w:t xml:space="preserve"> at 12</w:t>
      </w:r>
      <w:r w:rsidR="002A41D9">
        <w:t>1</w:t>
      </w:r>
      <w:r>
        <w:t>49-50, para. 10.</w:t>
      </w:r>
    </w:p>
  </w:footnote>
  <w:footnote w:id="31">
    <w:p w:rsidR="00CA35A9" w14:paraId="4102CC6D" w14:textId="77777777">
      <w:pPr>
        <w:pStyle w:val="FootnoteText"/>
      </w:pPr>
      <w:r>
        <w:rPr>
          <w:rStyle w:val="FootnoteReference"/>
        </w:rPr>
        <w:footnoteRef/>
      </w:r>
      <w:r>
        <w:t xml:space="preserve"> </w:t>
      </w:r>
      <w:r w:rsidRPr="00CA35A9">
        <w:rPr>
          <w:i/>
        </w:rPr>
        <w:t>See id</w:t>
      </w:r>
      <w:r>
        <w:t xml:space="preserve">. and </w:t>
      </w:r>
      <w:r>
        <w:t>nn</w:t>
      </w:r>
      <w:r>
        <w:t xml:space="preserve">. 25-28.  </w:t>
      </w:r>
      <w:r w:rsidRPr="00B21DB2">
        <w:rPr>
          <w:i/>
        </w:rPr>
        <w:t>See also</w:t>
      </w:r>
      <w:r>
        <w:t xml:space="preserve"> </w:t>
      </w:r>
      <w:r w:rsidR="00B21DB2">
        <w:t>Comments of Common Frequency, Inc., filed in MB Docket No. 13-249 (Jan. 6, 2014) (CFI Comments).</w:t>
      </w:r>
    </w:p>
  </w:footnote>
  <w:footnote w:id="32">
    <w:p w:rsidR="00370110" w14:paraId="23694512" w14:textId="77777777">
      <w:pPr>
        <w:pStyle w:val="FootnoteText"/>
      </w:pPr>
      <w:r>
        <w:rPr>
          <w:rStyle w:val="FootnoteReference"/>
        </w:rPr>
        <w:footnoteRef/>
      </w:r>
      <w:r>
        <w:t xml:space="preserve"> </w:t>
      </w:r>
      <w:r w:rsidRPr="00285074">
        <w:rPr>
          <w:i/>
        </w:rPr>
        <w:t>AMR First R&amp;O</w:t>
      </w:r>
      <w:r>
        <w:t xml:space="preserve">, 30 FCC </w:t>
      </w:r>
      <w:r>
        <w:t>Rcd</w:t>
      </w:r>
      <w:r>
        <w:t xml:space="preserve"> at </w:t>
      </w:r>
      <w:r w:rsidR="002A41D9">
        <w:t>12152-54</w:t>
      </w:r>
      <w:r w:rsidR="007F1BC9">
        <w:t>, paras. 15-17.</w:t>
      </w:r>
    </w:p>
  </w:footnote>
  <w:footnote w:id="33">
    <w:p w:rsidR="00F074DE" w14:paraId="188B845B" w14:textId="77777777">
      <w:pPr>
        <w:pStyle w:val="FootnoteText"/>
      </w:pPr>
      <w:r>
        <w:rPr>
          <w:rStyle w:val="FootnoteReference"/>
        </w:rPr>
        <w:footnoteRef/>
      </w:r>
      <w:r>
        <w:t xml:space="preserve"> </w:t>
      </w:r>
      <w:r w:rsidRPr="00F074DE">
        <w:rPr>
          <w:i/>
        </w:rPr>
        <w:t>Id</w:t>
      </w:r>
      <w:r>
        <w:t>. at 1215</w:t>
      </w:r>
      <w:r w:rsidR="00D304EC">
        <w:t>3</w:t>
      </w:r>
      <w:r>
        <w:t>, para. 17.</w:t>
      </w:r>
    </w:p>
  </w:footnote>
  <w:footnote w:id="34">
    <w:p w:rsidR="00474419" w14:paraId="3B614F1B" w14:textId="77777777">
      <w:pPr>
        <w:pStyle w:val="FootnoteText"/>
      </w:pPr>
      <w:r>
        <w:rPr>
          <w:rStyle w:val="FootnoteReference"/>
        </w:rPr>
        <w:footnoteRef/>
      </w:r>
      <w:r>
        <w:t xml:space="preserve"> </w:t>
      </w:r>
      <w:r w:rsidRPr="00E370D6">
        <w:rPr>
          <w:i/>
        </w:rPr>
        <w:t>Id</w:t>
      </w:r>
      <w:r>
        <w:t xml:space="preserve">. at </w:t>
      </w:r>
      <w:r w:rsidR="00E370D6">
        <w:t>12150 n.28; CFI Comments.</w:t>
      </w:r>
    </w:p>
  </w:footnote>
  <w:footnote w:id="35">
    <w:p w:rsidR="00E370D6" w14:paraId="1F24938E" w14:textId="77777777">
      <w:pPr>
        <w:pStyle w:val="FootnoteText"/>
      </w:pPr>
      <w:r>
        <w:rPr>
          <w:rStyle w:val="FootnoteReference"/>
        </w:rPr>
        <w:footnoteRef/>
      </w:r>
      <w:r>
        <w:t xml:space="preserve"> Prometheus Radio Project (Prometheus) </w:t>
      </w:r>
      <w:r w:rsidR="000C60D8">
        <w:t xml:space="preserve">did seek reconsideration of the Second Report and Order in the </w:t>
      </w:r>
      <w:r w:rsidRPr="00FE280E" w:rsidR="000C60D8">
        <w:rPr>
          <w:i/>
        </w:rPr>
        <w:t>AM Revitalization</w:t>
      </w:r>
      <w:r w:rsidR="000C60D8">
        <w:t xml:space="preserve"> proceeding, </w:t>
      </w:r>
      <w:r w:rsidRPr="0072580E" w:rsidR="000C60D8">
        <w:rPr>
          <w:i/>
        </w:rPr>
        <w:t xml:space="preserve">Revitalization of the AM </w:t>
      </w:r>
      <w:r w:rsidRPr="0072580E" w:rsidR="0072580E">
        <w:rPr>
          <w:i/>
        </w:rPr>
        <w:t xml:space="preserve">Radio </w:t>
      </w:r>
      <w:r w:rsidRPr="0072580E" w:rsidR="000C60D8">
        <w:rPr>
          <w:i/>
        </w:rPr>
        <w:t>Service</w:t>
      </w:r>
      <w:r w:rsidR="000C60D8">
        <w:t xml:space="preserve">, Second Report and Order, </w:t>
      </w:r>
      <w:r w:rsidR="0072580E">
        <w:t xml:space="preserve">32 FCC </w:t>
      </w:r>
      <w:r w:rsidR="0072580E">
        <w:t>Rcd</w:t>
      </w:r>
      <w:r w:rsidR="0072580E">
        <w:t xml:space="preserve"> 1724 (2017)</w:t>
      </w:r>
      <w:r w:rsidR="00891213">
        <w:t xml:space="preserve"> (</w:t>
      </w:r>
      <w:r w:rsidRPr="00891213" w:rsidR="00891213">
        <w:rPr>
          <w:i/>
        </w:rPr>
        <w:t>AMR Second R&amp;O</w:t>
      </w:r>
      <w:r w:rsidR="00891213">
        <w:t>)</w:t>
      </w:r>
      <w:r w:rsidR="0072580E">
        <w:t xml:space="preserve">, in which the “fill-in” area for cross-service FM translators was expanded from the lesser of the AM primary station’s daytime 2 mV/m contour or a 25-mile radius centered at the AM transmitter, to the greater of those areas.  </w:t>
      </w:r>
      <w:r w:rsidR="00962CA7">
        <w:t xml:space="preserve">Prometheus argued that the Commission’s failure to adopt a set distance limit from an AM transmitter for siting cross-service FM translators would negatively impact LPFM stations and their ability to relocate.  </w:t>
      </w:r>
      <w:r w:rsidR="0072580E">
        <w:t xml:space="preserve">That petition was denied by the Commission.  </w:t>
      </w:r>
      <w:r w:rsidRPr="0072580E" w:rsidR="0072580E">
        <w:rPr>
          <w:i/>
        </w:rPr>
        <w:t>Revitalization of the AM Radio Service</w:t>
      </w:r>
      <w:r w:rsidR="0072580E">
        <w:t xml:space="preserve">, Order on Reconsideration, 33 FCC </w:t>
      </w:r>
      <w:r w:rsidR="0072580E">
        <w:t>Rcd</w:t>
      </w:r>
      <w:r w:rsidR="0072580E">
        <w:t xml:space="preserve"> 5082 (2018)</w:t>
      </w:r>
      <w:r w:rsidR="00891213">
        <w:t>.</w:t>
      </w:r>
    </w:p>
  </w:footnote>
  <w:footnote w:id="36">
    <w:p w:rsidR="00E31BA0" w14:paraId="593D72C5" w14:textId="77777777">
      <w:pPr>
        <w:pStyle w:val="FootnoteText"/>
      </w:pPr>
      <w:r>
        <w:rPr>
          <w:rStyle w:val="FootnoteReference"/>
        </w:rPr>
        <w:footnoteRef/>
      </w:r>
      <w:r>
        <w:t xml:space="preserve"> The current total of AM stations, as of December 31, 2018, is 4,619.</w:t>
      </w:r>
    </w:p>
  </w:footnote>
  <w:footnote w:id="37">
    <w:p w:rsidR="00891213" w14:paraId="2568D4A6" w14:textId="77777777">
      <w:pPr>
        <w:pStyle w:val="FootnoteText"/>
      </w:pPr>
      <w:r>
        <w:rPr>
          <w:rStyle w:val="FootnoteReference"/>
        </w:rPr>
        <w:footnoteRef/>
      </w:r>
      <w:r>
        <w:t xml:space="preserve"> When the </w:t>
      </w:r>
      <w:r w:rsidRPr="00F83E83">
        <w:rPr>
          <w:i/>
        </w:rPr>
        <w:t>AMR First R&amp;O</w:t>
      </w:r>
      <w:r>
        <w:t xml:space="preserve"> was adopted this area was further restricted to the lesser of the AM primary’s daytime 2 mV/m contour or a 25-mile radius.  It was later expanded in the </w:t>
      </w:r>
      <w:r w:rsidRPr="00891213">
        <w:rPr>
          <w:i/>
        </w:rPr>
        <w:t>AMR Second R&amp;O</w:t>
      </w:r>
      <w:r>
        <w:t>.</w:t>
      </w:r>
    </w:p>
  </w:footnote>
  <w:footnote w:id="38">
    <w:p w:rsidR="00F80303" w14:paraId="06A76829" w14:textId="417875A2">
      <w:pPr>
        <w:pStyle w:val="FootnoteText"/>
      </w:pPr>
      <w:r>
        <w:rPr>
          <w:rStyle w:val="FootnoteReference"/>
        </w:rPr>
        <w:footnoteRef/>
      </w:r>
      <w:r>
        <w:t xml:space="preserve"> </w:t>
      </w:r>
      <w:r>
        <w:rPr>
          <w:szCs w:val="22"/>
        </w:rPr>
        <w:t xml:space="preserve">We also note, as we did in the </w:t>
      </w:r>
      <w:r w:rsidRPr="0030187C">
        <w:rPr>
          <w:i/>
          <w:szCs w:val="22"/>
        </w:rPr>
        <w:t>June Translator Decision</w:t>
      </w:r>
      <w:r>
        <w:rPr>
          <w:szCs w:val="22"/>
        </w:rPr>
        <w:t xml:space="preserve">, 33 FCC </w:t>
      </w:r>
      <w:r>
        <w:rPr>
          <w:szCs w:val="22"/>
        </w:rPr>
        <w:t>Rcd</w:t>
      </w:r>
      <w:r>
        <w:rPr>
          <w:szCs w:val="22"/>
        </w:rPr>
        <w:t xml:space="preserve"> at 5398, that Section 5 by its terms gives to the Commission, not the applicant, the responsibility of ensuring availability of licenses for secondary services.  </w:t>
      </w:r>
      <w:r>
        <w:rPr>
          <w:szCs w:val="22"/>
        </w:rPr>
        <w:t>Capstar</w:t>
      </w:r>
      <w:r>
        <w:rPr>
          <w:szCs w:val="22"/>
        </w:rPr>
        <w:t xml:space="preserve">, as it argues in its Opposition, followed all Commission procedures set forth for Auction 100 applications.  </w:t>
      </w:r>
      <w:r w:rsidRPr="00F80303">
        <w:rPr>
          <w:i/>
          <w:szCs w:val="22"/>
        </w:rPr>
        <w:t>See supra</w:t>
      </w:r>
      <w:r>
        <w:rPr>
          <w:szCs w:val="22"/>
        </w:rPr>
        <w:t xml:space="preserve"> note 11.  </w:t>
      </w:r>
    </w:p>
  </w:footnote>
  <w:footnote w:id="39">
    <w:p w:rsidR="00CF0694" w14:paraId="41B2990E" w14:textId="77777777">
      <w:pPr>
        <w:pStyle w:val="FootnoteText"/>
      </w:pPr>
      <w:r>
        <w:rPr>
          <w:rStyle w:val="FootnoteReference"/>
        </w:rPr>
        <w:footnoteRef/>
      </w:r>
      <w:r>
        <w:t xml:space="preserve"> </w:t>
      </w:r>
      <w:r w:rsidRPr="00CF0694">
        <w:rPr>
          <w:i/>
        </w:rPr>
        <w:t xml:space="preserve">Cf. Nat’l </w:t>
      </w:r>
      <w:r w:rsidRPr="00CF0694">
        <w:rPr>
          <w:i/>
        </w:rPr>
        <w:t>Ass’n</w:t>
      </w:r>
      <w:r w:rsidRPr="00CF0694">
        <w:rPr>
          <w:i/>
        </w:rPr>
        <w:t xml:space="preserve"> of Broadcasters v. FCC</w:t>
      </w:r>
      <w:r>
        <w:t xml:space="preserve">, 569 F.3d 416, 425 (D.C. Cir. 2009) (noting that while Commission’s engineering judgment regarding interference from LPFM stations to full-service FM stations did not change, it </w:t>
      </w:r>
      <w:r>
        <w:rPr>
          <w:color w:val="000000"/>
        </w:rPr>
        <w:t>reevaluated the competing priorities of interference protection and preserving existing service in the face of changed circumstances).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F6E58" w14:paraId="09BB0007" w14:textId="77777777">
    <w:pPr>
      <w:tabs>
        <w:tab w:val="center" w:pos="4680"/>
        <w:tab w:val="right" w:pos="9360"/>
      </w:tabs>
      <w:suppressAutoHyphens/>
      <w:spacing w:line="227" w:lineRule="auto"/>
      <w:jc w:val="both"/>
      <w:rPr>
        <w:rFonts w:ascii="Calisto MT" w:hAnsi="Calisto MT"/>
        <w:spacing w:val="-2"/>
      </w:rPr>
    </w:pPr>
  </w:p>
  <w:p w:rsidR="00BF6E58" w14:paraId="65FCCAF5" w14:textId="77777777">
    <w:pPr>
      <w:tabs>
        <w:tab w:val="left" w:pos="-720"/>
      </w:tabs>
      <w:suppressAutoHyphens/>
      <w:spacing w:line="19" w:lineRule="exact"/>
      <w:jc w:val="both"/>
      <w:rPr>
        <w:sz w:val="10"/>
      </w:rPr>
    </w:pPr>
  </w:p>
  <w:p w:rsidR="00BF6E58" w14:paraId="2E02FE9C" w14:textId="77777777">
    <w:pPr>
      <w:tabs>
        <w:tab w:val="left" w:pos="-720"/>
      </w:tabs>
      <w:suppressAutoHyphens/>
      <w:spacing w:line="19" w:lineRule="exact"/>
      <w:jc w:val="both"/>
      <w:rPr>
        <w:sz w:val="10"/>
      </w:rPr>
    </w:pPr>
  </w:p>
  <w:p w:rsidR="00BF6E58" w14:paraId="43EE65D6" w14:textId="77777777">
    <w:pPr>
      <w:tabs>
        <w:tab w:val="left" w:pos="-720"/>
      </w:tabs>
      <w:suppressAutoHyphens/>
      <w:spacing w:line="19" w:lineRule="exact"/>
      <w:jc w:val="both"/>
      <w:rPr>
        <w:sz w:val="10"/>
      </w:rPr>
    </w:pPr>
  </w:p>
  <w:p w:rsidR="00BF6E58" w14:paraId="2BC5A14E" w14:textId="77777777">
    <w:pPr>
      <w:tabs>
        <w:tab w:val="left" w:pos="-720"/>
      </w:tabs>
      <w:suppressAutoHyphens/>
      <w:spacing w:line="19" w:lineRule="exact"/>
      <w:jc w:val="both"/>
      <w:rPr>
        <w:sz w:val="10"/>
      </w:rPr>
    </w:pPr>
  </w:p>
  <w:p w:rsidR="00BF6E58" w14:paraId="57C9E9A7" w14:textId="77777777">
    <w:pPr>
      <w:tabs>
        <w:tab w:val="left" w:pos="-720"/>
      </w:tabs>
      <w:suppressAutoHyphens/>
      <w:spacing w:line="19" w:lineRule="exact"/>
      <w:jc w:val="both"/>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F6E58" w:rsidRPr="00504897" w14:paraId="022563F5" w14:textId="77777777">
    <w:pPr>
      <w:pStyle w:val="Heading2"/>
      <w:spacing w:line="240" w:lineRule="auto"/>
      <w:rPr>
        <w:rFonts w:ascii="CG Times" w:hAnsi="CG Times"/>
        <w:b/>
        <w:color w:val="000000"/>
        <w:szCs w:val="24"/>
      </w:rPr>
    </w:pPr>
    <w:r>
      <w:rPr>
        <w:rFonts w:ascii="CG Times" w:hAnsi="CG Times"/>
        <w:b/>
        <w:noProof/>
        <w:snapToGrid/>
        <w:color w:val="000000"/>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width:69.3pt;height:64.8pt;margin-top:2pt;margin-left:-24.8pt;mso-wrap-edited:f;position:absolute;visibility:visible;z-index:251658240" o:oleicon="f" o:allowincell="f" filled="t" fillcolor="#3cc">
          <v:imagedata r:id="rId1" o:title="" gain="69719f"/>
        </v:shape>
        <o:OLEObject Type="Embed" ProgID="Word.Picture.8" ShapeID="_x0000_s2049" DrawAspect="Content" ObjectID="_1624947184" r:id="rId2"/>
      </w:pict>
    </w:r>
    <w:r w:rsidRPr="00504897" w:rsidR="0092040F">
      <w:rPr>
        <w:rFonts w:ascii="CG Times" w:hAnsi="CG Times"/>
        <w:b/>
        <w:color w:val="000000"/>
        <w:szCs w:val="24"/>
      </w:rPr>
      <w:t>Federal Communications Commission</w:t>
    </w:r>
  </w:p>
  <w:p w:rsidR="00BF6E58" w:rsidRPr="00504897" w14:paraId="6F784F92" w14:textId="77777777">
    <w:pPr>
      <w:jc w:val="center"/>
      <w:rPr>
        <w:rFonts w:ascii="CG Times" w:hAnsi="CG Times"/>
        <w:b/>
        <w:color w:val="000000"/>
        <w:spacing w:val="-2"/>
        <w:sz w:val="28"/>
      </w:rPr>
    </w:pPr>
    <w:r w:rsidRPr="00504897">
      <w:rPr>
        <w:rFonts w:ascii="CG Times" w:hAnsi="CG Times"/>
        <w:b/>
        <w:color w:val="000000"/>
        <w:spacing w:val="-2"/>
        <w:szCs w:val="24"/>
      </w:rPr>
      <w:t>Washington, D.C. 20554</w:t>
    </w:r>
  </w:p>
  <w:p w:rsidR="00BF6E58" w:rsidP="00BF6E58" w14:paraId="69592095" w14:textId="77777777">
    <w:pPr>
      <w:rPr>
        <w:spacing w:val="-2"/>
        <w:szCs w:val="22"/>
      </w:rPr>
    </w:pPr>
  </w:p>
  <w:p w:rsidR="00BF6E58" w14:paraId="1B43D2EA" w14:textId="77777777">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A730F62"/>
    <w:multiLevelType w:val="hybridMultilevel"/>
    <w:tmpl w:val="4D7E380A"/>
    <w:lvl w:ilvl="0">
      <w:start w:val="4"/>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15D376C2"/>
    <w:multiLevelType w:val="hybridMultilevel"/>
    <w:tmpl w:val="4D6CA96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61182925"/>
    <w:multiLevelType w:val="singleLevel"/>
    <w:tmpl w:val="2A347362"/>
    <w:lvl w:ilvl="0">
      <w:start w:val="1"/>
      <w:numFmt w:val="decimal"/>
      <w:pStyle w:val="ParaNum"/>
      <w:lvlText w:val="%1."/>
      <w:lvlJc w:val="left"/>
      <w:pPr>
        <w:tabs>
          <w:tab w:val="num" w:pos="1080"/>
        </w:tabs>
        <w:ind w:left="0" w:firstLine="720"/>
      </w:pPr>
      <w:rPr>
        <w:b w:val="0"/>
      </w:rPr>
    </w:lvl>
  </w:abstractNum>
  <w:abstractNum w:abstractNumId="3">
    <w:nsid w:val="668971C8"/>
    <w:multiLevelType w:val="hybridMultilevel"/>
    <w:tmpl w:val="BD807D2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E23"/>
    <w:rsid w:val="00000B41"/>
    <w:rsid w:val="0000249B"/>
    <w:rsid w:val="00003CBA"/>
    <w:rsid w:val="0000758F"/>
    <w:rsid w:val="00012853"/>
    <w:rsid w:val="00013A03"/>
    <w:rsid w:val="00013F0D"/>
    <w:rsid w:val="00015BD9"/>
    <w:rsid w:val="00022013"/>
    <w:rsid w:val="00026B21"/>
    <w:rsid w:val="00034D92"/>
    <w:rsid w:val="00036E49"/>
    <w:rsid w:val="0004128E"/>
    <w:rsid w:val="00041977"/>
    <w:rsid w:val="00042D42"/>
    <w:rsid w:val="00042E1B"/>
    <w:rsid w:val="00047815"/>
    <w:rsid w:val="00053B45"/>
    <w:rsid w:val="00053B86"/>
    <w:rsid w:val="00054962"/>
    <w:rsid w:val="000624CA"/>
    <w:rsid w:val="0007038B"/>
    <w:rsid w:val="00070FCF"/>
    <w:rsid w:val="00074596"/>
    <w:rsid w:val="0008000F"/>
    <w:rsid w:val="00081C59"/>
    <w:rsid w:val="00082358"/>
    <w:rsid w:val="000832E0"/>
    <w:rsid w:val="00083F2B"/>
    <w:rsid w:val="00087CDE"/>
    <w:rsid w:val="00091CF8"/>
    <w:rsid w:val="000A0EEF"/>
    <w:rsid w:val="000A1BB8"/>
    <w:rsid w:val="000B0118"/>
    <w:rsid w:val="000B15DE"/>
    <w:rsid w:val="000B690E"/>
    <w:rsid w:val="000B7ED4"/>
    <w:rsid w:val="000C17E2"/>
    <w:rsid w:val="000C4D57"/>
    <w:rsid w:val="000C60D8"/>
    <w:rsid w:val="000C619E"/>
    <w:rsid w:val="000C6CBF"/>
    <w:rsid w:val="000D401B"/>
    <w:rsid w:val="000E4127"/>
    <w:rsid w:val="000E6F11"/>
    <w:rsid w:val="000E779F"/>
    <w:rsid w:val="000E798B"/>
    <w:rsid w:val="000F1FE7"/>
    <w:rsid w:val="000F400A"/>
    <w:rsid w:val="000F53CC"/>
    <w:rsid w:val="00101AA7"/>
    <w:rsid w:val="00102EE5"/>
    <w:rsid w:val="00107965"/>
    <w:rsid w:val="001102D5"/>
    <w:rsid w:val="00126366"/>
    <w:rsid w:val="00130105"/>
    <w:rsid w:val="001330FC"/>
    <w:rsid w:val="001333BF"/>
    <w:rsid w:val="00134547"/>
    <w:rsid w:val="00135CE4"/>
    <w:rsid w:val="00136843"/>
    <w:rsid w:val="00136D33"/>
    <w:rsid w:val="00137E5E"/>
    <w:rsid w:val="00140611"/>
    <w:rsid w:val="00141903"/>
    <w:rsid w:val="00141F4C"/>
    <w:rsid w:val="00142730"/>
    <w:rsid w:val="00142DE0"/>
    <w:rsid w:val="00143955"/>
    <w:rsid w:val="0015334F"/>
    <w:rsid w:val="001538FE"/>
    <w:rsid w:val="001545B9"/>
    <w:rsid w:val="001565CA"/>
    <w:rsid w:val="0015710F"/>
    <w:rsid w:val="00163DC2"/>
    <w:rsid w:val="00164262"/>
    <w:rsid w:val="001674FC"/>
    <w:rsid w:val="001708D8"/>
    <w:rsid w:val="001746A7"/>
    <w:rsid w:val="00174C40"/>
    <w:rsid w:val="00175F55"/>
    <w:rsid w:val="001773E5"/>
    <w:rsid w:val="0017797A"/>
    <w:rsid w:val="00180AAE"/>
    <w:rsid w:val="00183782"/>
    <w:rsid w:val="00186CAC"/>
    <w:rsid w:val="00187503"/>
    <w:rsid w:val="001922DD"/>
    <w:rsid w:val="00192A9D"/>
    <w:rsid w:val="0019332E"/>
    <w:rsid w:val="00196C05"/>
    <w:rsid w:val="001A1612"/>
    <w:rsid w:val="001A4257"/>
    <w:rsid w:val="001A60CC"/>
    <w:rsid w:val="001B28FC"/>
    <w:rsid w:val="001B47E9"/>
    <w:rsid w:val="001B66EF"/>
    <w:rsid w:val="001B7561"/>
    <w:rsid w:val="001C057C"/>
    <w:rsid w:val="001C32DC"/>
    <w:rsid w:val="001C3573"/>
    <w:rsid w:val="001C458A"/>
    <w:rsid w:val="001C481D"/>
    <w:rsid w:val="001C52A4"/>
    <w:rsid w:val="001C655A"/>
    <w:rsid w:val="001D1253"/>
    <w:rsid w:val="001D24A8"/>
    <w:rsid w:val="001D6CE3"/>
    <w:rsid w:val="001E437A"/>
    <w:rsid w:val="001F319E"/>
    <w:rsid w:val="001F3347"/>
    <w:rsid w:val="001F3C59"/>
    <w:rsid w:val="001F4B25"/>
    <w:rsid w:val="001F53F9"/>
    <w:rsid w:val="001F6D38"/>
    <w:rsid w:val="00201064"/>
    <w:rsid w:val="00202268"/>
    <w:rsid w:val="002064BF"/>
    <w:rsid w:val="00206D48"/>
    <w:rsid w:val="002073F7"/>
    <w:rsid w:val="00210201"/>
    <w:rsid w:val="00214561"/>
    <w:rsid w:val="00220F78"/>
    <w:rsid w:val="00224DD0"/>
    <w:rsid w:val="00231138"/>
    <w:rsid w:val="00234A93"/>
    <w:rsid w:val="00237C19"/>
    <w:rsid w:val="002411DD"/>
    <w:rsid w:val="002422E5"/>
    <w:rsid w:val="0024586A"/>
    <w:rsid w:val="0024615B"/>
    <w:rsid w:val="00247119"/>
    <w:rsid w:val="0024766A"/>
    <w:rsid w:val="002478B0"/>
    <w:rsid w:val="00254090"/>
    <w:rsid w:val="002562A7"/>
    <w:rsid w:val="00256682"/>
    <w:rsid w:val="00261967"/>
    <w:rsid w:val="00263563"/>
    <w:rsid w:val="002644F9"/>
    <w:rsid w:val="00265D4E"/>
    <w:rsid w:val="00270701"/>
    <w:rsid w:val="0027253D"/>
    <w:rsid w:val="00272AF0"/>
    <w:rsid w:val="002775A4"/>
    <w:rsid w:val="00277C85"/>
    <w:rsid w:val="00282254"/>
    <w:rsid w:val="00284D11"/>
    <w:rsid w:val="00285074"/>
    <w:rsid w:val="00285DB8"/>
    <w:rsid w:val="00286136"/>
    <w:rsid w:val="00286436"/>
    <w:rsid w:val="00294D17"/>
    <w:rsid w:val="00295ED1"/>
    <w:rsid w:val="00296729"/>
    <w:rsid w:val="002A3A3E"/>
    <w:rsid w:val="002A41D9"/>
    <w:rsid w:val="002A51D0"/>
    <w:rsid w:val="002A7D51"/>
    <w:rsid w:val="002B3C7C"/>
    <w:rsid w:val="002B6556"/>
    <w:rsid w:val="002B795A"/>
    <w:rsid w:val="002D14F1"/>
    <w:rsid w:val="002D2448"/>
    <w:rsid w:val="002D46D2"/>
    <w:rsid w:val="002D6CD7"/>
    <w:rsid w:val="002D7B4C"/>
    <w:rsid w:val="002D7DDA"/>
    <w:rsid w:val="002E2730"/>
    <w:rsid w:val="002F225B"/>
    <w:rsid w:val="002F3C06"/>
    <w:rsid w:val="002F3C72"/>
    <w:rsid w:val="002F5825"/>
    <w:rsid w:val="0030097C"/>
    <w:rsid w:val="0030162B"/>
    <w:rsid w:val="0030187C"/>
    <w:rsid w:val="00302476"/>
    <w:rsid w:val="00302503"/>
    <w:rsid w:val="003034F3"/>
    <w:rsid w:val="003103E2"/>
    <w:rsid w:val="00312B26"/>
    <w:rsid w:val="003130AF"/>
    <w:rsid w:val="00323E49"/>
    <w:rsid w:val="00330C08"/>
    <w:rsid w:val="00340958"/>
    <w:rsid w:val="0034338C"/>
    <w:rsid w:val="00344CA0"/>
    <w:rsid w:val="00345A04"/>
    <w:rsid w:val="00346009"/>
    <w:rsid w:val="00347EE5"/>
    <w:rsid w:val="00357D30"/>
    <w:rsid w:val="00362356"/>
    <w:rsid w:val="00362AB0"/>
    <w:rsid w:val="00370110"/>
    <w:rsid w:val="0037110B"/>
    <w:rsid w:val="003724BA"/>
    <w:rsid w:val="0037772A"/>
    <w:rsid w:val="003806C2"/>
    <w:rsid w:val="0038699E"/>
    <w:rsid w:val="00387223"/>
    <w:rsid w:val="003879E8"/>
    <w:rsid w:val="00392984"/>
    <w:rsid w:val="00392F38"/>
    <w:rsid w:val="003979BE"/>
    <w:rsid w:val="003A1BCF"/>
    <w:rsid w:val="003B4DD0"/>
    <w:rsid w:val="003B591F"/>
    <w:rsid w:val="003B59B8"/>
    <w:rsid w:val="003C6E5D"/>
    <w:rsid w:val="003D1D72"/>
    <w:rsid w:val="003D30DB"/>
    <w:rsid w:val="003D38F5"/>
    <w:rsid w:val="003D4953"/>
    <w:rsid w:val="003D6B6F"/>
    <w:rsid w:val="003E550E"/>
    <w:rsid w:val="003F0A77"/>
    <w:rsid w:val="003F2285"/>
    <w:rsid w:val="003F5A19"/>
    <w:rsid w:val="0040489E"/>
    <w:rsid w:val="00404A2A"/>
    <w:rsid w:val="00411D1B"/>
    <w:rsid w:val="004134DE"/>
    <w:rsid w:val="004152ED"/>
    <w:rsid w:val="00422CE3"/>
    <w:rsid w:val="00422DD5"/>
    <w:rsid w:val="004349E1"/>
    <w:rsid w:val="00434E88"/>
    <w:rsid w:val="00436669"/>
    <w:rsid w:val="004447E3"/>
    <w:rsid w:val="0044495C"/>
    <w:rsid w:val="0045079A"/>
    <w:rsid w:val="00453FF6"/>
    <w:rsid w:val="00456BDC"/>
    <w:rsid w:val="00456E08"/>
    <w:rsid w:val="0046546C"/>
    <w:rsid w:val="00465485"/>
    <w:rsid w:val="00465902"/>
    <w:rsid w:val="004728F3"/>
    <w:rsid w:val="00474419"/>
    <w:rsid w:val="00476125"/>
    <w:rsid w:val="00476BB2"/>
    <w:rsid w:val="0048012C"/>
    <w:rsid w:val="00480E06"/>
    <w:rsid w:val="00483BC7"/>
    <w:rsid w:val="004901DF"/>
    <w:rsid w:val="00493725"/>
    <w:rsid w:val="00494216"/>
    <w:rsid w:val="00496FCD"/>
    <w:rsid w:val="004977F9"/>
    <w:rsid w:val="004A7587"/>
    <w:rsid w:val="004A7EE0"/>
    <w:rsid w:val="004B00BF"/>
    <w:rsid w:val="004B0291"/>
    <w:rsid w:val="004B3D55"/>
    <w:rsid w:val="004B63D4"/>
    <w:rsid w:val="004C0F6E"/>
    <w:rsid w:val="004C4D7F"/>
    <w:rsid w:val="004D026A"/>
    <w:rsid w:val="004D1E20"/>
    <w:rsid w:val="004D280C"/>
    <w:rsid w:val="004D511C"/>
    <w:rsid w:val="004D6759"/>
    <w:rsid w:val="004E1154"/>
    <w:rsid w:val="004E13A9"/>
    <w:rsid w:val="004F43CE"/>
    <w:rsid w:val="004F6051"/>
    <w:rsid w:val="00504897"/>
    <w:rsid w:val="00507F30"/>
    <w:rsid w:val="00511C52"/>
    <w:rsid w:val="00512E81"/>
    <w:rsid w:val="00520795"/>
    <w:rsid w:val="0052435C"/>
    <w:rsid w:val="00526333"/>
    <w:rsid w:val="0052761E"/>
    <w:rsid w:val="00527768"/>
    <w:rsid w:val="005347B2"/>
    <w:rsid w:val="00536B6B"/>
    <w:rsid w:val="00540375"/>
    <w:rsid w:val="00542C49"/>
    <w:rsid w:val="00544166"/>
    <w:rsid w:val="00544604"/>
    <w:rsid w:val="0054492F"/>
    <w:rsid w:val="00544B21"/>
    <w:rsid w:val="00545175"/>
    <w:rsid w:val="005459F8"/>
    <w:rsid w:val="00545EB1"/>
    <w:rsid w:val="00546FFA"/>
    <w:rsid w:val="00556A2B"/>
    <w:rsid w:val="00557BAD"/>
    <w:rsid w:val="005610F7"/>
    <w:rsid w:val="0056590D"/>
    <w:rsid w:val="00567EA8"/>
    <w:rsid w:val="00572DCB"/>
    <w:rsid w:val="005745EF"/>
    <w:rsid w:val="00575064"/>
    <w:rsid w:val="00580228"/>
    <w:rsid w:val="00582948"/>
    <w:rsid w:val="005834B6"/>
    <w:rsid w:val="00586063"/>
    <w:rsid w:val="0059240C"/>
    <w:rsid w:val="005937D7"/>
    <w:rsid w:val="00595DD1"/>
    <w:rsid w:val="00597FC7"/>
    <w:rsid w:val="005A00FB"/>
    <w:rsid w:val="005A1CF0"/>
    <w:rsid w:val="005A3A94"/>
    <w:rsid w:val="005A4503"/>
    <w:rsid w:val="005B189C"/>
    <w:rsid w:val="005B20C3"/>
    <w:rsid w:val="005B4960"/>
    <w:rsid w:val="005C2D6E"/>
    <w:rsid w:val="005C6A7C"/>
    <w:rsid w:val="005D407D"/>
    <w:rsid w:val="005E1B91"/>
    <w:rsid w:val="005E5388"/>
    <w:rsid w:val="005F1F5D"/>
    <w:rsid w:val="005F3A37"/>
    <w:rsid w:val="005F5198"/>
    <w:rsid w:val="005F5766"/>
    <w:rsid w:val="005F581E"/>
    <w:rsid w:val="005F6A7C"/>
    <w:rsid w:val="005F6B6F"/>
    <w:rsid w:val="0060135A"/>
    <w:rsid w:val="00602218"/>
    <w:rsid w:val="00602923"/>
    <w:rsid w:val="00605D6B"/>
    <w:rsid w:val="00613658"/>
    <w:rsid w:val="00613D9D"/>
    <w:rsid w:val="006179A4"/>
    <w:rsid w:val="00617B37"/>
    <w:rsid w:val="00622F89"/>
    <w:rsid w:val="0062554B"/>
    <w:rsid w:val="00627072"/>
    <w:rsid w:val="006274F5"/>
    <w:rsid w:val="00631A89"/>
    <w:rsid w:val="00641097"/>
    <w:rsid w:val="00642B2A"/>
    <w:rsid w:val="00647FAB"/>
    <w:rsid w:val="006524B2"/>
    <w:rsid w:val="00655427"/>
    <w:rsid w:val="006557D5"/>
    <w:rsid w:val="00656B66"/>
    <w:rsid w:val="00662424"/>
    <w:rsid w:val="00666CE1"/>
    <w:rsid w:val="00667DA3"/>
    <w:rsid w:val="00670BEF"/>
    <w:rsid w:val="00675AB1"/>
    <w:rsid w:val="0068225F"/>
    <w:rsid w:val="00682E31"/>
    <w:rsid w:val="00683C77"/>
    <w:rsid w:val="00684012"/>
    <w:rsid w:val="0068560B"/>
    <w:rsid w:val="00697D2E"/>
    <w:rsid w:val="006A3C11"/>
    <w:rsid w:val="006A3E62"/>
    <w:rsid w:val="006A4504"/>
    <w:rsid w:val="006A4E8E"/>
    <w:rsid w:val="006A7447"/>
    <w:rsid w:val="006B26A7"/>
    <w:rsid w:val="006B37F6"/>
    <w:rsid w:val="006B7235"/>
    <w:rsid w:val="006B7804"/>
    <w:rsid w:val="006C1725"/>
    <w:rsid w:val="006C4231"/>
    <w:rsid w:val="006C4A14"/>
    <w:rsid w:val="006C6791"/>
    <w:rsid w:val="006D7249"/>
    <w:rsid w:val="006E04F4"/>
    <w:rsid w:val="006E128B"/>
    <w:rsid w:val="006E3675"/>
    <w:rsid w:val="006E3AF1"/>
    <w:rsid w:val="006E46F6"/>
    <w:rsid w:val="006E6952"/>
    <w:rsid w:val="006F259A"/>
    <w:rsid w:val="006F5B3F"/>
    <w:rsid w:val="0070463A"/>
    <w:rsid w:val="007112EA"/>
    <w:rsid w:val="00716513"/>
    <w:rsid w:val="00724EC7"/>
    <w:rsid w:val="007257A6"/>
    <w:rsid w:val="0072580E"/>
    <w:rsid w:val="00726350"/>
    <w:rsid w:val="0073225F"/>
    <w:rsid w:val="00733D52"/>
    <w:rsid w:val="007378CF"/>
    <w:rsid w:val="00740E18"/>
    <w:rsid w:val="00742038"/>
    <w:rsid w:val="00742C80"/>
    <w:rsid w:val="00745699"/>
    <w:rsid w:val="00746B11"/>
    <w:rsid w:val="00751A36"/>
    <w:rsid w:val="00752679"/>
    <w:rsid w:val="007537C1"/>
    <w:rsid w:val="0075508F"/>
    <w:rsid w:val="00756F39"/>
    <w:rsid w:val="00757543"/>
    <w:rsid w:val="00760C96"/>
    <w:rsid w:val="00762D7C"/>
    <w:rsid w:val="00763B66"/>
    <w:rsid w:val="007705D9"/>
    <w:rsid w:val="00771A46"/>
    <w:rsid w:val="007738C5"/>
    <w:rsid w:val="0077599A"/>
    <w:rsid w:val="00776968"/>
    <w:rsid w:val="007777B0"/>
    <w:rsid w:val="007805CC"/>
    <w:rsid w:val="007828C8"/>
    <w:rsid w:val="00782DFF"/>
    <w:rsid w:val="00790FCF"/>
    <w:rsid w:val="00793F60"/>
    <w:rsid w:val="007971DC"/>
    <w:rsid w:val="00797F3C"/>
    <w:rsid w:val="007A2D2E"/>
    <w:rsid w:val="007A5F15"/>
    <w:rsid w:val="007B0610"/>
    <w:rsid w:val="007B44A2"/>
    <w:rsid w:val="007B7030"/>
    <w:rsid w:val="007C2C8D"/>
    <w:rsid w:val="007C2FFE"/>
    <w:rsid w:val="007C4294"/>
    <w:rsid w:val="007C79FB"/>
    <w:rsid w:val="007C7FE1"/>
    <w:rsid w:val="007D137F"/>
    <w:rsid w:val="007D188F"/>
    <w:rsid w:val="007D4744"/>
    <w:rsid w:val="007D4EB1"/>
    <w:rsid w:val="007D7BBF"/>
    <w:rsid w:val="007E01BB"/>
    <w:rsid w:val="007E0CB2"/>
    <w:rsid w:val="007E64C8"/>
    <w:rsid w:val="007F18EF"/>
    <w:rsid w:val="007F1BC9"/>
    <w:rsid w:val="007F2959"/>
    <w:rsid w:val="007F7A5F"/>
    <w:rsid w:val="007F7EC1"/>
    <w:rsid w:val="00802CF9"/>
    <w:rsid w:val="00804A31"/>
    <w:rsid w:val="0080577C"/>
    <w:rsid w:val="00806E9C"/>
    <w:rsid w:val="00810780"/>
    <w:rsid w:val="008107D4"/>
    <w:rsid w:val="00811565"/>
    <w:rsid w:val="00812A68"/>
    <w:rsid w:val="00816977"/>
    <w:rsid w:val="00817999"/>
    <w:rsid w:val="00822847"/>
    <w:rsid w:val="00826CB1"/>
    <w:rsid w:val="008301F7"/>
    <w:rsid w:val="00830993"/>
    <w:rsid w:val="0083143B"/>
    <w:rsid w:val="00831CFE"/>
    <w:rsid w:val="008400C7"/>
    <w:rsid w:val="00842060"/>
    <w:rsid w:val="0084604B"/>
    <w:rsid w:val="0085133B"/>
    <w:rsid w:val="008636A9"/>
    <w:rsid w:val="00865C21"/>
    <w:rsid w:val="008751C6"/>
    <w:rsid w:val="00875502"/>
    <w:rsid w:val="00877D93"/>
    <w:rsid w:val="00891213"/>
    <w:rsid w:val="00892F27"/>
    <w:rsid w:val="00893B5B"/>
    <w:rsid w:val="00895B16"/>
    <w:rsid w:val="008A0F7C"/>
    <w:rsid w:val="008A2A90"/>
    <w:rsid w:val="008A2DBA"/>
    <w:rsid w:val="008A3DAC"/>
    <w:rsid w:val="008B48EE"/>
    <w:rsid w:val="008B69EB"/>
    <w:rsid w:val="008C097C"/>
    <w:rsid w:val="008C1026"/>
    <w:rsid w:val="008C2CC0"/>
    <w:rsid w:val="008C5D9F"/>
    <w:rsid w:val="008D264D"/>
    <w:rsid w:val="008D2845"/>
    <w:rsid w:val="008E08F9"/>
    <w:rsid w:val="008E0E36"/>
    <w:rsid w:val="008E2529"/>
    <w:rsid w:val="008E4553"/>
    <w:rsid w:val="008E477B"/>
    <w:rsid w:val="008E4F70"/>
    <w:rsid w:val="008E6079"/>
    <w:rsid w:val="008E735F"/>
    <w:rsid w:val="008F124A"/>
    <w:rsid w:val="008F30E6"/>
    <w:rsid w:val="009141F2"/>
    <w:rsid w:val="00915AA6"/>
    <w:rsid w:val="0092040F"/>
    <w:rsid w:val="009250D8"/>
    <w:rsid w:val="0092591D"/>
    <w:rsid w:val="009362F0"/>
    <w:rsid w:val="00940421"/>
    <w:rsid w:val="00943117"/>
    <w:rsid w:val="00952364"/>
    <w:rsid w:val="00956255"/>
    <w:rsid w:val="00957226"/>
    <w:rsid w:val="00957D4A"/>
    <w:rsid w:val="0096145A"/>
    <w:rsid w:val="00961A40"/>
    <w:rsid w:val="00961EEE"/>
    <w:rsid w:val="00962CA7"/>
    <w:rsid w:val="00962D32"/>
    <w:rsid w:val="00970924"/>
    <w:rsid w:val="00972258"/>
    <w:rsid w:val="00974C3C"/>
    <w:rsid w:val="009774D0"/>
    <w:rsid w:val="00977F6F"/>
    <w:rsid w:val="0098256A"/>
    <w:rsid w:val="00983FB7"/>
    <w:rsid w:val="00986C15"/>
    <w:rsid w:val="0099198F"/>
    <w:rsid w:val="009939E8"/>
    <w:rsid w:val="00995D89"/>
    <w:rsid w:val="00997DEA"/>
    <w:rsid w:val="009A2BD0"/>
    <w:rsid w:val="009B7C4A"/>
    <w:rsid w:val="009C03F3"/>
    <w:rsid w:val="009C4A06"/>
    <w:rsid w:val="009C5344"/>
    <w:rsid w:val="009D2EF2"/>
    <w:rsid w:val="009D4F17"/>
    <w:rsid w:val="009D5C1F"/>
    <w:rsid w:val="009D6D00"/>
    <w:rsid w:val="009D7B1A"/>
    <w:rsid w:val="009E4CBB"/>
    <w:rsid w:val="009E50F4"/>
    <w:rsid w:val="009E75F2"/>
    <w:rsid w:val="009E7C1A"/>
    <w:rsid w:val="009F097A"/>
    <w:rsid w:val="00A00449"/>
    <w:rsid w:val="00A027DB"/>
    <w:rsid w:val="00A04AC0"/>
    <w:rsid w:val="00A058CB"/>
    <w:rsid w:val="00A06458"/>
    <w:rsid w:val="00A07DF3"/>
    <w:rsid w:val="00A1635D"/>
    <w:rsid w:val="00A164D6"/>
    <w:rsid w:val="00A17883"/>
    <w:rsid w:val="00A205A0"/>
    <w:rsid w:val="00A2653E"/>
    <w:rsid w:val="00A26A72"/>
    <w:rsid w:val="00A34539"/>
    <w:rsid w:val="00A416AB"/>
    <w:rsid w:val="00A43FEA"/>
    <w:rsid w:val="00A4415F"/>
    <w:rsid w:val="00A47B6D"/>
    <w:rsid w:val="00A53E1D"/>
    <w:rsid w:val="00A55D3A"/>
    <w:rsid w:val="00A632C0"/>
    <w:rsid w:val="00A646B8"/>
    <w:rsid w:val="00A70623"/>
    <w:rsid w:val="00A71C04"/>
    <w:rsid w:val="00A7439D"/>
    <w:rsid w:val="00A82723"/>
    <w:rsid w:val="00A82A67"/>
    <w:rsid w:val="00A82F21"/>
    <w:rsid w:val="00A84C5B"/>
    <w:rsid w:val="00A85CED"/>
    <w:rsid w:val="00A90AD0"/>
    <w:rsid w:val="00A941D1"/>
    <w:rsid w:val="00AA0C4E"/>
    <w:rsid w:val="00AA33F4"/>
    <w:rsid w:val="00AA45AD"/>
    <w:rsid w:val="00AA7677"/>
    <w:rsid w:val="00AB0A58"/>
    <w:rsid w:val="00AB3552"/>
    <w:rsid w:val="00AB434D"/>
    <w:rsid w:val="00AB551F"/>
    <w:rsid w:val="00AB6721"/>
    <w:rsid w:val="00AB6A52"/>
    <w:rsid w:val="00AB7D8B"/>
    <w:rsid w:val="00AC38C9"/>
    <w:rsid w:val="00AC61F1"/>
    <w:rsid w:val="00AC675D"/>
    <w:rsid w:val="00AD0F3C"/>
    <w:rsid w:val="00AD7798"/>
    <w:rsid w:val="00AD7CF1"/>
    <w:rsid w:val="00AE2FA8"/>
    <w:rsid w:val="00AE6389"/>
    <w:rsid w:val="00AE707E"/>
    <w:rsid w:val="00AF25CF"/>
    <w:rsid w:val="00AF415F"/>
    <w:rsid w:val="00AF769D"/>
    <w:rsid w:val="00B013E4"/>
    <w:rsid w:val="00B02A99"/>
    <w:rsid w:val="00B0557A"/>
    <w:rsid w:val="00B07B0F"/>
    <w:rsid w:val="00B07F0E"/>
    <w:rsid w:val="00B14142"/>
    <w:rsid w:val="00B15ECF"/>
    <w:rsid w:val="00B210EB"/>
    <w:rsid w:val="00B21BF1"/>
    <w:rsid w:val="00B21DB2"/>
    <w:rsid w:val="00B2225C"/>
    <w:rsid w:val="00B32503"/>
    <w:rsid w:val="00B33793"/>
    <w:rsid w:val="00B343CC"/>
    <w:rsid w:val="00B347AE"/>
    <w:rsid w:val="00B376FE"/>
    <w:rsid w:val="00B43388"/>
    <w:rsid w:val="00B47A4C"/>
    <w:rsid w:val="00B54EC7"/>
    <w:rsid w:val="00B61484"/>
    <w:rsid w:val="00B634BB"/>
    <w:rsid w:val="00B71E40"/>
    <w:rsid w:val="00B72380"/>
    <w:rsid w:val="00B811CD"/>
    <w:rsid w:val="00B83121"/>
    <w:rsid w:val="00B834CB"/>
    <w:rsid w:val="00B8372F"/>
    <w:rsid w:val="00B85E10"/>
    <w:rsid w:val="00B91E8A"/>
    <w:rsid w:val="00B94BF9"/>
    <w:rsid w:val="00B967C9"/>
    <w:rsid w:val="00B9773A"/>
    <w:rsid w:val="00BA02E0"/>
    <w:rsid w:val="00BA318D"/>
    <w:rsid w:val="00BA3EF8"/>
    <w:rsid w:val="00BA553D"/>
    <w:rsid w:val="00BB22BE"/>
    <w:rsid w:val="00BB4EE0"/>
    <w:rsid w:val="00BB52F7"/>
    <w:rsid w:val="00BB7AD9"/>
    <w:rsid w:val="00BC190E"/>
    <w:rsid w:val="00BC45B1"/>
    <w:rsid w:val="00BC512F"/>
    <w:rsid w:val="00BD079A"/>
    <w:rsid w:val="00BD11E4"/>
    <w:rsid w:val="00BD68B0"/>
    <w:rsid w:val="00BE23B0"/>
    <w:rsid w:val="00BE46EE"/>
    <w:rsid w:val="00BE6264"/>
    <w:rsid w:val="00BF123A"/>
    <w:rsid w:val="00BF2C4B"/>
    <w:rsid w:val="00BF497A"/>
    <w:rsid w:val="00BF6E58"/>
    <w:rsid w:val="00BF6E82"/>
    <w:rsid w:val="00C00911"/>
    <w:rsid w:val="00C042D0"/>
    <w:rsid w:val="00C04F1C"/>
    <w:rsid w:val="00C1217A"/>
    <w:rsid w:val="00C12B90"/>
    <w:rsid w:val="00C21304"/>
    <w:rsid w:val="00C25BA6"/>
    <w:rsid w:val="00C25E78"/>
    <w:rsid w:val="00C2749A"/>
    <w:rsid w:val="00C34168"/>
    <w:rsid w:val="00C40A95"/>
    <w:rsid w:val="00C41848"/>
    <w:rsid w:val="00C46A34"/>
    <w:rsid w:val="00C47B05"/>
    <w:rsid w:val="00C53BC0"/>
    <w:rsid w:val="00C546DE"/>
    <w:rsid w:val="00C5616B"/>
    <w:rsid w:val="00C577C2"/>
    <w:rsid w:val="00C60BBF"/>
    <w:rsid w:val="00C62D9B"/>
    <w:rsid w:val="00C63236"/>
    <w:rsid w:val="00C6371B"/>
    <w:rsid w:val="00C661BD"/>
    <w:rsid w:val="00C679E2"/>
    <w:rsid w:val="00C70DE7"/>
    <w:rsid w:val="00C722E5"/>
    <w:rsid w:val="00C77BDF"/>
    <w:rsid w:val="00C818E7"/>
    <w:rsid w:val="00C81AA5"/>
    <w:rsid w:val="00C85DE5"/>
    <w:rsid w:val="00C87C06"/>
    <w:rsid w:val="00C90D1B"/>
    <w:rsid w:val="00C929D2"/>
    <w:rsid w:val="00CA01C7"/>
    <w:rsid w:val="00CA1882"/>
    <w:rsid w:val="00CA35A9"/>
    <w:rsid w:val="00CA796E"/>
    <w:rsid w:val="00CB22AA"/>
    <w:rsid w:val="00CB3B7B"/>
    <w:rsid w:val="00CC5E5B"/>
    <w:rsid w:val="00CC5FCD"/>
    <w:rsid w:val="00CD1EC6"/>
    <w:rsid w:val="00CD28FD"/>
    <w:rsid w:val="00CD3A46"/>
    <w:rsid w:val="00CD4E42"/>
    <w:rsid w:val="00CD6ACF"/>
    <w:rsid w:val="00CD7FB7"/>
    <w:rsid w:val="00CE0EE5"/>
    <w:rsid w:val="00CE11EA"/>
    <w:rsid w:val="00CE12ED"/>
    <w:rsid w:val="00CE1EB5"/>
    <w:rsid w:val="00CE20D7"/>
    <w:rsid w:val="00CF0694"/>
    <w:rsid w:val="00CF1BC9"/>
    <w:rsid w:val="00CF4AD4"/>
    <w:rsid w:val="00CF7641"/>
    <w:rsid w:val="00D015FD"/>
    <w:rsid w:val="00D01965"/>
    <w:rsid w:val="00D0212B"/>
    <w:rsid w:val="00D0454F"/>
    <w:rsid w:val="00D1005F"/>
    <w:rsid w:val="00D14222"/>
    <w:rsid w:val="00D156D4"/>
    <w:rsid w:val="00D1742A"/>
    <w:rsid w:val="00D222A5"/>
    <w:rsid w:val="00D27559"/>
    <w:rsid w:val="00D304EC"/>
    <w:rsid w:val="00D32885"/>
    <w:rsid w:val="00D33E23"/>
    <w:rsid w:val="00D37475"/>
    <w:rsid w:val="00D37CEF"/>
    <w:rsid w:val="00D403AF"/>
    <w:rsid w:val="00D404DE"/>
    <w:rsid w:val="00D42B0E"/>
    <w:rsid w:val="00D44A6F"/>
    <w:rsid w:val="00D47AA4"/>
    <w:rsid w:val="00D507CB"/>
    <w:rsid w:val="00D5510E"/>
    <w:rsid w:val="00D55820"/>
    <w:rsid w:val="00D60E89"/>
    <w:rsid w:val="00D63BB3"/>
    <w:rsid w:val="00D65CF3"/>
    <w:rsid w:val="00D72206"/>
    <w:rsid w:val="00D734A6"/>
    <w:rsid w:val="00D737AC"/>
    <w:rsid w:val="00D76F02"/>
    <w:rsid w:val="00D76F8A"/>
    <w:rsid w:val="00D7731A"/>
    <w:rsid w:val="00D804A1"/>
    <w:rsid w:val="00D8069F"/>
    <w:rsid w:val="00D80CFA"/>
    <w:rsid w:val="00D80E9A"/>
    <w:rsid w:val="00D816DA"/>
    <w:rsid w:val="00D82D7D"/>
    <w:rsid w:val="00D85675"/>
    <w:rsid w:val="00D872E4"/>
    <w:rsid w:val="00D87B3B"/>
    <w:rsid w:val="00D933D1"/>
    <w:rsid w:val="00D93A62"/>
    <w:rsid w:val="00D9620C"/>
    <w:rsid w:val="00D9638C"/>
    <w:rsid w:val="00DA1108"/>
    <w:rsid w:val="00DA5EE3"/>
    <w:rsid w:val="00DA621E"/>
    <w:rsid w:val="00DB20F8"/>
    <w:rsid w:val="00DB4CFE"/>
    <w:rsid w:val="00DB4DED"/>
    <w:rsid w:val="00DB4E31"/>
    <w:rsid w:val="00DB6C30"/>
    <w:rsid w:val="00DC3AA8"/>
    <w:rsid w:val="00DC55BE"/>
    <w:rsid w:val="00DD0852"/>
    <w:rsid w:val="00DD0DAA"/>
    <w:rsid w:val="00DE0E5F"/>
    <w:rsid w:val="00DE408A"/>
    <w:rsid w:val="00DE5E79"/>
    <w:rsid w:val="00DF2C8E"/>
    <w:rsid w:val="00DF3226"/>
    <w:rsid w:val="00DF4787"/>
    <w:rsid w:val="00E004E5"/>
    <w:rsid w:val="00E03488"/>
    <w:rsid w:val="00E03F3A"/>
    <w:rsid w:val="00E064D7"/>
    <w:rsid w:val="00E078A8"/>
    <w:rsid w:val="00E07B6E"/>
    <w:rsid w:val="00E126AC"/>
    <w:rsid w:val="00E14275"/>
    <w:rsid w:val="00E15396"/>
    <w:rsid w:val="00E15B66"/>
    <w:rsid w:val="00E17726"/>
    <w:rsid w:val="00E202D0"/>
    <w:rsid w:val="00E225A1"/>
    <w:rsid w:val="00E31AF1"/>
    <w:rsid w:val="00E31BA0"/>
    <w:rsid w:val="00E31E22"/>
    <w:rsid w:val="00E32245"/>
    <w:rsid w:val="00E34D9A"/>
    <w:rsid w:val="00E36BA7"/>
    <w:rsid w:val="00E370D6"/>
    <w:rsid w:val="00E4320E"/>
    <w:rsid w:val="00E4532C"/>
    <w:rsid w:val="00E47C02"/>
    <w:rsid w:val="00E507CA"/>
    <w:rsid w:val="00E51198"/>
    <w:rsid w:val="00E55F2B"/>
    <w:rsid w:val="00E6411A"/>
    <w:rsid w:val="00E66276"/>
    <w:rsid w:val="00E67AE0"/>
    <w:rsid w:val="00E80676"/>
    <w:rsid w:val="00E80D54"/>
    <w:rsid w:val="00E82352"/>
    <w:rsid w:val="00E837FC"/>
    <w:rsid w:val="00E85C45"/>
    <w:rsid w:val="00E90820"/>
    <w:rsid w:val="00E92677"/>
    <w:rsid w:val="00E96777"/>
    <w:rsid w:val="00E97407"/>
    <w:rsid w:val="00EA222F"/>
    <w:rsid w:val="00EA2755"/>
    <w:rsid w:val="00EA3CAC"/>
    <w:rsid w:val="00EA451F"/>
    <w:rsid w:val="00EA48CE"/>
    <w:rsid w:val="00EB1E03"/>
    <w:rsid w:val="00EB2772"/>
    <w:rsid w:val="00EB4794"/>
    <w:rsid w:val="00EC190E"/>
    <w:rsid w:val="00EC2A43"/>
    <w:rsid w:val="00EC43B7"/>
    <w:rsid w:val="00EC6AC1"/>
    <w:rsid w:val="00ED045B"/>
    <w:rsid w:val="00ED3AC7"/>
    <w:rsid w:val="00ED4842"/>
    <w:rsid w:val="00ED77B8"/>
    <w:rsid w:val="00EE107F"/>
    <w:rsid w:val="00EE381C"/>
    <w:rsid w:val="00EE4BA2"/>
    <w:rsid w:val="00EE631F"/>
    <w:rsid w:val="00EF1A2D"/>
    <w:rsid w:val="00EF38E9"/>
    <w:rsid w:val="00EF3AE7"/>
    <w:rsid w:val="00F017F1"/>
    <w:rsid w:val="00F02BFF"/>
    <w:rsid w:val="00F03419"/>
    <w:rsid w:val="00F074DE"/>
    <w:rsid w:val="00F1178B"/>
    <w:rsid w:val="00F144D3"/>
    <w:rsid w:val="00F14F18"/>
    <w:rsid w:val="00F14FE3"/>
    <w:rsid w:val="00F16681"/>
    <w:rsid w:val="00F1714A"/>
    <w:rsid w:val="00F22217"/>
    <w:rsid w:val="00F275D9"/>
    <w:rsid w:val="00F27621"/>
    <w:rsid w:val="00F27AF1"/>
    <w:rsid w:val="00F32678"/>
    <w:rsid w:val="00F33E8B"/>
    <w:rsid w:val="00F34E58"/>
    <w:rsid w:val="00F35809"/>
    <w:rsid w:val="00F359D6"/>
    <w:rsid w:val="00F35F00"/>
    <w:rsid w:val="00F36CF2"/>
    <w:rsid w:val="00F41F37"/>
    <w:rsid w:val="00F4556A"/>
    <w:rsid w:val="00F47688"/>
    <w:rsid w:val="00F47774"/>
    <w:rsid w:val="00F519EA"/>
    <w:rsid w:val="00F52AF1"/>
    <w:rsid w:val="00F53246"/>
    <w:rsid w:val="00F536A5"/>
    <w:rsid w:val="00F6086C"/>
    <w:rsid w:val="00F60EE2"/>
    <w:rsid w:val="00F61B8E"/>
    <w:rsid w:val="00F61FF1"/>
    <w:rsid w:val="00F64653"/>
    <w:rsid w:val="00F65D74"/>
    <w:rsid w:val="00F667B8"/>
    <w:rsid w:val="00F762EE"/>
    <w:rsid w:val="00F80303"/>
    <w:rsid w:val="00F82086"/>
    <w:rsid w:val="00F82A31"/>
    <w:rsid w:val="00F83612"/>
    <w:rsid w:val="00F83E83"/>
    <w:rsid w:val="00F86E02"/>
    <w:rsid w:val="00F86F50"/>
    <w:rsid w:val="00F90EAF"/>
    <w:rsid w:val="00F91375"/>
    <w:rsid w:val="00F95451"/>
    <w:rsid w:val="00F95653"/>
    <w:rsid w:val="00F96333"/>
    <w:rsid w:val="00FA6DF5"/>
    <w:rsid w:val="00FB139B"/>
    <w:rsid w:val="00FB269D"/>
    <w:rsid w:val="00FB2E0C"/>
    <w:rsid w:val="00FB4150"/>
    <w:rsid w:val="00FB5640"/>
    <w:rsid w:val="00FB7113"/>
    <w:rsid w:val="00FC16F5"/>
    <w:rsid w:val="00FC3D13"/>
    <w:rsid w:val="00FD1D24"/>
    <w:rsid w:val="00FD5136"/>
    <w:rsid w:val="00FE280E"/>
    <w:rsid w:val="00FE3B5B"/>
    <w:rsid w:val="00FE3C3A"/>
    <w:rsid w:val="00FE4CB1"/>
    <w:rsid w:val="00FE7374"/>
    <w:rsid w:val="00FF1E66"/>
    <w:rsid w:val="00FF2B9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6A857B58-AEA0-4BF6-8376-7D90CC4D4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C30"/>
    <w:pPr>
      <w:widowControl w:val="0"/>
      <w:spacing w:after="0" w:line="240" w:lineRule="auto"/>
    </w:pPr>
    <w:rPr>
      <w:rFonts w:ascii="Times New Roman" w:eastAsia="Times New Roman" w:hAnsi="Times New Roman" w:cs="Times New Roman"/>
      <w:snapToGrid w:val="0"/>
      <w:szCs w:val="20"/>
    </w:rPr>
  </w:style>
  <w:style w:type="paragraph" w:styleId="Heading2">
    <w:name w:val="heading 2"/>
    <w:basedOn w:val="Normal"/>
    <w:next w:val="Normal"/>
    <w:link w:val="Heading2Char"/>
    <w:qFormat/>
    <w:rsid w:val="00DE5E79"/>
    <w:pPr>
      <w:keepNext/>
      <w:suppressAutoHyphens/>
      <w:spacing w:before="240" w:line="228" w:lineRule="auto"/>
      <w:jc w:val="center"/>
      <w:outlineLvl w:val="1"/>
    </w:pPr>
    <w:rPr>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E5E79"/>
    <w:rPr>
      <w:rFonts w:ascii="Times New Roman" w:eastAsia="Times New Roman" w:hAnsi="Times New Roman" w:cs="Times New Roman"/>
      <w:snapToGrid w:val="0"/>
      <w:spacing w:val="-2"/>
      <w:sz w:val="24"/>
      <w:szCs w:val="20"/>
    </w:rPr>
  </w:style>
  <w:style w:type="paragraph" w:styleId="FootnoteText">
    <w:name w:val="footnote text"/>
    <w:aliases w:val="Footnote Text Char Char Char4 Char,Footnote Text Char1,Footnote Text Char4 Char1 Char,Footnote Text Char4 Char1 Char Char Char Char,Footnote Text Char7 Char,Footnote Text Char7 Char Char Char Char,f,fn,fn Char,fn Char Char,rrfootnote"/>
    <w:basedOn w:val="Normal"/>
    <w:link w:val="FootnoteTextChar"/>
    <w:uiPriority w:val="99"/>
    <w:rsid w:val="00DE5E79"/>
    <w:pPr>
      <w:widowControl/>
      <w:spacing w:after="120"/>
    </w:pPr>
    <w:rPr>
      <w:sz w:val="20"/>
    </w:rPr>
  </w:style>
  <w:style w:type="character" w:customStyle="1" w:styleId="FootnoteTextChar">
    <w:name w:val="Footnote Text Char"/>
    <w:aliases w:val="Footnote Text Char Char Char4 Char Char,Footnote Text Char1 Char,Footnote Text Char4 Char1 Char Char,Footnote Text Char4 Char1 Char Char Char Char Char,Footnote Text Char7 Char Char,Footnote Text Char7 Char Char Char Char Char,f Char"/>
    <w:basedOn w:val="DefaultParagraphFont"/>
    <w:link w:val="FootnoteText"/>
    <w:uiPriority w:val="99"/>
    <w:rsid w:val="00DE5E79"/>
    <w:rPr>
      <w:rFonts w:ascii="Times New Roman" w:eastAsia="Times New Roman" w:hAnsi="Times New Roman" w:cs="Times New Roman"/>
      <w:snapToGrid w:val="0"/>
      <w:sz w:val="20"/>
      <w:szCs w:val="20"/>
    </w:rPr>
  </w:style>
  <w:style w:type="character" w:styleId="FootnoteReference">
    <w:name w:val="footnote reference"/>
    <w:aliases w:val="(NECG) Footnote Reference,Appel note de bas de p,FR,Footnote Reference/,Style 12,Style 124,Style 13,Style 17,Style 3,Style 4,Style 6,Style 7,fr,o"/>
    <w:basedOn w:val="DefaultParagraphFont"/>
    <w:uiPriority w:val="99"/>
    <w:rsid w:val="00DE5E79"/>
    <w:rPr>
      <w:rFonts w:ascii="CG Times" w:hAnsi="CG Times"/>
      <w:sz w:val="20"/>
      <w:vertAlign w:val="superscript"/>
    </w:rPr>
  </w:style>
  <w:style w:type="paragraph" w:styleId="Footer">
    <w:name w:val="footer"/>
    <w:basedOn w:val="Normal"/>
    <w:link w:val="FooterChar"/>
    <w:rsid w:val="00DE5E79"/>
    <w:pPr>
      <w:tabs>
        <w:tab w:val="center" w:pos="4320"/>
        <w:tab w:val="right" w:pos="8640"/>
      </w:tabs>
    </w:pPr>
  </w:style>
  <w:style w:type="character" w:customStyle="1" w:styleId="FooterChar">
    <w:name w:val="Footer Char"/>
    <w:basedOn w:val="DefaultParagraphFont"/>
    <w:link w:val="Footer"/>
    <w:rsid w:val="00DE5E79"/>
    <w:rPr>
      <w:rFonts w:ascii="Times New Roman" w:eastAsia="Times New Roman" w:hAnsi="Times New Roman" w:cs="Times New Roman"/>
      <w:snapToGrid w:val="0"/>
      <w:sz w:val="24"/>
      <w:szCs w:val="20"/>
    </w:rPr>
  </w:style>
  <w:style w:type="character" w:styleId="PageNumber">
    <w:name w:val="page number"/>
    <w:basedOn w:val="DefaultParagraphFont"/>
    <w:rsid w:val="00DE5E79"/>
  </w:style>
  <w:style w:type="paragraph" w:styleId="BodyText">
    <w:name w:val="Body Text"/>
    <w:basedOn w:val="Normal"/>
    <w:link w:val="BodyTextChar"/>
    <w:rsid w:val="00DE5E79"/>
    <w:pPr>
      <w:widowControl/>
      <w:jc w:val="both"/>
    </w:pPr>
    <w:rPr>
      <w:snapToGrid/>
    </w:rPr>
  </w:style>
  <w:style w:type="character" w:customStyle="1" w:styleId="BodyTextChar">
    <w:name w:val="Body Text Char"/>
    <w:basedOn w:val="DefaultParagraphFont"/>
    <w:link w:val="BodyText"/>
    <w:rsid w:val="00DE5E79"/>
    <w:rPr>
      <w:rFonts w:ascii="Times New Roman" w:eastAsia="Times New Roman" w:hAnsi="Times New Roman" w:cs="Times New Roman"/>
      <w:sz w:val="24"/>
      <w:szCs w:val="20"/>
    </w:rPr>
  </w:style>
  <w:style w:type="paragraph" w:styleId="BodyText3">
    <w:name w:val="Body Text 3"/>
    <w:basedOn w:val="Normal"/>
    <w:link w:val="BodyText3Char"/>
    <w:rsid w:val="00DE5E79"/>
    <w:pPr>
      <w:spacing w:after="120"/>
    </w:pPr>
    <w:rPr>
      <w:sz w:val="16"/>
      <w:szCs w:val="16"/>
    </w:rPr>
  </w:style>
  <w:style w:type="character" w:customStyle="1" w:styleId="BodyText3Char">
    <w:name w:val="Body Text 3 Char"/>
    <w:basedOn w:val="DefaultParagraphFont"/>
    <w:link w:val="BodyText3"/>
    <w:rsid w:val="00DE5E79"/>
    <w:rPr>
      <w:rFonts w:ascii="Times New Roman" w:eastAsia="Times New Roman" w:hAnsi="Times New Roman" w:cs="Times New Roman"/>
      <w:snapToGrid w:val="0"/>
      <w:sz w:val="16"/>
      <w:szCs w:val="16"/>
    </w:rPr>
  </w:style>
  <w:style w:type="paragraph" w:styleId="ListParagraph">
    <w:name w:val="List Paragraph"/>
    <w:basedOn w:val="Normal"/>
    <w:uiPriority w:val="34"/>
    <w:qFormat/>
    <w:rsid w:val="00DE5E79"/>
    <w:pPr>
      <w:ind w:left="720"/>
      <w:contextualSpacing/>
    </w:pPr>
  </w:style>
  <w:style w:type="character" w:customStyle="1" w:styleId="documentbody5">
    <w:name w:val="documentbody5"/>
    <w:rsid w:val="00DE5E79"/>
    <w:rPr>
      <w:rFonts w:ascii="Verdana" w:hAnsi="Verdana" w:hint="default"/>
      <w:sz w:val="19"/>
      <w:szCs w:val="19"/>
    </w:rPr>
  </w:style>
  <w:style w:type="character" w:styleId="Hyperlink">
    <w:name w:val="Hyperlink"/>
    <w:basedOn w:val="DefaultParagraphFont"/>
    <w:uiPriority w:val="99"/>
    <w:unhideWhenUsed/>
    <w:rsid w:val="00DE5E79"/>
    <w:rPr>
      <w:color w:val="0000FF" w:themeColor="hyperlink"/>
      <w:u w:val="single"/>
    </w:rPr>
  </w:style>
  <w:style w:type="character" w:styleId="FollowedHyperlink">
    <w:name w:val="FollowedHyperlink"/>
    <w:basedOn w:val="DefaultParagraphFont"/>
    <w:uiPriority w:val="99"/>
    <w:semiHidden/>
    <w:unhideWhenUsed/>
    <w:rsid w:val="00B94BF9"/>
    <w:rPr>
      <w:color w:val="800080" w:themeColor="followedHyperlink"/>
      <w:u w:val="single"/>
    </w:rPr>
  </w:style>
  <w:style w:type="paragraph" w:styleId="Header">
    <w:name w:val="header"/>
    <w:basedOn w:val="Normal"/>
    <w:link w:val="HeaderChar"/>
    <w:uiPriority w:val="99"/>
    <w:unhideWhenUsed/>
    <w:rsid w:val="00FD1D24"/>
    <w:pPr>
      <w:tabs>
        <w:tab w:val="center" w:pos="4680"/>
        <w:tab w:val="right" w:pos="9360"/>
      </w:tabs>
    </w:pPr>
  </w:style>
  <w:style w:type="character" w:customStyle="1" w:styleId="HeaderChar">
    <w:name w:val="Header Char"/>
    <w:basedOn w:val="DefaultParagraphFont"/>
    <w:link w:val="Header"/>
    <w:uiPriority w:val="99"/>
    <w:rsid w:val="00FD1D24"/>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1F4B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B25"/>
    <w:rPr>
      <w:rFonts w:ascii="Segoe UI" w:eastAsia="Times New Roman" w:hAnsi="Segoe UI" w:cs="Segoe UI"/>
      <w:snapToGrid w:val="0"/>
      <w:sz w:val="18"/>
      <w:szCs w:val="18"/>
    </w:rPr>
  </w:style>
  <w:style w:type="character" w:customStyle="1" w:styleId="FootnoteTextChar2">
    <w:name w:val="Footnote Text Char2"/>
    <w:aliases w:val="Footnote Text Char Char1 Char Char,Footnote Text Char Char1 Char Char Char1 Char,Footnote Text Char1 Char Char,Footnote Text Char1 Char Char Char1 Char Char Char,Footnote Text Char1 Char1,Footnote Text Char2 Char1 Char Char Char"/>
    <w:locked/>
    <w:rsid w:val="005A1CF0"/>
    <w:rPr>
      <w:rFonts w:ascii="Times New Roman" w:eastAsia="Times New Roman" w:hAnsi="Times New Roman" w:cs="Times New Roman"/>
      <w:sz w:val="20"/>
      <w:szCs w:val="20"/>
    </w:rPr>
  </w:style>
  <w:style w:type="paragraph" w:customStyle="1" w:styleId="ParaNum">
    <w:name w:val="ParaNum"/>
    <w:basedOn w:val="Normal"/>
    <w:link w:val="ParaNumChar"/>
    <w:rsid w:val="005A1CF0"/>
    <w:pPr>
      <w:numPr>
        <w:numId w:val="4"/>
      </w:numPr>
      <w:spacing w:after="120"/>
    </w:pPr>
    <w:rPr>
      <w:kern w:val="28"/>
    </w:rPr>
  </w:style>
  <w:style w:type="character" w:customStyle="1" w:styleId="ParaNumChar">
    <w:name w:val="ParaNum Char"/>
    <w:link w:val="ParaNum"/>
    <w:locked/>
    <w:rsid w:val="005A1CF0"/>
    <w:rPr>
      <w:rFonts w:ascii="Times New Roman" w:eastAsia="Times New Roman" w:hAnsi="Times New Roman" w:cs="Times New Roman"/>
      <w:snapToGrid w:val="0"/>
      <w:kern w:val="28"/>
      <w:szCs w:val="20"/>
    </w:rPr>
  </w:style>
  <w:style w:type="character" w:customStyle="1" w:styleId="documentbody">
    <w:name w:val="documentbody"/>
    <w:rsid w:val="005A1CF0"/>
    <w:rPr>
      <w:rFonts w:cs="Times New Roman"/>
    </w:rPr>
  </w:style>
  <w:style w:type="character" w:styleId="Emphasis">
    <w:name w:val="Emphasis"/>
    <w:basedOn w:val="DefaultParagraphFont"/>
    <w:uiPriority w:val="20"/>
    <w:qFormat/>
    <w:rsid w:val="005A1CF0"/>
    <w:rPr>
      <w:i/>
      <w:iCs/>
    </w:rPr>
  </w:style>
  <w:style w:type="character" w:customStyle="1" w:styleId="cosearchterm">
    <w:name w:val="co_searchterm"/>
    <w:basedOn w:val="DefaultParagraphFont"/>
    <w:rsid w:val="005A1CF0"/>
  </w:style>
  <w:style w:type="character" w:customStyle="1" w:styleId="FootnoteTextChar5">
    <w:name w:val="Footnote Text Char5"/>
    <w:aliases w:val="Footnote Text Char Char Char Char Char,Footnote Text Char Char Char Char Char Char Char,Footnote Text Char1 Char Char Char Char Char,Footnote Text Char1 Char1 Char Char,Footnote Text Char3 Char Char Char Char Char Char Char Char"/>
    <w:rsid w:val="002073F7"/>
  </w:style>
  <w:style w:type="character" w:styleId="CommentReference">
    <w:name w:val="annotation reference"/>
    <w:basedOn w:val="DefaultParagraphFont"/>
    <w:uiPriority w:val="99"/>
    <w:semiHidden/>
    <w:unhideWhenUsed/>
    <w:rsid w:val="0027253D"/>
    <w:rPr>
      <w:sz w:val="16"/>
      <w:szCs w:val="16"/>
    </w:rPr>
  </w:style>
  <w:style w:type="paragraph" w:styleId="CommentText">
    <w:name w:val="annotation text"/>
    <w:basedOn w:val="Normal"/>
    <w:link w:val="CommentTextChar"/>
    <w:uiPriority w:val="99"/>
    <w:semiHidden/>
    <w:unhideWhenUsed/>
    <w:rsid w:val="0027253D"/>
    <w:rPr>
      <w:sz w:val="20"/>
    </w:rPr>
  </w:style>
  <w:style w:type="character" w:customStyle="1" w:styleId="CommentTextChar">
    <w:name w:val="Comment Text Char"/>
    <w:basedOn w:val="DefaultParagraphFont"/>
    <w:link w:val="CommentText"/>
    <w:uiPriority w:val="99"/>
    <w:semiHidden/>
    <w:rsid w:val="0027253D"/>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27253D"/>
    <w:rPr>
      <w:b/>
      <w:bCs/>
    </w:rPr>
  </w:style>
  <w:style w:type="character" w:customStyle="1" w:styleId="CommentSubjectChar">
    <w:name w:val="Comment Subject Char"/>
    <w:basedOn w:val="CommentTextChar"/>
    <w:link w:val="CommentSubject"/>
    <w:uiPriority w:val="99"/>
    <w:semiHidden/>
    <w:rsid w:val="0027253D"/>
    <w:rPr>
      <w:rFonts w:ascii="Times New Roman" w:eastAsia="Times New Roman" w:hAnsi="Times New Roman" w:cs="Times New Roman"/>
      <w:b/>
      <w:bCs/>
      <w:snapToGrid w:val="0"/>
      <w:sz w:val="20"/>
      <w:szCs w:val="20"/>
    </w:rPr>
  </w:style>
  <w:style w:type="character" w:styleId="PlaceholderText">
    <w:name w:val="Placeholder Text"/>
    <w:basedOn w:val="DefaultParagraphFont"/>
    <w:uiPriority w:val="99"/>
    <w:semiHidden/>
    <w:rsid w:val="00F86F50"/>
    <w:rPr>
      <w:color w:val="808080"/>
    </w:rPr>
  </w:style>
  <w:style w:type="character" w:customStyle="1" w:styleId="Style1">
    <w:name w:val="Style1"/>
    <w:basedOn w:val="DefaultParagraphFont"/>
    <w:uiPriority w:val="1"/>
    <w:rsid w:val="00141F4C"/>
    <w:rPr>
      <w:b/>
    </w:rPr>
  </w:style>
  <w:style w:type="character" w:customStyle="1" w:styleId="Style2">
    <w:name w:val="Style2"/>
    <w:basedOn w:val="DefaultParagraphFont"/>
    <w:uiPriority w:val="1"/>
    <w:rsid w:val="00456E08"/>
    <w:rPr>
      <w:rFonts w:ascii="Times New Roman" w:hAnsi="Times New Roman"/>
      <w:b/>
      <w:sz w:val="22"/>
    </w:rPr>
  </w:style>
  <w:style w:type="paragraph" w:styleId="EndnoteText">
    <w:name w:val="endnote text"/>
    <w:basedOn w:val="Normal"/>
    <w:link w:val="EndnoteTextChar"/>
    <w:semiHidden/>
    <w:rsid w:val="00544604"/>
    <w:rPr>
      <w:kern w:val="28"/>
      <w:sz w:val="20"/>
    </w:rPr>
  </w:style>
  <w:style w:type="character" w:customStyle="1" w:styleId="EndnoteTextChar">
    <w:name w:val="Endnote Text Char"/>
    <w:basedOn w:val="DefaultParagraphFont"/>
    <w:link w:val="EndnoteText"/>
    <w:semiHidden/>
    <w:rsid w:val="00544604"/>
    <w:rPr>
      <w:rFonts w:ascii="Times New Roman" w:eastAsia="Times New Roman" w:hAnsi="Times New Roman" w:cs="Times New Roman"/>
      <w:snapToGrid w:val="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theme" Target="theme/theme1.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_rels/settings.xml.rels>&#65279;<?xml version="1.0" encoding="utf-8" standalone="yes"?><Relationships xmlns="http://schemas.openxmlformats.org/package/2006/relationships"><Relationship Id="rId1" Type="http://schemas.openxmlformats.org/officeDocument/2006/relationships/attachedTemplate" Target="file:///D:\Users\Thomas.Nessinger\Documents\Custom%20Office%20Templates\MB-AD%20Letter%20Template%20(unpub).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MB-AD Letter Template (unpub)</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