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10C5" w:rsidP="00FA6CB0" w14:paraId="34BA1922" w14:textId="6C12081C">
      <w:pPr>
        <w:tabs>
          <w:tab w:val="left" w:pos="-1440"/>
          <w:tab w:val="left" w:pos="-720"/>
          <w:tab w:val="left" w:pos="4788"/>
          <w:tab w:val="left" w:pos="5760"/>
          <w:tab w:val="left" w:pos="6480"/>
        </w:tabs>
        <w:suppressAutoHyphens/>
        <w:outlineLvl w:val="0"/>
        <w:rPr>
          <w:sz w:val="22"/>
          <w:szCs w:val="22"/>
        </w:rPr>
      </w:pPr>
      <w:r w:rsidRPr="00756029">
        <w:rPr>
          <w:sz w:val="22"/>
          <w:szCs w:val="22"/>
        </w:rPr>
        <w:t xml:space="preserve">                                                  </w:t>
      </w:r>
      <w:r w:rsidRPr="00756029">
        <w:rPr>
          <w:sz w:val="22"/>
          <w:szCs w:val="22"/>
        </w:rPr>
        <w:tab/>
      </w:r>
      <w:r w:rsidRPr="00756029">
        <w:rPr>
          <w:sz w:val="22"/>
          <w:szCs w:val="22"/>
        </w:rPr>
        <w:tab/>
      </w:r>
    </w:p>
    <w:p w:rsidR="00DC6495" w:rsidRPr="00DC6495" w:rsidP="00DC6495" w14:paraId="2A0C29A3" w14:textId="5648D2C9">
      <w:pPr>
        <w:tabs>
          <w:tab w:val="left" w:pos="-1440"/>
          <w:tab w:val="left" w:pos="-720"/>
          <w:tab w:val="left" w:pos="6480"/>
        </w:tabs>
        <w:suppressAutoHyphens/>
        <w:ind w:left="5760" w:firstLine="720"/>
        <w:outlineLvl w:val="0"/>
        <w:rPr>
          <w:b/>
          <w:sz w:val="22"/>
          <w:szCs w:val="22"/>
        </w:rPr>
      </w:pPr>
      <w:r w:rsidRPr="00DC6495">
        <w:rPr>
          <w:b/>
          <w:sz w:val="22"/>
          <w:szCs w:val="22"/>
        </w:rPr>
        <w:t>DA 19-</w:t>
      </w:r>
      <w:r w:rsidR="00703B42">
        <w:rPr>
          <w:b/>
          <w:sz w:val="22"/>
          <w:szCs w:val="22"/>
        </w:rPr>
        <w:t>676</w:t>
      </w:r>
    </w:p>
    <w:p w:rsidR="00DC6495" w:rsidRPr="00DC6495" w:rsidP="00DC6495" w14:paraId="2FA60F48" w14:textId="3D3E5837">
      <w:pPr>
        <w:tabs>
          <w:tab w:val="left" w:pos="-1440"/>
          <w:tab w:val="left" w:pos="-720"/>
          <w:tab w:val="left" w:pos="6480"/>
        </w:tabs>
        <w:suppressAutoHyphens/>
        <w:ind w:left="5760" w:firstLine="720"/>
        <w:outlineLvl w:val="0"/>
        <w:rPr>
          <w:sz w:val="22"/>
          <w:szCs w:val="22"/>
        </w:rPr>
      </w:pPr>
      <w:r w:rsidRPr="00DC6495">
        <w:rPr>
          <w:b/>
          <w:sz w:val="22"/>
          <w:szCs w:val="22"/>
        </w:rPr>
        <w:t xml:space="preserve">Released:  July </w:t>
      </w:r>
      <w:r w:rsidR="00703B42">
        <w:rPr>
          <w:b/>
          <w:sz w:val="22"/>
          <w:szCs w:val="22"/>
        </w:rPr>
        <w:t>19</w:t>
      </w:r>
      <w:bookmarkStart w:id="0" w:name="_GoBack"/>
      <w:bookmarkEnd w:id="0"/>
      <w:r w:rsidRPr="00DC6495">
        <w:rPr>
          <w:b/>
          <w:sz w:val="22"/>
          <w:szCs w:val="22"/>
        </w:rPr>
        <w:t>, 2019</w:t>
      </w:r>
    </w:p>
    <w:p w:rsidR="00DC6495" w:rsidRPr="00DC6495" w:rsidP="00DC6495" w14:paraId="10A5186C" w14:textId="77777777">
      <w:pPr>
        <w:tabs>
          <w:tab w:val="left" w:pos="-1440"/>
          <w:tab w:val="left" w:pos="-720"/>
          <w:tab w:val="left" w:pos="4788"/>
          <w:tab w:val="left" w:pos="5760"/>
          <w:tab w:val="left" w:pos="6480"/>
        </w:tabs>
        <w:suppressAutoHyphens/>
        <w:outlineLvl w:val="0"/>
        <w:rPr>
          <w:sz w:val="22"/>
          <w:szCs w:val="22"/>
        </w:rPr>
      </w:pPr>
    </w:p>
    <w:p w:rsidR="00DC6495" w:rsidRPr="00DC6495" w:rsidP="00DC6495" w14:paraId="28A6A3DA" w14:textId="77777777">
      <w:pPr>
        <w:tabs>
          <w:tab w:val="left" w:pos="-1440"/>
          <w:tab w:val="left" w:pos="-720"/>
          <w:tab w:val="left" w:pos="4788"/>
          <w:tab w:val="left" w:pos="5760"/>
          <w:tab w:val="left" w:pos="6480"/>
        </w:tabs>
        <w:suppressAutoHyphens/>
        <w:outlineLvl w:val="0"/>
        <w:rPr>
          <w:sz w:val="22"/>
          <w:szCs w:val="22"/>
        </w:rPr>
      </w:pPr>
    </w:p>
    <w:p w:rsidR="006F0D9F" w:rsidRPr="00756029" w:rsidP="00FA6CB0" w14:paraId="6335B9DB" w14:textId="0B823B33">
      <w:pPr>
        <w:tabs>
          <w:tab w:val="left" w:pos="-1440"/>
          <w:tab w:val="left" w:pos="-720"/>
          <w:tab w:val="left" w:pos="4788"/>
          <w:tab w:val="left" w:pos="5760"/>
          <w:tab w:val="left" w:pos="6480"/>
        </w:tabs>
        <w:suppressAutoHyphens/>
        <w:outlineLvl w:val="0"/>
        <w:rPr>
          <w:i/>
        </w:rPr>
      </w:pPr>
      <w:r>
        <w:rPr>
          <w:sz w:val="22"/>
          <w:szCs w:val="22"/>
        </w:rPr>
        <w:tab/>
      </w:r>
      <w:r>
        <w:rPr>
          <w:sz w:val="22"/>
          <w:szCs w:val="22"/>
        </w:rPr>
        <w:tab/>
      </w:r>
      <w:r w:rsidR="00847E7C">
        <w:rPr>
          <w:sz w:val="22"/>
          <w:szCs w:val="22"/>
        </w:rPr>
        <w:tab/>
      </w:r>
      <w:bookmarkStart w:id="1" w:name="_Hlk11318551"/>
      <w:r w:rsidRPr="00756029" w:rsidR="00FD3BE6">
        <w:rPr>
          <w:i/>
        </w:rPr>
        <w:t>In Reply Refer to:</w:t>
      </w:r>
    </w:p>
    <w:p w:rsidR="006F0D9F" w:rsidRPr="00756029" w:rsidP="00FA6CB0" w14:paraId="1F27DF5A" w14:textId="5DF2A47C">
      <w:pPr>
        <w:tabs>
          <w:tab w:val="left" w:pos="0"/>
          <w:tab w:val="left" w:pos="5760"/>
        </w:tabs>
        <w:suppressAutoHyphens/>
        <w:outlineLvl w:val="0"/>
      </w:pPr>
      <w:r w:rsidRPr="00756029">
        <w:tab/>
      </w:r>
      <w:r w:rsidR="00847E7C">
        <w:tab/>
      </w:r>
      <w:r w:rsidRPr="00756029">
        <w:t>1800B3-</w:t>
      </w:r>
      <w:r w:rsidR="00DF2743">
        <w:t>BB</w:t>
      </w:r>
    </w:p>
    <w:bookmarkEnd w:id="1"/>
    <w:p w:rsidR="00216520" w:rsidRPr="00216520" w:rsidP="00216520" w14:paraId="192E1F7D" w14:textId="77777777">
      <w:pPr>
        <w:widowControl w:val="0"/>
        <w:suppressAutoHyphens/>
        <w:rPr>
          <w:snapToGrid w:val="0"/>
          <w:sz w:val="22"/>
          <w:szCs w:val="22"/>
        </w:rPr>
      </w:pPr>
      <w:r w:rsidRPr="00216520">
        <w:rPr>
          <w:snapToGrid w:val="0"/>
          <w:sz w:val="22"/>
          <w:szCs w:val="22"/>
        </w:rPr>
        <w:t>Lee J. Peltzman, Esq.</w:t>
      </w:r>
    </w:p>
    <w:p w:rsidR="00216520" w:rsidRPr="00216520" w:rsidP="00216520" w14:paraId="197AABE5" w14:textId="77777777">
      <w:pPr>
        <w:widowControl w:val="0"/>
        <w:suppressAutoHyphens/>
        <w:rPr>
          <w:snapToGrid w:val="0"/>
          <w:sz w:val="22"/>
          <w:szCs w:val="22"/>
        </w:rPr>
      </w:pPr>
      <w:r w:rsidRPr="00216520">
        <w:rPr>
          <w:snapToGrid w:val="0"/>
          <w:sz w:val="22"/>
          <w:szCs w:val="22"/>
        </w:rPr>
        <w:t>Shainis &amp; Peltzman, Chartered</w:t>
      </w:r>
    </w:p>
    <w:p w:rsidR="00216520" w:rsidRPr="00216520" w:rsidP="00216520" w14:paraId="12212D7C" w14:textId="16F60F88">
      <w:pPr>
        <w:widowControl w:val="0"/>
        <w:suppressAutoHyphens/>
        <w:rPr>
          <w:snapToGrid w:val="0"/>
          <w:sz w:val="22"/>
          <w:szCs w:val="22"/>
        </w:rPr>
      </w:pPr>
      <w:r w:rsidRPr="00216520">
        <w:rPr>
          <w:snapToGrid w:val="0"/>
          <w:sz w:val="22"/>
          <w:szCs w:val="22"/>
        </w:rPr>
        <w:t>1850 M Street, N</w:t>
      </w:r>
      <w:r w:rsidR="009E1811">
        <w:rPr>
          <w:snapToGrid w:val="0"/>
          <w:sz w:val="22"/>
          <w:szCs w:val="22"/>
        </w:rPr>
        <w:t>.</w:t>
      </w:r>
      <w:r w:rsidRPr="00216520">
        <w:rPr>
          <w:snapToGrid w:val="0"/>
          <w:sz w:val="22"/>
          <w:szCs w:val="22"/>
        </w:rPr>
        <w:t>W</w:t>
      </w:r>
      <w:r w:rsidR="009E1811">
        <w:rPr>
          <w:snapToGrid w:val="0"/>
          <w:sz w:val="22"/>
          <w:szCs w:val="22"/>
        </w:rPr>
        <w:t>.</w:t>
      </w:r>
    </w:p>
    <w:p w:rsidR="00216520" w:rsidRPr="00216520" w:rsidP="00216520" w14:paraId="1DDAB7DB" w14:textId="77777777">
      <w:pPr>
        <w:widowControl w:val="0"/>
        <w:suppressAutoHyphens/>
        <w:rPr>
          <w:snapToGrid w:val="0"/>
          <w:sz w:val="22"/>
          <w:szCs w:val="22"/>
        </w:rPr>
      </w:pPr>
      <w:r w:rsidRPr="00216520">
        <w:rPr>
          <w:snapToGrid w:val="0"/>
          <w:sz w:val="22"/>
          <w:szCs w:val="22"/>
        </w:rPr>
        <w:t>Suite 240</w:t>
      </w:r>
    </w:p>
    <w:p w:rsidR="00216520" w:rsidRPr="00216520" w:rsidP="00216520" w14:paraId="6ACBFCCF" w14:textId="77777777">
      <w:pPr>
        <w:widowControl w:val="0"/>
        <w:suppressAutoHyphens/>
        <w:rPr>
          <w:snapToGrid w:val="0"/>
          <w:sz w:val="22"/>
          <w:szCs w:val="22"/>
        </w:rPr>
      </w:pPr>
      <w:r w:rsidRPr="00216520">
        <w:rPr>
          <w:snapToGrid w:val="0"/>
          <w:sz w:val="22"/>
          <w:szCs w:val="22"/>
        </w:rPr>
        <w:t>Washington, DC 20036</w:t>
      </w:r>
    </w:p>
    <w:p w:rsidR="00D64208" w:rsidRPr="002A7354" w14:paraId="79B9F446" w14:textId="047FA07B">
      <w:pPr>
        <w:tabs>
          <w:tab w:val="left" w:pos="0"/>
          <w:tab w:val="left" w:pos="5760"/>
        </w:tabs>
        <w:suppressAutoHyphens/>
        <w:ind w:left="5760" w:hanging="720"/>
        <w:rPr>
          <w:sz w:val="22"/>
          <w:szCs w:val="22"/>
          <w:lang w:val="es-ES"/>
        </w:rPr>
      </w:pPr>
      <w:bookmarkStart w:id="2" w:name="_Hlk11270368"/>
      <w:r w:rsidRPr="00756029">
        <w:rPr>
          <w:sz w:val="22"/>
          <w:szCs w:val="22"/>
        </w:rPr>
        <w:t>In re:</w:t>
      </w:r>
      <w:r w:rsidRPr="00756029">
        <w:rPr>
          <w:sz w:val="22"/>
          <w:szCs w:val="22"/>
        </w:rPr>
        <w:tab/>
      </w:r>
      <w:r w:rsidRPr="002A7354" w:rsidR="003523DD">
        <w:rPr>
          <w:sz w:val="22"/>
          <w:szCs w:val="22"/>
          <w:lang w:val="es-ES"/>
        </w:rPr>
        <w:t>D</w:t>
      </w:r>
      <w:r w:rsidRPr="002A7354" w:rsidR="008C3BA2">
        <w:rPr>
          <w:sz w:val="22"/>
          <w:szCs w:val="22"/>
          <w:lang w:val="es-ES"/>
        </w:rPr>
        <w:t>W</w:t>
      </w:r>
      <w:r w:rsidRPr="002A7354" w:rsidR="00105371">
        <w:rPr>
          <w:sz w:val="22"/>
          <w:szCs w:val="22"/>
          <w:lang w:val="es-ES"/>
        </w:rPr>
        <w:t>243AP, Mooresville, AL</w:t>
      </w:r>
    </w:p>
    <w:p w:rsidR="000939E5" w:rsidP="003975D7" w14:paraId="1ECBE4A7" w14:textId="5F0B1818">
      <w:pPr>
        <w:tabs>
          <w:tab w:val="left" w:pos="0"/>
          <w:tab w:val="left" w:pos="5400"/>
        </w:tabs>
        <w:suppressAutoHyphens/>
        <w:ind w:left="5760" w:hanging="720"/>
        <w:rPr>
          <w:sz w:val="22"/>
          <w:szCs w:val="22"/>
        </w:rPr>
      </w:pPr>
      <w:r w:rsidRPr="002A7354">
        <w:rPr>
          <w:sz w:val="22"/>
          <w:szCs w:val="22"/>
          <w:lang w:val="es-ES"/>
        </w:rPr>
        <w:tab/>
      </w:r>
      <w:r w:rsidRPr="002A7354">
        <w:rPr>
          <w:sz w:val="22"/>
          <w:szCs w:val="22"/>
          <w:lang w:val="es-ES"/>
        </w:rPr>
        <w:tab/>
      </w:r>
      <w:r w:rsidRPr="00756029">
        <w:rPr>
          <w:sz w:val="22"/>
          <w:szCs w:val="22"/>
        </w:rPr>
        <w:t>Facility ID No.</w:t>
      </w:r>
      <w:r w:rsidR="00CD18E5">
        <w:rPr>
          <w:sz w:val="22"/>
          <w:szCs w:val="22"/>
        </w:rPr>
        <w:t xml:space="preserve"> </w:t>
      </w:r>
      <w:r>
        <w:rPr>
          <w:sz w:val="22"/>
          <w:szCs w:val="22"/>
        </w:rPr>
        <w:t>157069</w:t>
      </w:r>
    </w:p>
    <w:p w:rsidR="003975D7" w:rsidRPr="003975D7" w:rsidP="003975D7" w14:paraId="14C225A8" w14:textId="77777777">
      <w:pPr>
        <w:tabs>
          <w:tab w:val="left" w:pos="0"/>
          <w:tab w:val="left" w:pos="5400"/>
        </w:tabs>
        <w:suppressAutoHyphens/>
        <w:ind w:left="5760" w:hanging="720"/>
        <w:rPr>
          <w:sz w:val="22"/>
          <w:szCs w:val="22"/>
        </w:rPr>
      </w:pPr>
      <w:r>
        <w:rPr>
          <w:sz w:val="22"/>
          <w:szCs w:val="22"/>
        </w:rPr>
        <w:tab/>
      </w:r>
      <w:r>
        <w:rPr>
          <w:sz w:val="22"/>
          <w:szCs w:val="22"/>
        </w:rPr>
        <w:tab/>
      </w:r>
      <w:r w:rsidRPr="003975D7">
        <w:rPr>
          <w:sz w:val="22"/>
          <w:szCs w:val="22"/>
          <w:lang w:val="es-ES"/>
        </w:rPr>
        <w:t xml:space="preserve">File Nos. </w:t>
      </w:r>
      <w:r w:rsidRPr="003975D7">
        <w:rPr>
          <w:sz w:val="22"/>
          <w:szCs w:val="22"/>
        </w:rPr>
        <w:t>BSTA-20180702AAH,</w:t>
      </w:r>
    </w:p>
    <w:p w:rsidR="003975D7" w:rsidRPr="003975D7" w:rsidP="00A71DA8" w14:paraId="772B5374" w14:textId="77777777">
      <w:pPr>
        <w:tabs>
          <w:tab w:val="left" w:pos="0"/>
          <w:tab w:val="left" w:pos="5400"/>
        </w:tabs>
        <w:suppressAutoHyphens/>
        <w:spacing w:after="120"/>
        <w:ind w:left="5760" w:hanging="720"/>
        <w:rPr>
          <w:sz w:val="22"/>
          <w:szCs w:val="22"/>
        </w:rPr>
      </w:pPr>
      <w:r w:rsidRPr="003975D7">
        <w:rPr>
          <w:sz w:val="22"/>
          <w:szCs w:val="22"/>
        </w:rPr>
        <w:tab/>
      </w:r>
      <w:r w:rsidRPr="003975D7">
        <w:rPr>
          <w:sz w:val="22"/>
          <w:szCs w:val="22"/>
        </w:rPr>
        <w:tab/>
        <w:t>BLSTA-20180710AAR</w:t>
      </w:r>
    </w:p>
    <w:p w:rsidR="00216520" w:rsidRPr="00A71DA8" w:rsidP="00216520" w14:paraId="02FD5BD2" w14:textId="77777777">
      <w:pPr>
        <w:tabs>
          <w:tab w:val="left" w:pos="0"/>
          <w:tab w:val="left" w:pos="5400"/>
        </w:tabs>
        <w:suppressAutoHyphens/>
        <w:ind w:left="5400" w:hanging="720"/>
        <w:rPr>
          <w:b/>
          <w:sz w:val="22"/>
          <w:szCs w:val="22"/>
        </w:rPr>
      </w:pPr>
      <w:r w:rsidRPr="00756029">
        <w:rPr>
          <w:sz w:val="22"/>
          <w:szCs w:val="22"/>
        </w:rPr>
        <w:tab/>
      </w:r>
      <w:r w:rsidRPr="00756029" w:rsidR="0013452C">
        <w:rPr>
          <w:sz w:val="22"/>
          <w:szCs w:val="22"/>
        </w:rPr>
        <w:tab/>
      </w:r>
      <w:r w:rsidRPr="00A71DA8">
        <w:rPr>
          <w:b/>
          <w:sz w:val="22"/>
          <w:szCs w:val="22"/>
        </w:rPr>
        <w:t>Shelby Broadcast Associates, LLC</w:t>
      </w:r>
    </w:p>
    <w:p w:rsidR="00B45D71" w:rsidP="00A71DA8" w14:paraId="632EAEB7" w14:textId="31473349">
      <w:pPr>
        <w:tabs>
          <w:tab w:val="left" w:pos="0"/>
          <w:tab w:val="left" w:pos="5400"/>
        </w:tabs>
        <w:suppressAutoHyphens/>
        <w:spacing w:after="120"/>
        <w:ind w:left="5760" w:hanging="720"/>
        <w:rPr>
          <w:b/>
          <w:sz w:val="22"/>
          <w:szCs w:val="22"/>
        </w:rPr>
      </w:pPr>
      <w:r w:rsidRPr="00756029">
        <w:rPr>
          <w:sz w:val="22"/>
          <w:szCs w:val="22"/>
        </w:rPr>
        <w:tab/>
      </w:r>
      <w:r w:rsidRPr="00756029" w:rsidR="00610DD6">
        <w:rPr>
          <w:sz w:val="22"/>
          <w:szCs w:val="22"/>
        </w:rPr>
        <w:tab/>
      </w:r>
      <w:r w:rsidRPr="00756029">
        <w:rPr>
          <w:b/>
          <w:sz w:val="22"/>
          <w:szCs w:val="22"/>
        </w:rPr>
        <w:t>Petition for Reconsideration</w:t>
      </w:r>
    </w:p>
    <w:bookmarkEnd w:id="2"/>
    <w:p w:rsidR="006F0D9F" w:rsidRPr="00756029" w:rsidP="001634A9" w14:paraId="10F18936" w14:textId="6B123258">
      <w:pPr>
        <w:tabs>
          <w:tab w:val="left" w:pos="0"/>
        </w:tabs>
        <w:suppressAutoHyphens/>
        <w:outlineLvl w:val="0"/>
        <w:rPr>
          <w:b/>
          <w:sz w:val="22"/>
          <w:szCs w:val="22"/>
        </w:rPr>
      </w:pPr>
      <w:r w:rsidRPr="00756029">
        <w:rPr>
          <w:sz w:val="22"/>
          <w:szCs w:val="22"/>
        </w:rPr>
        <w:t xml:space="preserve">Dear </w:t>
      </w:r>
      <w:r w:rsidR="00DC6495">
        <w:rPr>
          <w:sz w:val="22"/>
          <w:szCs w:val="22"/>
        </w:rPr>
        <w:t>Counsel</w:t>
      </w:r>
      <w:r w:rsidRPr="00756029">
        <w:rPr>
          <w:sz w:val="22"/>
          <w:szCs w:val="22"/>
        </w:rPr>
        <w:t xml:space="preserve">: </w:t>
      </w:r>
    </w:p>
    <w:p w:rsidR="006F0D9F" w:rsidRPr="00756029" w:rsidP="001634A9" w14:paraId="1D299138" w14:textId="77777777">
      <w:pPr>
        <w:tabs>
          <w:tab w:val="left" w:pos="0"/>
        </w:tabs>
        <w:suppressAutoHyphens/>
        <w:rPr>
          <w:sz w:val="22"/>
          <w:szCs w:val="22"/>
        </w:rPr>
      </w:pPr>
    </w:p>
    <w:p w:rsidR="00D717D7" w:rsidP="0037266F" w14:paraId="5EB4D873" w14:textId="7ED91134">
      <w:pPr>
        <w:autoSpaceDE w:val="0"/>
        <w:autoSpaceDN w:val="0"/>
        <w:adjustRightInd w:val="0"/>
        <w:ind w:firstLine="720"/>
        <w:rPr>
          <w:sz w:val="22"/>
          <w:szCs w:val="22"/>
        </w:rPr>
      </w:pPr>
      <w:r w:rsidRPr="00756029">
        <w:rPr>
          <w:sz w:val="22"/>
          <w:szCs w:val="22"/>
        </w:rPr>
        <w:t>We have before us</w:t>
      </w:r>
      <w:r>
        <w:rPr>
          <w:sz w:val="22"/>
          <w:szCs w:val="22"/>
        </w:rPr>
        <w:t xml:space="preserve"> the Petition for Reconsideration</w:t>
      </w:r>
      <w:r w:rsidR="00A70166">
        <w:rPr>
          <w:sz w:val="22"/>
          <w:szCs w:val="22"/>
        </w:rPr>
        <w:t xml:space="preserve"> (Petition)</w:t>
      </w:r>
      <w:r>
        <w:rPr>
          <w:sz w:val="22"/>
          <w:szCs w:val="22"/>
        </w:rPr>
        <w:t xml:space="preserve"> </w:t>
      </w:r>
      <w:r w:rsidR="00B03AB5">
        <w:rPr>
          <w:sz w:val="22"/>
          <w:szCs w:val="22"/>
        </w:rPr>
        <w:t xml:space="preserve">of </w:t>
      </w:r>
      <w:r w:rsidR="00860DCC">
        <w:rPr>
          <w:sz w:val="22"/>
          <w:szCs w:val="22"/>
        </w:rPr>
        <w:t>Shelby Broadcast Associates</w:t>
      </w:r>
      <w:r w:rsidR="00B03AB5">
        <w:rPr>
          <w:sz w:val="22"/>
          <w:szCs w:val="22"/>
        </w:rPr>
        <w:t>, LLC (</w:t>
      </w:r>
      <w:r w:rsidR="00860DCC">
        <w:rPr>
          <w:sz w:val="22"/>
          <w:szCs w:val="22"/>
        </w:rPr>
        <w:t>SBA</w:t>
      </w:r>
      <w:r w:rsidR="00B03AB5">
        <w:rPr>
          <w:sz w:val="22"/>
          <w:szCs w:val="22"/>
        </w:rPr>
        <w:t xml:space="preserve">), </w:t>
      </w:r>
      <w:r w:rsidR="003523DD">
        <w:rPr>
          <w:sz w:val="22"/>
          <w:szCs w:val="22"/>
        </w:rPr>
        <w:t xml:space="preserve">former </w:t>
      </w:r>
      <w:r w:rsidR="00FE7542">
        <w:rPr>
          <w:sz w:val="22"/>
          <w:szCs w:val="22"/>
        </w:rPr>
        <w:t xml:space="preserve">licensee of Station </w:t>
      </w:r>
      <w:r w:rsidR="003523DD">
        <w:rPr>
          <w:sz w:val="22"/>
          <w:szCs w:val="22"/>
        </w:rPr>
        <w:t>D</w:t>
      </w:r>
      <w:r w:rsidR="00FE7542">
        <w:rPr>
          <w:sz w:val="22"/>
          <w:szCs w:val="22"/>
        </w:rPr>
        <w:t>W</w:t>
      </w:r>
      <w:r w:rsidR="00860DCC">
        <w:rPr>
          <w:sz w:val="22"/>
          <w:szCs w:val="22"/>
        </w:rPr>
        <w:t>243AP</w:t>
      </w:r>
      <w:r w:rsidR="00FE7542">
        <w:rPr>
          <w:sz w:val="22"/>
          <w:szCs w:val="22"/>
        </w:rPr>
        <w:t xml:space="preserve">, </w:t>
      </w:r>
      <w:r w:rsidR="00860DCC">
        <w:rPr>
          <w:sz w:val="22"/>
          <w:szCs w:val="22"/>
        </w:rPr>
        <w:t>Mooresville, Alabama</w:t>
      </w:r>
      <w:r w:rsidR="00567C1F">
        <w:rPr>
          <w:sz w:val="22"/>
          <w:szCs w:val="22"/>
        </w:rPr>
        <w:t xml:space="preserve"> (Station)</w:t>
      </w:r>
      <w:r w:rsidR="00FE7542">
        <w:rPr>
          <w:sz w:val="22"/>
          <w:szCs w:val="22"/>
        </w:rPr>
        <w:t xml:space="preserve">, </w:t>
      </w:r>
      <w:r w:rsidR="00270FD4">
        <w:rPr>
          <w:sz w:val="22"/>
          <w:szCs w:val="22"/>
        </w:rPr>
        <w:t>seekin</w:t>
      </w:r>
      <w:r w:rsidR="00292D7E">
        <w:rPr>
          <w:sz w:val="22"/>
          <w:szCs w:val="22"/>
        </w:rPr>
        <w:t xml:space="preserve">g reconsideration of the Media Bureau </w:t>
      </w:r>
      <w:r w:rsidR="009A0B6D">
        <w:rPr>
          <w:sz w:val="22"/>
          <w:szCs w:val="22"/>
        </w:rPr>
        <w:t xml:space="preserve">(Bureau) </w:t>
      </w:r>
      <w:r w:rsidR="00292D7E">
        <w:rPr>
          <w:sz w:val="22"/>
          <w:szCs w:val="22"/>
        </w:rPr>
        <w:t>letter decision</w:t>
      </w:r>
      <w:r>
        <w:rPr>
          <w:rStyle w:val="FootnoteReference"/>
          <w:sz w:val="22"/>
          <w:szCs w:val="22"/>
        </w:rPr>
        <w:footnoteReference w:id="2"/>
      </w:r>
      <w:r w:rsidR="00144E9C">
        <w:rPr>
          <w:sz w:val="22"/>
          <w:szCs w:val="22"/>
        </w:rPr>
        <w:t xml:space="preserve"> cancelling the Station</w:t>
      </w:r>
      <w:r w:rsidR="00D93E26">
        <w:rPr>
          <w:sz w:val="22"/>
          <w:szCs w:val="22"/>
        </w:rPr>
        <w:t>’s</w:t>
      </w:r>
      <w:r w:rsidR="00144E9C">
        <w:rPr>
          <w:sz w:val="22"/>
          <w:szCs w:val="22"/>
        </w:rPr>
        <w:t xml:space="preserve"> license, terminating the authority of </w:t>
      </w:r>
      <w:r w:rsidR="00633C0F">
        <w:rPr>
          <w:sz w:val="22"/>
          <w:szCs w:val="22"/>
        </w:rPr>
        <w:t xml:space="preserve">the </w:t>
      </w:r>
      <w:r w:rsidR="00144E9C">
        <w:rPr>
          <w:sz w:val="22"/>
          <w:szCs w:val="22"/>
        </w:rPr>
        <w:t>Station to operate, deleting that Station’s call sign</w:t>
      </w:r>
      <w:r w:rsidR="00003B12">
        <w:rPr>
          <w:sz w:val="22"/>
          <w:szCs w:val="22"/>
        </w:rPr>
        <w:t>,</w:t>
      </w:r>
      <w:r w:rsidR="00144E9C">
        <w:rPr>
          <w:sz w:val="22"/>
          <w:szCs w:val="22"/>
        </w:rPr>
        <w:t xml:space="preserve"> and dismissing SBA’s </w:t>
      </w:r>
      <w:r w:rsidR="009E1811">
        <w:rPr>
          <w:sz w:val="22"/>
          <w:szCs w:val="22"/>
        </w:rPr>
        <w:t xml:space="preserve">pending applications, including </w:t>
      </w:r>
      <w:r w:rsidR="00D93E26">
        <w:rPr>
          <w:sz w:val="22"/>
          <w:szCs w:val="22"/>
        </w:rPr>
        <w:t xml:space="preserve">requests for </w:t>
      </w:r>
      <w:r w:rsidR="00144E9C">
        <w:rPr>
          <w:sz w:val="22"/>
          <w:szCs w:val="22"/>
        </w:rPr>
        <w:t>Special Temporary Authority (STA)</w:t>
      </w:r>
      <w:r w:rsidR="00B13510">
        <w:rPr>
          <w:sz w:val="22"/>
          <w:szCs w:val="22"/>
        </w:rPr>
        <w:t>.</w:t>
      </w:r>
      <w:r>
        <w:rPr>
          <w:rStyle w:val="FootnoteReference"/>
          <w:sz w:val="22"/>
          <w:szCs w:val="22"/>
        </w:rPr>
        <w:footnoteReference w:id="3"/>
      </w:r>
      <w:r w:rsidR="00745F64">
        <w:rPr>
          <w:sz w:val="22"/>
          <w:szCs w:val="22"/>
        </w:rPr>
        <w:t xml:space="preserve"> </w:t>
      </w:r>
      <w:r w:rsidR="00B13510">
        <w:rPr>
          <w:sz w:val="22"/>
          <w:szCs w:val="22"/>
        </w:rPr>
        <w:t xml:space="preserve"> </w:t>
      </w:r>
      <w:r w:rsidR="00292D7E">
        <w:rPr>
          <w:sz w:val="22"/>
          <w:szCs w:val="22"/>
        </w:rPr>
        <w:t xml:space="preserve">For the </w:t>
      </w:r>
      <w:r w:rsidR="00467283">
        <w:rPr>
          <w:sz w:val="22"/>
          <w:szCs w:val="22"/>
        </w:rPr>
        <w:t>reasons</w:t>
      </w:r>
      <w:r w:rsidR="00292D7E">
        <w:rPr>
          <w:sz w:val="22"/>
          <w:szCs w:val="22"/>
        </w:rPr>
        <w:t xml:space="preserve"> set forth</w:t>
      </w:r>
      <w:r w:rsidR="008A5955">
        <w:rPr>
          <w:sz w:val="22"/>
          <w:szCs w:val="22"/>
        </w:rPr>
        <w:t xml:space="preserve"> below</w:t>
      </w:r>
      <w:r w:rsidR="00292D7E">
        <w:rPr>
          <w:sz w:val="22"/>
          <w:szCs w:val="22"/>
        </w:rPr>
        <w:t xml:space="preserve">, we </w:t>
      </w:r>
      <w:r w:rsidR="00B13510">
        <w:rPr>
          <w:sz w:val="22"/>
          <w:szCs w:val="22"/>
        </w:rPr>
        <w:t>deny</w:t>
      </w:r>
      <w:r w:rsidR="008A5955">
        <w:rPr>
          <w:sz w:val="22"/>
          <w:szCs w:val="22"/>
        </w:rPr>
        <w:t xml:space="preserve"> </w:t>
      </w:r>
      <w:r w:rsidR="00467283">
        <w:rPr>
          <w:sz w:val="22"/>
          <w:szCs w:val="22"/>
        </w:rPr>
        <w:t>the Petition</w:t>
      </w:r>
      <w:r w:rsidR="008A5955">
        <w:rPr>
          <w:sz w:val="22"/>
          <w:szCs w:val="22"/>
        </w:rPr>
        <w:t>.</w:t>
      </w:r>
      <w:r w:rsidR="00D72441">
        <w:rPr>
          <w:sz w:val="22"/>
          <w:szCs w:val="22"/>
        </w:rPr>
        <w:t xml:space="preserve">  </w:t>
      </w:r>
    </w:p>
    <w:p w:rsidR="00765E8C" w:rsidP="001634A9" w14:paraId="5AE09C14" w14:textId="77777777">
      <w:pPr>
        <w:autoSpaceDE w:val="0"/>
        <w:autoSpaceDN w:val="0"/>
        <w:adjustRightInd w:val="0"/>
        <w:ind w:firstLine="720"/>
        <w:rPr>
          <w:sz w:val="22"/>
          <w:szCs w:val="22"/>
        </w:rPr>
      </w:pPr>
    </w:p>
    <w:p w:rsidR="00850DE9" w:rsidP="00EB0FFD" w14:paraId="417B85A3" w14:textId="07BCD257">
      <w:pPr>
        <w:ind w:firstLine="720"/>
        <w:rPr>
          <w:sz w:val="22"/>
          <w:szCs w:val="22"/>
        </w:rPr>
      </w:pPr>
      <w:r w:rsidRPr="00756029">
        <w:rPr>
          <w:b/>
          <w:sz w:val="22"/>
          <w:szCs w:val="22"/>
        </w:rPr>
        <w:t>Background.</w:t>
      </w:r>
      <w:r w:rsidRPr="00756029" w:rsidR="00240E07">
        <w:rPr>
          <w:b/>
          <w:sz w:val="22"/>
          <w:szCs w:val="22"/>
        </w:rPr>
        <w:t xml:space="preserve"> </w:t>
      </w:r>
      <w:r w:rsidR="00666A25">
        <w:rPr>
          <w:b/>
          <w:sz w:val="22"/>
          <w:szCs w:val="22"/>
        </w:rPr>
        <w:t xml:space="preserve"> </w:t>
      </w:r>
      <w:r w:rsidR="00D93E26">
        <w:rPr>
          <w:sz w:val="22"/>
          <w:szCs w:val="22"/>
        </w:rPr>
        <w:t xml:space="preserve">As noted in the </w:t>
      </w:r>
      <w:r w:rsidR="00D93E26">
        <w:rPr>
          <w:i/>
          <w:sz w:val="22"/>
          <w:szCs w:val="22"/>
        </w:rPr>
        <w:t xml:space="preserve">Letter </w:t>
      </w:r>
      <w:r w:rsidRPr="00D93E26" w:rsidR="00D93E26">
        <w:rPr>
          <w:i/>
          <w:sz w:val="22"/>
          <w:szCs w:val="22"/>
        </w:rPr>
        <w:t>Order</w:t>
      </w:r>
      <w:r w:rsidR="00D93E26">
        <w:rPr>
          <w:sz w:val="22"/>
          <w:szCs w:val="22"/>
        </w:rPr>
        <w:t>, o</w:t>
      </w:r>
      <w:r w:rsidRPr="00D93E26" w:rsidR="00666A25">
        <w:rPr>
          <w:sz w:val="22"/>
          <w:szCs w:val="22"/>
        </w:rPr>
        <w:t>n</w:t>
      </w:r>
      <w:r w:rsidR="00666A25">
        <w:rPr>
          <w:sz w:val="22"/>
          <w:szCs w:val="22"/>
        </w:rPr>
        <w:t xml:space="preserve"> July 10, 2017, SBA filed an STA</w:t>
      </w:r>
      <w:r w:rsidR="00706405">
        <w:rPr>
          <w:sz w:val="22"/>
          <w:szCs w:val="22"/>
        </w:rPr>
        <w:t xml:space="preserve"> for </w:t>
      </w:r>
      <w:r w:rsidR="00567C1F">
        <w:rPr>
          <w:sz w:val="22"/>
          <w:szCs w:val="22"/>
        </w:rPr>
        <w:t xml:space="preserve">the </w:t>
      </w:r>
      <w:r w:rsidR="00272CEF">
        <w:rPr>
          <w:sz w:val="22"/>
          <w:szCs w:val="22"/>
        </w:rPr>
        <w:t>Station</w:t>
      </w:r>
      <w:r w:rsidR="00666A25">
        <w:rPr>
          <w:sz w:val="22"/>
          <w:szCs w:val="22"/>
        </w:rPr>
        <w:t xml:space="preserve"> to remain silent, citing the inability to access its tower site.</w:t>
      </w:r>
      <w:r>
        <w:rPr>
          <w:rStyle w:val="FootnoteReference"/>
          <w:sz w:val="22"/>
          <w:szCs w:val="22"/>
        </w:rPr>
        <w:footnoteReference w:id="4"/>
      </w:r>
      <w:r w:rsidR="00D106FF">
        <w:rPr>
          <w:sz w:val="22"/>
          <w:szCs w:val="22"/>
        </w:rPr>
        <w:t xml:space="preserve"> </w:t>
      </w:r>
      <w:r w:rsidR="00666A25">
        <w:rPr>
          <w:sz w:val="22"/>
          <w:szCs w:val="22"/>
        </w:rPr>
        <w:t xml:space="preserve"> </w:t>
      </w:r>
      <w:r w:rsidR="006859F7">
        <w:rPr>
          <w:sz w:val="22"/>
          <w:szCs w:val="22"/>
        </w:rPr>
        <w:t>T</w:t>
      </w:r>
      <w:r w:rsidR="006859F7">
        <w:rPr>
          <w:color w:val="000000"/>
          <w:sz w:val="22"/>
          <w:szCs w:val="22"/>
        </w:rPr>
        <w:t>he Station received its Silent Authority STA on August 3, 2017, requiring that the Station resume its authorized broadcast operations before 12:01 a</w:t>
      </w:r>
      <w:r w:rsidR="00456F21">
        <w:rPr>
          <w:color w:val="000000"/>
          <w:sz w:val="22"/>
          <w:szCs w:val="22"/>
        </w:rPr>
        <w:t>.</w:t>
      </w:r>
      <w:r w:rsidR="006859F7">
        <w:rPr>
          <w:color w:val="000000"/>
          <w:sz w:val="22"/>
          <w:szCs w:val="22"/>
        </w:rPr>
        <w:t>m</w:t>
      </w:r>
      <w:r w:rsidR="00456F21">
        <w:rPr>
          <w:color w:val="000000"/>
          <w:sz w:val="22"/>
          <w:szCs w:val="22"/>
        </w:rPr>
        <w:t>.</w:t>
      </w:r>
      <w:r w:rsidR="006859F7">
        <w:rPr>
          <w:color w:val="000000"/>
          <w:sz w:val="22"/>
          <w:szCs w:val="22"/>
        </w:rPr>
        <w:t xml:space="preserve"> on July 2, 2018, twelve months from the date it went silent, in order to </w:t>
      </w:r>
      <w:r w:rsidR="00697692">
        <w:rPr>
          <w:color w:val="000000"/>
          <w:sz w:val="22"/>
          <w:szCs w:val="22"/>
        </w:rPr>
        <w:t xml:space="preserve">prevent the expiration of </w:t>
      </w:r>
      <w:r w:rsidR="006859F7">
        <w:rPr>
          <w:color w:val="000000"/>
          <w:sz w:val="22"/>
          <w:szCs w:val="22"/>
        </w:rPr>
        <w:t>its license as a matter of law.</w:t>
      </w:r>
      <w:r w:rsidRPr="006859F7" w:rsidR="006859F7">
        <w:rPr>
          <w:rStyle w:val="FootnoteReference"/>
          <w:sz w:val="22"/>
          <w:szCs w:val="22"/>
        </w:rPr>
        <w:t xml:space="preserve"> </w:t>
      </w:r>
      <w:r>
        <w:rPr>
          <w:rStyle w:val="FootnoteReference"/>
          <w:sz w:val="22"/>
          <w:szCs w:val="22"/>
        </w:rPr>
        <w:footnoteReference w:id="5"/>
      </w:r>
      <w:r w:rsidR="006859F7">
        <w:rPr>
          <w:sz w:val="22"/>
          <w:szCs w:val="22"/>
        </w:rPr>
        <w:t xml:space="preserve"> </w:t>
      </w:r>
      <w:r w:rsidR="006859F7">
        <w:rPr>
          <w:color w:val="000000"/>
          <w:sz w:val="22"/>
          <w:szCs w:val="22"/>
        </w:rPr>
        <w:t xml:space="preserve"> </w:t>
      </w:r>
      <w:r w:rsidR="00666A25">
        <w:rPr>
          <w:sz w:val="22"/>
          <w:szCs w:val="22"/>
        </w:rPr>
        <w:t xml:space="preserve">SBA requested an extension of the STA on January 29, 2018 </w:t>
      </w:r>
      <w:r w:rsidR="00DF2197">
        <w:rPr>
          <w:sz w:val="22"/>
          <w:szCs w:val="22"/>
        </w:rPr>
        <w:t>and was reminded again of the</w:t>
      </w:r>
      <w:r w:rsidR="00E04584">
        <w:rPr>
          <w:sz w:val="22"/>
          <w:szCs w:val="22"/>
        </w:rPr>
        <w:t xml:space="preserve"> statutory deadline of</w:t>
      </w:r>
      <w:r w:rsidR="00DF2197">
        <w:rPr>
          <w:sz w:val="22"/>
          <w:szCs w:val="22"/>
        </w:rPr>
        <w:t xml:space="preserve"> July 2, 2018 </w:t>
      </w:r>
      <w:r w:rsidR="00913B73">
        <w:rPr>
          <w:sz w:val="22"/>
          <w:szCs w:val="22"/>
        </w:rPr>
        <w:t xml:space="preserve">by </w:t>
      </w:r>
      <w:r w:rsidR="00DF2197">
        <w:rPr>
          <w:sz w:val="22"/>
          <w:szCs w:val="22"/>
        </w:rPr>
        <w:t>the Bureau.</w:t>
      </w:r>
      <w:r>
        <w:rPr>
          <w:rStyle w:val="FootnoteReference"/>
          <w:sz w:val="22"/>
          <w:szCs w:val="22"/>
        </w:rPr>
        <w:footnoteReference w:id="6"/>
      </w:r>
      <w:r w:rsidR="00D72441">
        <w:rPr>
          <w:sz w:val="22"/>
          <w:szCs w:val="22"/>
        </w:rPr>
        <w:t xml:space="preserve">  </w:t>
      </w:r>
    </w:p>
    <w:p w:rsidR="00B5268C" w:rsidP="00B5268C" w14:paraId="2977CCF8" w14:textId="77777777">
      <w:pPr>
        <w:rPr>
          <w:sz w:val="22"/>
          <w:szCs w:val="22"/>
        </w:rPr>
      </w:pPr>
    </w:p>
    <w:p w:rsidR="000E55EA" w:rsidP="00EB0FFD" w14:paraId="2E5735C8" w14:textId="0C5372C1">
      <w:pPr>
        <w:ind w:firstLine="720"/>
        <w:rPr>
          <w:sz w:val="22"/>
          <w:szCs w:val="22"/>
        </w:rPr>
      </w:pPr>
      <w:r>
        <w:rPr>
          <w:sz w:val="22"/>
          <w:szCs w:val="22"/>
        </w:rPr>
        <w:t xml:space="preserve">During June 2018, </w:t>
      </w:r>
      <w:r w:rsidR="00B258A6">
        <w:rPr>
          <w:sz w:val="22"/>
          <w:szCs w:val="22"/>
        </w:rPr>
        <w:t>an</w:t>
      </w:r>
      <w:r>
        <w:rPr>
          <w:sz w:val="22"/>
          <w:szCs w:val="22"/>
        </w:rPr>
        <w:t xml:space="preserve"> SBA </w:t>
      </w:r>
      <w:r w:rsidR="00B258A6">
        <w:rPr>
          <w:sz w:val="22"/>
          <w:szCs w:val="22"/>
        </w:rPr>
        <w:t>representative</w:t>
      </w:r>
      <w:r>
        <w:rPr>
          <w:sz w:val="22"/>
          <w:szCs w:val="22"/>
        </w:rPr>
        <w:t xml:space="preserve"> agreed upon a temporary location for the Station with PFI Group of Rogersville, Alabama (PFI).  SBA then filed an STA </w:t>
      </w:r>
      <w:r w:rsidR="00697692">
        <w:rPr>
          <w:sz w:val="22"/>
          <w:szCs w:val="22"/>
        </w:rPr>
        <w:t xml:space="preserve">request </w:t>
      </w:r>
      <w:r>
        <w:rPr>
          <w:sz w:val="22"/>
          <w:szCs w:val="22"/>
        </w:rPr>
        <w:t xml:space="preserve">on June 11, 2018 to operate </w:t>
      </w:r>
      <w:r w:rsidR="00697692">
        <w:rPr>
          <w:sz w:val="22"/>
          <w:szCs w:val="22"/>
        </w:rPr>
        <w:t xml:space="preserve">the Station at a </w:t>
      </w:r>
      <w:r>
        <w:rPr>
          <w:sz w:val="22"/>
          <w:szCs w:val="22"/>
        </w:rPr>
        <w:t xml:space="preserve">temporary </w:t>
      </w:r>
      <w:r w:rsidR="00697692">
        <w:rPr>
          <w:sz w:val="22"/>
          <w:szCs w:val="22"/>
        </w:rPr>
        <w:t xml:space="preserve">site </w:t>
      </w:r>
      <w:r w:rsidR="00B258A6">
        <w:rPr>
          <w:sz w:val="22"/>
          <w:szCs w:val="22"/>
        </w:rPr>
        <w:t>with coordinates specified as</w:t>
      </w:r>
      <w:r>
        <w:rPr>
          <w:sz w:val="22"/>
          <w:szCs w:val="22"/>
        </w:rPr>
        <w:t xml:space="preserve"> 34-38-19 North Latitude, 86-52-41 West Longitude (Mooresville Road Site)</w:t>
      </w:r>
      <w:r w:rsidR="00B258A6">
        <w:rPr>
          <w:sz w:val="22"/>
          <w:szCs w:val="22"/>
        </w:rPr>
        <w:t>.  T</w:t>
      </w:r>
      <w:r w:rsidR="00697692">
        <w:rPr>
          <w:sz w:val="22"/>
          <w:szCs w:val="22"/>
        </w:rPr>
        <w:t>he Bureau</w:t>
      </w:r>
      <w:r>
        <w:rPr>
          <w:sz w:val="22"/>
          <w:szCs w:val="22"/>
        </w:rPr>
        <w:t xml:space="preserve"> granted </w:t>
      </w:r>
      <w:r w:rsidR="00B258A6">
        <w:rPr>
          <w:sz w:val="22"/>
          <w:szCs w:val="22"/>
        </w:rPr>
        <w:t xml:space="preserve">that STA </w:t>
      </w:r>
      <w:r>
        <w:rPr>
          <w:sz w:val="22"/>
          <w:szCs w:val="22"/>
        </w:rPr>
        <w:t>on June 14, 2018.</w:t>
      </w:r>
      <w:r>
        <w:rPr>
          <w:rStyle w:val="FootnoteReference"/>
          <w:sz w:val="22"/>
          <w:szCs w:val="22"/>
        </w:rPr>
        <w:footnoteReference w:id="7"/>
      </w:r>
      <w:r w:rsidR="00DE26B3">
        <w:rPr>
          <w:sz w:val="22"/>
          <w:szCs w:val="22"/>
        </w:rPr>
        <w:t xml:space="preserve">  </w:t>
      </w:r>
    </w:p>
    <w:p w:rsidR="00044605" w:rsidP="00EB0FFD" w14:paraId="7282C183" w14:textId="1D46BFFE">
      <w:pPr>
        <w:ind w:firstLine="720"/>
        <w:rPr>
          <w:sz w:val="22"/>
          <w:szCs w:val="22"/>
        </w:rPr>
      </w:pPr>
    </w:p>
    <w:p w:rsidR="00044605" w:rsidP="00EB0FFD" w14:paraId="3E40416D" w14:textId="62DC1926">
      <w:pPr>
        <w:ind w:firstLine="720"/>
        <w:rPr>
          <w:sz w:val="22"/>
          <w:szCs w:val="22"/>
        </w:rPr>
      </w:pPr>
      <w:r>
        <w:rPr>
          <w:sz w:val="22"/>
          <w:szCs w:val="22"/>
        </w:rPr>
        <w:t>On June 29, 2018, SBA filed a notice of resumption of operatio</w:t>
      </w:r>
      <w:r w:rsidR="000311E1">
        <w:rPr>
          <w:sz w:val="22"/>
          <w:szCs w:val="22"/>
        </w:rPr>
        <w:t>n.</w:t>
      </w:r>
      <w:r w:rsidR="00DE26B3">
        <w:rPr>
          <w:sz w:val="22"/>
          <w:szCs w:val="22"/>
        </w:rPr>
        <w:t xml:space="preserve"> </w:t>
      </w:r>
      <w:r w:rsidR="000311E1">
        <w:rPr>
          <w:sz w:val="22"/>
          <w:szCs w:val="22"/>
        </w:rPr>
        <w:t xml:space="preserve"> T</w:t>
      </w:r>
      <w:r>
        <w:rPr>
          <w:sz w:val="22"/>
          <w:szCs w:val="22"/>
        </w:rPr>
        <w:t xml:space="preserve">hree days </w:t>
      </w:r>
      <w:r w:rsidR="000311E1">
        <w:rPr>
          <w:sz w:val="22"/>
          <w:szCs w:val="22"/>
        </w:rPr>
        <w:t>after that resumption notice was filed (at which point SBA’s July 2, 2018 resumption deadline had passed)</w:t>
      </w:r>
      <w:r w:rsidR="00C2739E">
        <w:rPr>
          <w:sz w:val="22"/>
          <w:szCs w:val="22"/>
        </w:rPr>
        <w:t>,</w:t>
      </w:r>
      <w:r>
        <w:rPr>
          <w:sz w:val="22"/>
          <w:szCs w:val="22"/>
        </w:rPr>
        <w:t xml:space="preserve"> SBA filed a new STA </w:t>
      </w:r>
      <w:r w:rsidR="00B40681">
        <w:rPr>
          <w:sz w:val="22"/>
          <w:szCs w:val="22"/>
        </w:rPr>
        <w:t xml:space="preserve">request </w:t>
      </w:r>
      <w:r>
        <w:rPr>
          <w:sz w:val="22"/>
          <w:szCs w:val="22"/>
        </w:rPr>
        <w:t xml:space="preserve">for a site roughly </w:t>
      </w:r>
      <w:r w:rsidR="00B258A6">
        <w:rPr>
          <w:sz w:val="22"/>
          <w:szCs w:val="22"/>
        </w:rPr>
        <w:t>one-tenth of a mile (416 feet)</w:t>
      </w:r>
      <w:r>
        <w:rPr>
          <w:sz w:val="22"/>
          <w:szCs w:val="22"/>
        </w:rPr>
        <w:t xml:space="preserve"> away from the Mooresville Road Site</w:t>
      </w:r>
      <w:r w:rsidR="009B1179">
        <w:rPr>
          <w:sz w:val="22"/>
          <w:szCs w:val="22"/>
        </w:rPr>
        <w:t>.</w:t>
      </w:r>
      <w:r>
        <w:rPr>
          <w:rStyle w:val="FootnoteReference"/>
          <w:sz w:val="22"/>
          <w:szCs w:val="22"/>
        </w:rPr>
        <w:footnoteReference w:id="8"/>
      </w:r>
      <w:r w:rsidR="00DE26B3">
        <w:rPr>
          <w:sz w:val="22"/>
          <w:szCs w:val="22"/>
        </w:rPr>
        <w:t xml:space="preserve"> </w:t>
      </w:r>
      <w:r w:rsidR="001D50EF">
        <w:rPr>
          <w:sz w:val="22"/>
          <w:szCs w:val="22"/>
        </w:rPr>
        <w:t xml:space="preserve"> </w:t>
      </w:r>
      <w:r w:rsidR="009B1179">
        <w:rPr>
          <w:sz w:val="22"/>
          <w:szCs w:val="22"/>
        </w:rPr>
        <w:t>I</w:t>
      </w:r>
      <w:r w:rsidR="00F42236">
        <w:rPr>
          <w:sz w:val="22"/>
          <w:szCs w:val="22"/>
        </w:rPr>
        <w:t xml:space="preserve">n </w:t>
      </w:r>
      <w:r w:rsidR="00B40681">
        <w:rPr>
          <w:sz w:val="22"/>
          <w:szCs w:val="22"/>
        </w:rPr>
        <w:t xml:space="preserve">the </w:t>
      </w:r>
      <w:r w:rsidR="00431A45">
        <w:rPr>
          <w:sz w:val="22"/>
          <w:szCs w:val="22"/>
        </w:rPr>
        <w:t xml:space="preserve">July 2, 2018 </w:t>
      </w:r>
      <w:r w:rsidR="00B40681">
        <w:rPr>
          <w:sz w:val="22"/>
          <w:szCs w:val="22"/>
        </w:rPr>
        <w:t>STA Request</w:t>
      </w:r>
      <w:r w:rsidR="00F42236">
        <w:rPr>
          <w:sz w:val="22"/>
          <w:szCs w:val="22"/>
        </w:rPr>
        <w:t>, SBA</w:t>
      </w:r>
      <w:r w:rsidR="009B1179">
        <w:rPr>
          <w:sz w:val="22"/>
          <w:szCs w:val="22"/>
        </w:rPr>
        <w:t xml:space="preserve"> claimed </w:t>
      </w:r>
      <w:r w:rsidR="001D50EF">
        <w:rPr>
          <w:sz w:val="22"/>
          <w:szCs w:val="22"/>
        </w:rPr>
        <w:t>that</w:t>
      </w:r>
      <w:r w:rsidR="00431A45">
        <w:rPr>
          <w:sz w:val="22"/>
          <w:szCs w:val="22"/>
        </w:rPr>
        <w:t xml:space="preserve"> PFI had “mandated a slight site modification of the STA facility to another location on [its] property.”</w:t>
      </w:r>
      <w:r>
        <w:rPr>
          <w:rStyle w:val="FootnoteReference"/>
          <w:sz w:val="22"/>
          <w:szCs w:val="22"/>
        </w:rPr>
        <w:footnoteReference w:id="9"/>
      </w:r>
      <w:r w:rsidR="00DE26B3">
        <w:rPr>
          <w:sz w:val="22"/>
          <w:szCs w:val="22"/>
        </w:rPr>
        <w:t xml:space="preserve"> </w:t>
      </w:r>
      <w:r w:rsidR="000311E1">
        <w:rPr>
          <w:sz w:val="22"/>
          <w:szCs w:val="22"/>
        </w:rPr>
        <w:t xml:space="preserve"> Given the proximity of these separate filings, the Bureau sent a Letter of Inquiry (</w:t>
      </w:r>
      <w:r w:rsidRPr="00B258A6" w:rsidR="000311E1">
        <w:rPr>
          <w:i/>
          <w:sz w:val="22"/>
          <w:szCs w:val="22"/>
        </w:rPr>
        <w:t>LOI</w:t>
      </w:r>
      <w:r w:rsidR="000311E1">
        <w:rPr>
          <w:sz w:val="22"/>
          <w:szCs w:val="22"/>
        </w:rPr>
        <w:t xml:space="preserve">) to SBA, requiring SBA to provide evidence of the Station’s operational status </w:t>
      </w:r>
      <w:r w:rsidR="00431A45">
        <w:rPr>
          <w:sz w:val="22"/>
          <w:szCs w:val="22"/>
        </w:rPr>
        <w:t>from</w:t>
      </w:r>
      <w:r w:rsidR="003350C5">
        <w:rPr>
          <w:sz w:val="22"/>
          <w:szCs w:val="22"/>
        </w:rPr>
        <w:t xml:space="preserve"> June 28 to July 3, 2018.</w:t>
      </w:r>
      <w:r>
        <w:rPr>
          <w:rStyle w:val="FootnoteReference"/>
          <w:sz w:val="22"/>
          <w:szCs w:val="22"/>
        </w:rPr>
        <w:footnoteReference w:id="10"/>
      </w:r>
      <w:r w:rsidR="003350C5">
        <w:rPr>
          <w:sz w:val="22"/>
          <w:szCs w:val="22"/>
        </w:rPr>
        <w:t xml:space="preserve"> </w:t>
      </w:r>
      <w:r w:rsidR="00DE26B3">
        <w:rPr>
          <w:sz w:val="22"/>
          <w:szCs w:val="22"/>
        </w:rPr>
        <w:t xml:space="preserve"> </w:t>
      </w:r>
      <w:r w:rsidR="003350C5">
        <w:rPr>
          <w:sz w:val="22"/>
          <w:szCs w:val="22"/>
        </w:rPr>
        <w:t>SBA’s response indicated that the authorized STA site</w:t>
      </w:r>
      <w:r w:rsidR="00431A45">
        <w:rPr>
          <w:sz w:val="22"/>
          <w:szCs w:val="22"/>
        </w:rPr>
        <w:t>—the Mooresville Road Site—</w:t>
      </w:r>
      <w:r w:rsidR="003350C5">
        <w:rPr>
          <w:sz w:val="22"/>
          <w:szCs w:val="22"/>
        </w:rPr>
        <w:t>was not the site used from June 28 to July 3, 2018</w:t>
      </w:r>
      <w:r w:rsidR="00342F5B">
        <w:rPr>
          <w:sz w:val="22"/>
          <w:szCs w:val="22"/>
        </w:rPr>
        <w:t>.</w:t>
      </w:r>
      <w:r>
        <w:rPr>
          <w:rStyle w:val="FootnoteReference"/>
          <w:sz w:val="22"/>
          <w:szCs w:val="22"/>
        </w:rPr>
        <w:footnoteReference w:id="11"/>
      </w:r>
      <w:r w:rsidR="00DE26B3">
        <w:rPr>
          <w:sz w:val="22"/>
          <w:szCs w:val="22"/>
        </w:rPr>
        <w:t xml:space="preserve"> </w:t>
      </w:r>
      <w:r w:rsidR="00342F5B">
        <w:rPr>
          <w:sz w:val="22"/>
          <w:szCs w:val="22"/>
        </w:rPr>
        <w:t xml:space="preserve"> </w:t>
      </w:r>
      <w:r w:rsidR="00202C6F">
        <w:rPr>
          <w:sz w:val="22"/>
          <w:szCs w:val="22"/>
        </w:rPr>
        <w:t>T</w:t>
      </w:r>
      <w:r w:rsidR="00342F5B">
        <w:rPr>
          <w:sz w:val="22"/>
          <w:szCs w:val="22"/>
        </w:rPr>
        <w:t>he response</w:t>
      </w:r>
      <w:r w:rsidR="00202C6F">
        <w:rPr>
          <w:sz w:val="22"/>
          <w:szCs w:val="22"/>
        </w:rPr>
        <w:t xml:space="preserve"> also</w:t>
      </w:r>
      <w:r w:rsidR="00342F5B">
        <w:rPr>
          <w:sz w:val="22"/>
          <w:szCs w:val="22"/>
        </w:rPr>
        <w:t xml:space="preserve"> </w:t>
      </w:r>
      <w:r w:rsidR="003F7CC8">
        <w:rPr>
          <w:sz w:val="22"/>
          <w:szCs w:val="22"/>
        </w:rPr>
        <w:t>stated</w:t>
      </w:r>
      <w:r w:rsidR="00342F5B">
        <w:rPr>
          <w:sz w:val="22"/>
          <w:szCs w:val="22"/>
        </w:rPr>
        <w:t xml:space="preserve"> that after SBA filed its resumption notice, it realized the facility was </w:t>
      </w:r>
      <w:r w:rsidR="004F0D9E">
        <w:rPr>
          <w:sz w:val="22"/>
          <w:szCs w:val="22"/>
        </w:rPr>
        <w:t>a</w:t>
      </w:r>
      <w:r w:rsidR="00A01858">
        <w:rPr>
          <w:sz w:val="22"/>
          <w:szCs w:val="22"/>
        </w:rPr>
        <w:t>ctually</w:t>
      </w:r>
      <w:r w:rsidR="004F0D9E">
        <w:rPr>
          <w:sz w:val="22"/>
          <w:szCs w:val="22"/>
        </w:rPr>
        <w:t xml:space="preserve"> </w:t>
      </w:r>
      <w:r w:rsidR="00342F5B">
        <w:rPr>
          <w:sz w:val="22"/>
          <w:szCs w:val="22"/>
        </w:rPr>
        <w:t xml:space="preserve">built </w:t>
      </w:r>
      <w:r w:rsidR="00A01858">
        <w:rPr>
          <w:sz w:val="22"/>
          <w:szCs w:val="22"/>
        </w:rPr>
        <w:t xml:space="preserve">at </w:t>
      </w:r>
      <w:r w:rsidR="00B258A6">
        <w:rPr>
          <w:sz w:val="22"/>
          <w:szCs w:val="22"/>
        </w:rPr>
        <w:t xml:space="preserve">a location </w:t>
      </w:r>
      <w:r w:rsidR="00342F5B">
        <w:rPr>
          <w:sz w:val="22"/>
          <w:szCs w:val="22"/>
        </w:rPr>
        <w:t xml:space="preserve">138 feet </w:t>
      </w:r>
      <w:r w:rsidR="00814E73">
        <w:rPr>
          <w:sz w:val="22"/>
          <w:szCs w:val="22"/>
        </w:rPr>
        <w:t>beyond</w:t>
      </w:r>
      <w:r w:rsidR="00342F5B">
        <w:rPr>
          <w:sz w:val="22"/>
          <w:szCs w:val="22"/>
        </w:rPr>
        <w:t xml:space="preserve"> the</w:t>
      </w:r>
      <w:r w:rsidR="00B258A6">
        <w:rPr>
          <w:sz w:val="22"/>
          <w:szCs w:val="22"/>
        </w:rPr>
        <w:t xml:space="preserve"> three-second</w:t>
      </w:r>
      <w:r w:rsidR="00342F5B">
        <w:rPr>
          <w:sz w:val="22"/>
          <w:szCs w:val="22"/>
        </w:rPr>
        <w:t xml:space="preserve"> </w:t>
      </w:r>
      <w:r w:rsidR="00A01858">
        <w:rPr>
          <w:sz w:val="22"/>
          <w:szCs w:val="22"/>
        </w:rPr>
        <w:t xml:space="preserve">“tolerance zone of [Section] 73.1690(b)(2) by [138 feet]” as measured from the </w:t>
      </w:r>
      <w:r w:rsidR="00342F5B">
        <w:rPr>
          <w:sz w:val="22"/>
          <w:szCs w:val="22"/>
        </w:rPr>
        <w:t>authorized Mooresville Road Site.</w:t>
      </w:r>
      <w:r>
        <w:rPr>
          <w:rStyle w:val="FootnoteReference"/>
          <w:sz w:val="22"/>
          <w:szCs w:val="22"/>
        </w:rPr>
        <w:footnoteReference w:id="12"/>
      </w:r>
      <w:r w:rsidR="00DE26B3">
        <w:rPr>
          <w:sz w:val="22"/>
          <w:szCs w:val="22"/>
        </w:rPr>
        <w:t xml:space="preserve">  </w:t>
      </w:r>
    </w:p>
    <w:p w:rsidR="00B5268C" w:rsidP="00B5268C" w14:paraId="51C53492" w14:textId="77777777">
      <w:pPr>
        <w:ind w:firstLine="720"/>
        <w:rPr>
          <w:sz w:val="22"/>
          <w:szCs w:val="22"/>
        </w:rPr>
      </w:pPr>
    </w:p>
    <w:p w:rsidR="008D483A" w:rsidP="00856574" w14:paraId="0DF664F8" w14:textId="1FBB2E9C">
      <w:pPr>
        <w:ind w:firstLine="720"/>
        <w:rPr>
          <w:sz w:val="22"/>
          <w:szCs w:val="22"/>
        </w:rPr>
      </w:pPr>
      <w:r>
        <w:rPr>
          <w:sz w:val="22"/>
          <w:szCs w:val="22"/>
        </w:rPr>
        <w:t xml:space="preserve">In the </w:t>
      </w:r>
      <w:r w:rsidRPr="004E299F">
        <w:rPr>
          <w:i/>
          <w:sz w:val="22"/>
          <w:szCs w:val="22"/>
        </w:rPr>
        <w:t>Letter Order</w:t>
      </w:r>
      <w:r>
        <w:rPr>
          <w:sz w:val="22"/>
          <w:szCs w:val="22"/>
        </w:rPr>
        <w:t xml:space="preserve">, </w:t>
      </w:r>
      <w:r w:rsidR="00431A45">
        <w:rPr>
          <w:sz w:val="22"/>
          <w:szCs w:val="22"/>
        </w:rPr>
        <w:t xml:space="preserve">the Bureau </w:t>
      </w:r>
      <w:r w:rsidR="005A597F">
        <w:rPr>
          <w:sz w:val="22"/>
          <w:szCs w:val="22"/>
        </w:rPr>
        <w:t xml:space="preserve">held that the Station’s license had expired </w:t>
      </w:r>
      <w:r w:rsidR="000D647D">
        <w:rPr>
          <w:sz w:val="22"/>
          <w:szCs w:val="22"/>
        </w:rPr>
        <w:t>pursuant</w:t>
      </w:r>
      <w:r w:rsidR="005A597F">
        <w:rPr>
          <w:sz w:val="22"/>
          <w:szCs w:val="22"/>
        </w:rPr>
        <w:t xml:space="preserve"> to </w:t>
      </w:r>
      <w:r w:rsidR="00CA6338">
        <w:rPr>
          <w:sz w:val="22"/>
          <w:szCs w:val="22"/>
        </w:rPr>
        <w:t>Section 312</w:t>
      </w:r>
      <w:r w:rsidR="009431AB">
        <w:rPr>
          <w:sz w:val="22"/>
          <w:szCs w:val="22"/>
        </w:rPr>
        <w:t>(g)</w:t>
      </w:r>
      <w:r w:rsidR="00CA6338">
        <w:rPr>
          <w:sz w:val="22"/>
          <w:szCs w:val="22"/>
        </w:rPr>
        <w:t xml:space="preserve"> of the </w:t>
      </w:r>
      <w:r w:rsidR="009E3C4F">
        <w:rPr>
          <w:sz w:val="22"/>
          <w:szCs w:val="22"/>
        </w:rPr>
        <w:t xml:space="preserve">Communications </w:t>
      </w:r>
      <w:r w:rsidR="00CA6338">
        <w:rPr>
          <w:sz w:val="22"/>
          <w:szCs w:val="22"/>
        </w:rPr>
        <w:t>Act</w:t>
      </w:r>
      <w:r w:rsidR="009E3C4F">
        <w:rPr>
          <w:sz w:val="22"/>
          <w:szCs w:val="22"/>
        </w:rPr>
        <w:t xml:space="preserve"> of 1934</w:t>
      </w:r>
      <w:r w:rsidR="00431A45">
        <w:rPr>
          <w:sz w:val="22"/>
          <w:szCs w:val="22"/>
        </w:rPr>
        <w:t>, as amended</w:t>
      </w:r>
      <w:r w:rsidR="009E3C4F">
        <w:rPr>
          <w:sz w:val="22"/>
          <w:szCs w:val="22"/>
        </w:rPr>
        <w:t xml:space="preserve"> (Act)</w:t>
      </w:r>
      <w:r w:rsidR="005A597F">
        <w:rPr>
          <w:sz w:val="22"/>
          <w:szCs w:val="22"/>
        </w:rPr>
        <w:t xml:space="preserve"> because </w:t>
      </w:r>
      <w:r w:rsidR="000D647D">
        <w:rPr>
          <w:sz w:val="22"/>
          <w:szCs w:val="22"/>
        </w:rPr>
        <w:t>the S</w:t>
      </w:r>
      <w:r w:rsidR="00B258A6">
        <w:rPr>
          <w:sz w:val="22"/>
          <w:szCs w:val="22"/>
        </w:rPr>
        <w:t>t</w:t>
      </w:r>
      <w:r w:rsidR="000D647D">
        <w:rPr>
          <w:sz w:val="22"/>
          <w:szCs w:val="22"/>
        </w:rPr>
        <w:t>ation</w:t>
      </w:r>
      <w:r w:rsidR="005A597F">
        <w:rPr>
          <w:sz w:val="22"/>
          <w:szCs w:val="22"/>
        </w:rPr>
        <w:t xml:space="preserve"> had not </w:t>
      </w:r>
      <w:r w:rsidR="000D647D">
        <w:rPr>
          <w:sz w:val="22"/>
          <w:szCs w:val="22"/>
        </w:rPr>
        <w:t>broadcast</w:t>
      </w:r>
      <w:r w:rsidR="005A597F">
        <w:rPr>
          <w:sz w:val="22"/>
          <w:szCs w:val="22"/>
        </w:rPr>
        <w:t xml:space="preserve"> from an </w:t>
      </w:r>
      <w:r w:rsidR="000D647D">
        <w:rPr>
          <w:sz w:val="22"/>
          <w:szCs w:val="22"/>
        </w:rPr>
        <w:t>authorized</w:t>
      </w:r>
      <w:r w:rsidR="005A597F">
        <w:rPr>
          <w:sz w:val="22"/>
          <w:szCs w:val="22"/>
        </w:rPr>
        <w:t xml:space="preserve"> site for a 12-month period</w:t>
      </w:r>
      <w:r w:rsidR="001445B2">
        <w:rPr>
          <w:sz w:val="22"/>
          <w:szCs w:val="22"/>
        </w:rPr>
        <w:t>.</w:t>
      </w:r>
      <w:r>
        <w:rPr>
          <w:rStyle w:val="FootnoteReference"/>
          <w:sz w:val="22"/>
          <w:szCs w:val="22"/>
        </w:rPr>
        <w:footnoteReference w:id="13"/>
      </w:r>
      <w:r w:rsidR="001445B2">
        <w:rPr>
          <w:sz w:val="22"/>
          <w:szCs w:val="22"/>
        </w:rPr>
        <w:t xml:space="preserve"> </w:t>
      </w:r>
      <w:r w:rsidR="00B40866">
        <w:rPr>
          <w:sz w:val="22"/>
          <w:szCs w:val="22"/>
        </w:rPr>
        <w:t xml:space="preserve"> </w:t>
      </w:r>
      <w:r w:rsidR="000D647D">
        <w:rPr>
          <w:sz w:val="22"/>
          <w:szCs w:val="22"/>
        </w:rPr>
        <w:t xml:space="preserve">The </w:t>
      </w:r>
      <w:r w:rsidR="000D647D">
        <w:rPr>
          <w:i/>
          <w:sz w:val="22"/>
          <w:szCs w:val="22"/>
        </w:rPr>
        <w:t xml:space="preserve">Letter Order </w:t>
      </w:r>
      <w:r w:rsidR="000D647D">
        <w:rPr>
          <w:sz w:val="22"/>
          <w:szCs w:val="22"/>
        </w:rPr>
        <w:t>noted that f</w:t>
      </w:r>
      <w:r w:rsidR="00856574">
        <w:rPr>
          <w:sz w:val="22"/>
          <w:szCs w:val="22"/>
        </w:rPr>
        <w:t>or</w:t>
      </w:r>
      <w:r w:rsidR="00561988">
        <w:rPr>
          <w:sz w:val="22"/>
          <w:szCs w:val="22"/>
        </w:rPr>
        <w:t xml:space="preserve"> a station’s</w:t>
      </w:r>
      <w:r w:rsidR="00856574">
        <w:rPr>
          <w:sz w:val="22"/>
          <w:szCs w:val="22"/>
        </w:rPr>
        <w:t xml:space="preserve"> </w:t>
      </w:r>
      <w:r w:rsidR="00464C57">
        <w:rPr>
          <w:sz w:val="22"/>
          <w:szCs w:val="22"/>
        </w:rPr>
        <w:t xml:space="preserve">broadcasting </w:t>
      </w:r>
      <w:r w:rsidR="00856574">
        <w:rPr>
          <w:sz w:val="22"/>
          <w:szCs w:val="22"/>
        </w:rPr>
        <w:t xml:space="preserve">to qualify, it </w:t>
      </w:r>
      <w:r w:rsidR="00464C57">
        <w:rPr>
          <w:sz w:val="22"/>
          <w:szCs w:val="22"/>
        </w:rPr>
        <w:t xml:space="preserve">must be in accordance with </w:t>
      </w:r>
      <w:r w:rsidR="00175A7B">
        <w:rPr>
          <w:sz w:val="22"/>
          <w:szCs w:val="22"/>
        </w:rPr>
        <w:t xml:space="preserve">authorized </w:t>
      </w:r>
      <w:r w:rsidR="00464C57">
        <w:rPr>
          <w:sz w:val="22"/>
          <w:szCs w:val="22"/>
        </w:rPr>
        <w:t>STAs</w:t>
      </w:r>
      <w:r w:rsidR="000D647D">
        <w:rPr>
          <w:sz w:val="22"/>
          <w:szCs w:val="22"/>
        </w:rPr>
        <w:t>, and thus SBA’s broadcasting had to be at the authorized Mooresville Road Site</w:t>
      </w:r>
      <w:r w:rsidR="00464C57">
        <w:rPr>
          <w:sz w:val="22"/>
          <w:szCs w:val="22"/>
        </w:rPr>
        <w:t>.</w:t>
      </w:r>
      <w:r>
        <w:rPr>
          <w:rStyle w:val="FootnoteReference"/>
          <w:sz w:val="22"/>
          <w:szCs w:val="22"/>
        </w:rPr>
        <w:footnoteReference w:id="14"/>
      </w:r>
      <w:r w:rsidR="00B40866">
        <w:rPr>
          <w:sz w:val="22"/>
          <w:szCs w:val="22"/>
        </w:rPr>
        <w:t xml:space="preserve"> </w:t>
      </w:r>
      <w:r w:rsidR="006451A4">
        <w:rPr>
          <w:sz w:val="22"/>
          <w:szCs w:val="22"/>
        </w:rPr>
        <w:t xml:space="preserve"> </w:t>
      </w:r>
      <w:r w:rsidR="00177610">
        <w:rPr>
          <w:sz w:val="22"/>
          <w:szCs w:val="22"/>
        </w:rPr>
        <w:t xml:space="preserve">The </w:t>
      </w:r>
      <w:r w:rsidR="00177610">
        <w:rPr>
          <w:i/>
          <w:sz w:val="22"/>
          <w:szCs w:val="22"/>
        </w:rPr>
        <w:t>Letter Order</w:t>
      </w:r>
      <w:r w:rsidR="00177610">
        <w:rPr>
          <w:sz w:val="22"/>
          <w:szCs w:val="22"/>
        </w:rPr>
        <w:t xml:space="preserve"> further rejected SBA’s request that </w:t>
      </w:r>
      <w:r w:rsidR="001445B2">
        <w:rPr>
          <w:sz w:val="22"/>
          <w:szCs w:val="22"/>
        </w:rPr>
        <w:t xml:space="preserve">we </w:t>
      </w:r>
      <w:r w:rsidR="00C42DDF">
        <w:rPr>
          <w:sz w:val="22"/>
          <w:szCs w:val="22"/>
        </w:rPr>
        <w:t>exercise</w:t>
      </w:r>
      <w:r w:rsidR="001445B2">
        <w:rPr>
          <w:sz w:val="22"/>
          <w:szCs w:val="22"/>
        </w:rPr>
        <w:t xml:space="preserve"> our </w:t>
      </w:r>
      <w:r w:rsidR="00936FDA">
        <w:rPr>
          <w:sz w:val="22"/>
          <w:szCs w:val="22"/>
        </w:rPr>
        <w:t>dis</w:t>
      </w:r>
      <w:r w:rsidR="001445B2">
        <w:rPr>
          <w:sz w:val="22"/>
          <w:szCs w:val="22"/>
        </w:rPr>
        <w:t>cretion</w:t>
      </w:r>
      <w:r w:rsidR="003D543F">
        <w:rPr>
          <w:sz w:val="22"/>
          <w:szCs w:val="22"/>
        </w:rPr>
        <w:t xml:space="preserve"> “to promote equity and fairness”</w:t>
      </w:r>
      <w:r w:rsidR="001445B2">
        <w:rPr>
          <w:sz w:val="22"/>
          <w:szCs w:val="22"/>
        </w:rPr>
        <w:t xml:space="preserve"> under Section</w:t>
      </w:r>
      <w:r w:rsidR="00856574">
        <w:rPr>
          <w:sz w:val="22"/>
          <w:szCs w:val="22"/>
        </w:rPr>
        <w:t xml:space="preserve"> 312</w:t>
      </w:r>
      <w:r w:rsidR="001445B2">
        <w:rPr>
          <w:sz w:val="22"/>
          <w:szCs w:val="22"/>
        </w:rPr>
        <w:t>(g)</w:t>
      </w:r>
      <w:r w:rsidR="003D543F">
        <w:rPr>
          <w:sz w:val="22"/>
          <w:szCs w:val="22"/>
        </w:rPr>
        <w:t xml:space="preserve"> </w:t>
      </w:r>
      <w:r w:rsidR="00936FDA">
        <w:rPr>
          <w:sz w:val="22"/>
          <w:szCs w:val="22"/>
        </w:rPr>
        <w:t>despite</w:t>
      </w:r>
      <w:r w:rsidR="000070F8">
        <w:rPr>
          <w:sz w:val="22"/>
          <w:szCs w:val="22"/>
        </w:rPr>
        <w:t xml:space="preserve"> </w:t>
      </w:r>
      <w:r w:rsidR="00C5735C">
        <w:rPr>
          <w:sz w:val="22"/>
          <w:szCs w:val="22"/>
        </w:rPr>
        <w:t>SBA’</w:t>
      </w:r>
      <w:r w:rsidR="000070F8">
        <w:rPr>
          <w:sz w:val="22"/>
          <w:szCs w:val="22"/>
        </w:rPr>
        <w:t>s</w:t>
      </w:r>
      <w:r w:rsidR="003D543F">
        <w:rPr>
          <w:sz w:val="22"/>
          <w:szCs w:val="22"/>
        </w:rPr>
        <w:t xml:space="preserve"> location violation</w:t>
      </w:r>
      <w:r w:rsidR="00177610">
        <w:rPr>
          <w:sz w:val="22"/>
          <w:szCs w:val="22"/>
        </w:rPr>
        <w:t xml:space="preserve"> because such discretion</w:t>
      </w:r>
      <w:r w:rsidR="001445B2">
        <w:rPr>
          <w:sz w:val="22"/>
          <w:szCs w:val="22"/>
        </w:rPr>
        <w:t xml:space="preserve"> </w:t>
      </w:r>
      <w:r w:rsidR="00177610">
        <w:rPr>
          <w:sz w:val="22"/>
          <w:szCs w:val="22"/>
        </w:rPr>
        <w:t xml:space="preserve">has </w:t>
      </w:r>
      <w:r w:rsidR="001445B2">
        <w:rPr>
          <w:sz w:val="22"/>
          <w:szCs w:val="22"/>
        </w:rPr>
        <w:t xml:space="preserve">only </w:t>
      </w:r>
      <w:r w:rsidR="00177610">
        <w:rPr>
          <w:sz w:val="22"/>
          <w:szCs w:val="22"/>
        </w:rPr>
        <w:t xml:space="preserve">been used </w:t>
      </w:r>
      <w:r w:rsidR="001445B2">
        <w:rPr>
          <w:sz w:val="22"/>
          <w:szCs w:val="22"/>
        </w:rPr>
        <w:t xml:space="preserve">in </w:t>
      </w:r>
      <w:r w:rsidR="00177610">
        <w:rPr>
          <w:sz w:val="22"/>
          <w:szCs w:val="22"/>
        </w:rPr>
        <w:t xml:space="preserve">limited </w:t>
      </w:r>
      <w:r w:rsidR="001445B2">
        <w:rPr>
          <w:sz w:val="22"/>
          <w:szCs w:val="22"/>
        </w:rPr>
        <w:t>cases where the station could not provide service due to “compelling reasons beyond the licensee’s control</w:t>
      </w:r>
      <w:r w:rsidR="001D50EF">
        <w:rPr>
          <w:sz w:val="22"/>
          <w:szCs w:val="22"/>
        </w:rPr>
        <w:t>,</w:t>
      </w:r>
      <w:r w:rsidR="001445B2">
        <w:rPr>
          <w:sz w:val="22"/>
          <w:szCs w:val="22"/>
        </w:rPr>
        <w:t>”</w:t>
      </w:r>
      <w:r w:rsidR="001D50EF">
        <w:rPr>
          <w:sz w:val="22"/>
          <w:szCs w:val="22"/>
        </w:rPr>
        <w:t xml:space="preserve"> </w:t>
      </w:r>
      <w:r w:rsidR="00177610">
        <w:rPr>
          <w:sz w:val="22"/>
          <w:szCs w:val="22"/>
        </w:rPr>
        <w:t>and not because of</w:t>
      </w:r>
      <w:r w:rsidR="001D50EF">
        <w:rPr>
          <w:sz w:val="22"/>
          <w:szCs w:val="22"/>
        </w:rPr>
        <w:t xml:space="preserve"> a station’s business judgments and arrangements</w:t>
      </w:r>
      <w:r w:rsidR="00177610">
        <w:rPr>
          <w:sz w:val="22"/>
          <w:szCs w:val="22"/>
        </w:rPr>
        <w:t>, as was the case here</w:t>
      </w:r>
      <w:r w:rsidR="000B673A">
        <w:rPr>
          <w:sz w:val="22"/>
          <w:szCs w:val="22"/>
        </w:rPr>
        <w:t>.</w:t>
      </w:r>
      <w:r>
        <w:rPr>
          <w:rStyle w:val="FootnoteReference"/>
          <w:sz w:val="22"/>
          <w:szCs w:val="22"/>
        </w:rPr>
        <w:footnoteReference w:id="15"/>
      </w:r>
      <w:r w:rsidR="00B40866">
        <w:rPr>
          <w:sz w:val="22"/>
          <w:szCs w:val="22"/>
        </w:rPr>
        <w:t xml:space="preserve"> </w:t>
      </w:r>
      <w:r w:rsidR="00856574">
        <w:rPr>
          <w:sz w:val="22"/>
          <w:szCs w:val="22"/>
        </w:rPr>
        <w:t xml:space="preserve"> </w:t>
      </w:r>
      <w:r w:rsidR="00C816EA">
        <w:rPr>
          <w:sz w:val="22"/>
          <w:szCs w:val="22"/>
        </w:rPr>
        <w:t xml:space="preserve">The Bureau rejected SBA’s argument that Section 73.1690(b)(2) </w:t>
      </w:r>
      <w:r w:rsidR="00936FDA">
        <w:rPr>
          <w:sz w:val="22"/>
          <w:szCs w:val="22"/>
        </w:rPr>
        <w:t xml:space="preserve">of the FCC’s rules (Rules) </w:t>
      </w:r>
      <w:r w:rsidR="00C816EA">
        <w:rPr>
          <w:sz w:val="22"/>
          <w:szCs w:val="22"/>
        </w:rPr>
        <w:t>allowed it a three-second “tolerance” in the location of its site, noting that the rule is a means to correct coordinates where subsequent measure</w:t>
      </w:r>
      <w:r w:rsidR="00D02B4D">
        <w:rPr>
          <w:sz w:val="22"/>
          <w:szCs w:val="22"/>
        </w:rPr>
        <w:t>ment</w:t>
      </w:r>
      <w:r w:rsidR="00C816EA">
        <w:rPr>
          <w:sz w:val="22"/>
          <w:szCs w:val="22"/>
        </w:rPr>
        <w:t>s find a small discrepancy, and in any case the facility constructed by SBA was outside the three-second tolerance.</w:t>
      </w:r>
      <w:r>
        <w:rPr>
          <w:rStyle w:val="FootnoteReference"/>
          <w:sz w:val="22"/>
          <w:szCs w:val="22"/>
        </w:rPr>
        <w:footnoteReference w:id="16"/>
      </w:r>
      <w:r w:rsidR="00C816EA">
        <w:rPr>
          <w:sz w:val="22"/>
          <w:szCs w:val="22"/>
        </w:rPr>
        <w:t xml:space="preserve">  </w:t>
      </w:r>
      <w:r w:rsidR="00856574">
        <w:rPr>
          <w:sz w:val="22"/>
          <w:szCs w:val="22"/>
        </w:rPr>
        <w:t xml:space="preserve">Further, </w:t>
      </w:r>
      <w:r w:rsidR="00175A7B">
        <w:rPr>
          <w:sz w:val="22"/>
          <w:szCs w:val="22"/>
        </w:rPr>
        <w:t xml:space="preserve">the Bureau </w:t>
      </w:r>
      <w:r w:rsidR="00856574">
        <w:rPr>
          <w:sz w:val="22"/>
          <w:szCs w:val="22"/>
        </w:rPr>
        <w:t xml:space="preserve">explained that </w:t>
      </w:r>
      <w:r w:rsidR="00936FDA">
        <w:rPr>
          <w:sz w:val="22"/>
          <w:szCs w:val="22"/>
        </w:rPr>
        <w:t xml:space="preserve">SBA’s position was not supported by “equity and fairness” because </w:t>
      </w:r>
      <w:r w:rsidR="00175A7B">
        <w:rPr>
          <w:sz w:val="22"/>
          <w:szCs w:val="22"/>
        </w:rPr>
        <w:t xml:space="preserve">SBA </w:t>
      </w:r>
      <w:r w:rsidR="00062779">
        <w:rPr>
          <w:sz w:val="22"/>
          <w:szCs w:val="22"/>
        </w:rPr>
        <w:t xml:space="preserve">knowingly </w:t>
      </w:r>
      <w:r w:rsidR="00856574">
        <w:rPr>
          <w:sz w:val="22"/>
          <w:szCs w:val="22"/>
        </w:rPr>
        <w:t>violat</w:t>
      </w:r>
      <w:r w:rsidR="00175A7B">
        <w:rPr>
          <w:sz w:val="22"/>
          <w:szCs w:val="22"/>
        </w:rPr>
        <w:t>ed</w:t>
      </w:r>
      <w:r w:rsidR="00856574">
        <w:rPr>
          <w:sz w:val="22"/>
          <w:szCs w:val="22"/>
        </w:rPr>
        <w:t xml:space="preserve"> Section 301 of the Act by operating a station </w:t>
      </w:r>
      <w:r w:rsidR="00936FDA">
        <w:rPr>
          <w:sz w:val="22"/>
          <w:szCs w:val="22"/>
        </w:rPr>
        <w:t xml:space="preserve">at a new site </w:t>
      </w:r>
      <w:r w:rsidR="00856574">
        <w:rPr>
          <w:sz w:val="22"/>
          <w:szCs w:val="22"/>
        </w:rPr>
        <w:t xml:space="preserve">without </w:t>
      </w:r>
      <w:r w:rsidR="00175A7B">
        <w:rPr>
          <w:sz w:val="22"/>
          <w:szCs w:val="22"/>
        </w:rPr>
        <w:t xml:space="preserve">Commission </w:t>
      </w:r>
      <w:r w:rsidR="00856574">
        <w:rPr>
          <w:sz w:val="22"/>
          <w:szCs w:val="22"/>
        </w:rPr>
        <w:t>approval</w:t>
      </w:r>
      <w:r w:rsidR="00642FE8">
        <w:rPr>
          <w:sz w:val="22"/>
          <w:szCs w:val="22"/>
        </w:rPr>
        <w:t>.</w:t>
      </w:r>
      <w:r>
        <w:rPr>
          <w:rStyle w:val="FootnoteReference"/>
          <w:sz w:val="22"/>
          <w:szCs w:val="22"/>
        </w:rPr>
        <w:footnoteReference w:id="17"/>
      </w:r>
      <w:r w:rsidR="00B40866">
        <w:rPr>
          <w:sz w:val="22"/>
          <w:szCs w:val="22"/>
        </w:rPr>
        <w:t xml:space="preserve"> </w:t>
      </w:r>
      <w:r w:rsidR="00642FE8">
        <w:rPr>
          <w:sz w:val="22"/>
          <w:szCs w:val="22"/>
        </w:rPr>
        <w:t xml:space="preserve"> </w:t>
      </w:r>
      <w:r w:rsidR="00936FDA">
        <w:rPr>
          <w:sz w:val="22"/>
          <w:szCs w:val="22"/>
        </w:rPr>
        <w:t>T</w:t>
      </w:r>
      <w:r w:rsidR="00175A7B">
        <w:rPr>
          <w:sz w:val="22"/>
          <w:szCs w:val="22"/>
        </w:rPr>
        <w:t>he Bureau</w:t>
      </w:r>
      <w:r w:rsidR="00936FDA">
        <w:rPr>
          <w:sz w:val="22"/>
          <w:szCs w:val="22"/>
        </w:rPr>
        <w:t xml:space="preserve"> further</w:t>
      </w:r>
      <w:r w:rsidR="00175A7B">
        <w:rPr>
          <w:sz w:val="22"/>
          <w:szCs w:val="22"/>
        </w:rPr>
        <w:t xml:space="preserve"> noted that </w:t>
      </w:r>
      <w:r w:rsidR="009D75BF">
        <w:rPr>
          <w:sz w:val="22"/>
          <w:szCs w:val="22"/>
        </w:rPr>
        <w:t>SBA</w:t>
      </w:r>
      <w:r w:rsidR="00642FE8">
        <w:rPr>
          <w:sz w:val="22"/>
          <w:szCs w:val="22"/>
        </w:rPr>
        <w:t xml:space="preserve"> </w:t>
      </w:r>
      <w:r w:rsidR="00936FDA">
        <w:rPr>
          <w:sz w:val="22"/>
          <w:szCs w:val="22"/>
        </w:rPr>
        <w:t>did not acknowledge it operated the Station from an unauthorized site until</w:t>
      </w:r>
      <w:r w:rsidR="00642FE8">
        <w:rPr>
          <w:sz w:val="22"/>
          <w:szCs w:val="22"/>
        </w:rPr>
        <w:t xml:space="preserve"> </w:t>
      </w:r>
      <w:r w:rsidR="00856574">
        <w:rPr>
          <w:sz w:val="22"/>
          <w:szCs w:val="22"/>
        </w:rPr>
        <w:t>after the Bureau</w:t>
      </w:r>
      <w:r w:rsidR="00B94270">
        <w:rPr>
          <w:sz w:val="22"/>
          <w:szCs w:val="22"/>
        </w:rPr>
        <w:t xml:space="preserve"> had </w:t>
      </w:r>
      <w:r w:rsidR="00561D4A">
        <w:rPr>
          <w:sz w:val="22"/>
          <w:szCs w:val="22"/>
        </w:rPr>
        <w:t>already</w:t>
      </w:r>
      <w:r w:rsidR="00865814">
        <w:rPr>
          <w:sz w:val="22"/>
          <w:szCs w:val="22"/>
        </w:rPr>
        <w:t xml:space="preserve"> noticed the discrepancy and </w:t>
      </w:r>
      <w:r w:rsidR="00175A7B">
        <w:rPr>
          <w:sz w:val="22"/>
          <w:szCs w:val="22"/>
        </w:rPr>
        <w:t>issued the</w:t>
      </w:r>
      <w:r w:rsidR="00856574">
        <w:rPr>
          <w:sz w:val="22"/>
          <w:szCs w:val="22"/>
        </w:rPr>
        <w:t xml:space="preserve"> </w:t>
      </w:r>
      <w:r w:rsidRPr="008A61E4" w:rsidR="00856574">
        <w:rPr>
          <w:i/>
          <w:sz w:val="22"/>
          <w:szCs w:val="22"/>
        </w:rPr>
        <w:t>LOI</w:t>
      </w:r>
      <w:r w:rsidR="00856574">
        <w:rPr>
          <w:sz w:val="22"/>
          <w:szCs w:val="22"/>
        </w:rPr>
        <w:t>.</w:t>
      </w:r>
      <w:r>
        <w:rPr>
          <w:rStyle w:val="FootnoteReference"/>
          <w:sz w:val="22"/>
          <w:szCs w:val="22"/>
        </w:rPr>
        <w:footnoteReference w:id="18"/>
      </w:r>
      <w:r w:rsidR="00177610">
        <w:rPr>
          <w:sz w:val="22"/>
          <w:szCs w:val="22"/>
        </w:rPr>
        <w:t xml:space="preserve">  Accordingly, the Bureau </w:t>
      </w:r>
      <w:r w:rsidR="00C816EA">
        <w:rPr>
          <w:sz w:val="22"/>
          <w:szCs w:val="22"/>
        </w:rPr>
        <w:t>declined</w:t>
      </w:r>
      <w:r w:rsidR="00177610">
        <w:rPr>
          <w:sz w:val="22"/>
          <w:szCs w:val="22"/>
        </w:rPr>
        <w:t xml:space="preserve"> to exercise its discretion under Section 312(g) to reinstate the Station’s license.</w:t>
      </w:r>
    </w:p>
    <w:p w:rsidR="00A71DA8" w:rsidP="00856574" w14:paraId="6AF7D589" w14:textId="77777777">
      <w:pPr>
        <w:ind w:firstLine="720"/>
        <w:rPr>
          <w:sz w:val="22"/>
          <w:szCs w:val="22"/>
        </w:rPr>
      </w:pPr>
    </w:p>
    <w:p w:rsidR="00067281" w:rsidP="00067281" w14:paraId="46246DB2" w14:textId="5CB80188">
      <w:pPr>
        <w:ind w:firstLine="720"/>
        <w:rPr>
          <w:sz w:val="22"/>
          <w:szCs w:val="22"/>
        </w:rPr>
      </w:pPr>
      <w:r>
        <w:rPr>
          <w:sz w:val="22"/>
          <w:szCs w:val="22"/>
        </w:rPr>
        <w:t xml:space="preserve">In the Petition, SBA argues that </w:t>
      </w:r>
      <w:r w:rsidR="001232EB">
        <w:rPr>
          <w:sz w:val="22"/>
          <w:szCs w:val="22"/>
        </w:rPr>
        <w:t xml:space="preserve">the Bureau </w:t>
      </w:r>
      <w:r w:rsidR="00123C44">
        <w:rPr>
          <w:sz w:val="22"/>
          <w:szCs w:val="22"/>
        </w:rPr>
        <w:t>misapplie</w:t>
      </w:r>
      <w:r w:rsidR="005B5B60">
        <w:rPr>
          <w:sz w:val="22"/>
          <w:szCs w:val="22"/>
        </w:rPr>
        <w:t>d</w:t>
      </w:r>
      <w:r w:rsidR="00123C44">
        <w:rPr>
          <w:sz w:val="22"/>
          <w:szCs w:val="22"/>
        </w:rPr>
        <w:t xml:space="preserve"> Section 312(g)</w:t>
      </w:r>
      <w:r w:rsidR="009E1811">
        <w:rPr>
          <w:sz w:val="22"/>
          <w:szCs w:val="22"/>
        </w:rPr>
        <w:t xml:space="preserve"> </w:t>
      </w:r>
      <w:r w:rsidR="00123C44">
        <w:rPr>
          <w:sz w:val="22"/>
          <w:szCs w:val="22"/>
        </w:rPr>
        <w:t xml:space="preserve">and </w:t>
      </w:r>
      <w:r w:rsidR="001232EB">
        <w:rPr>
          <w:sz w:val="22"/>
          <w:szCs w:val="22"/>
        </w:rPr>
        <w:t>misinterprets Section 73.1690(b)(2) of the</w:t>
      </w:r>
      <w:r w:rsidR="00411E4A">
        <w:rPr>
          <w:sz w:val="22"/>
          <w:szCs w:val="22"/>
        </w:rPr>
        <w:t xml:space="preserve"> </w:t>
      </w:r>
      <w:r w:rsidR="00896AB3">
        <w:rPr>
          <w:sz w:val="22"/>
          <w:szCs w:val="22"/>
        </w:rPr>
        <w:t>Rules</w:t>
      </w:r>
      <w:r w:rsidR="004B7DB5">
        <w:rPr>
          <w:sz w:val="22"/>
          <w:szCs w:val="22"/>
        </w:rPr>
        <w:t>.</w:t>
      </w:r>
      <w:r w:rsidR="00F8638E">
        <w:rPr>
          <w:sz w:val="22"/>
          <w:szCs w:val="22"/>
        </w:rPr>
        <w:t xml:space="preserve"> </w:t>
      </w:r>
      <w:r w:rsidR="00566824">
        <w:rPr>
          <w:sz w:val="22"/>
          <w:szCs w:val="22"/>
        </w:rPr>
        <w:t xml:space="preserve"> </w:t>
      </w:r>
      <w:r w:rsidR="002E5CF7">
        <w:rPr>
          <w:sz w:val="22"/>
          <w:szCs w:val="22"/>
        </w:rPr>
        <w:t>It explains</w:t>
      </w:r>
      <w:r>
        <w:rPr>
          <w:sz w:val="22"/>
          <w:szCs w:val="22"/>
        </w:rPr>
        <w:t xml:space="preserve"> that the agreement between PFI and SBA was reached because there were existing lighting poles on the Mooresville Road Site, which SBA could use in constructing its temporary station.</w:t>
      </w:r>
      <w:r>
        <w:rPr>
          <w:rStyle w:val="FootnoteReference"/>
          <w:sz w:val="22"/>
          <w:szCs w:val="22"/>
        </w:rPr>
        <w:footnoteReference w:id="19"/>
      </w:r>
      <w:r>
        <w:rPr>
          <w:sz w:val="22"/>
          <w:szCs w:val="22"/>
        </w:rPr>
        <w:t xml:space="preserve">  However,</w:t>
      </w:r>
      <w:r w:rsidR="0036072D">
        <w:rPr>
          <w:sz w:val="22"/>
          <w:szCs w:val="22"/>
        </w:rPr>
        <w:t xml:space="preserve"> </w:t>
      </w:r>
      <w:r>
        <w:rPr>
          <w:sz w:val="22"/>
          <w:szCs w:val="22"/>
        </w:rPr>
        <w:t xml:space="preserve">PFI subsequently reneged on </w:t>
      </w:r>
      <w:r w:rsidR="0036072D">
        <w:rPr>
          <w:sz w:val="22"/>
          <w:szCs w:val="22"/>
        </w:rPr>
        <w:t xml:space="preserve">the </w:t>
      </w:r>
      <w:r>
        <w:rPr>
          <w:sz w:val="22"/>
          <w:szCs w:val="22"/>
        </w:rPr>
        <w:t>agreement, as another business arrangement required immediately taking down the lighting poles</w:t>
      </w:r>
      <w:r w:rsidR="0036072D">
        <w:rPr>
          <w:sz w:val="22"/>
          <w:szCs w:val="22"/>
        </w:rPr>
        <w:t>.</w:t>
      </w:r>
      <w:r>
        <w:rPr>
          <w:rStyle w:val="FootnoteReference"/>
          <w:sz w:val="22"/>
          <w:szCs w:val="22"/>
        </w:rPr>
        <w:footnoteReference w:id="20"/>
      </w:r>
      <w:r w:rsidR="00566824">
        <w:rPr>
          <w:sz w:val="22"/>
          <w:szCs w:val="22"/>
        </w:rPr>
        <w:t xml:space="preserve"> </w:t>
      </w:r>
      <w:r w:rsidR="0036072D">
        <w:rPr>
          <w:sz w:val="22"/>
          <w:szCs w:val="22"/>
        </w:rPr>
        <w:t xml:space="preserve"> </w:t>
      </w:r>
      <w:r>
        <w:rPr>
          <w:sz w:val="22"/>
          <w:szCs w:val="22"/>
        </w:rPr>
        <w:t>SBA</w:t>
      </w:r>
      <w:r w:rsidR="0062423C">
        <w:rPr>
          <w:sz w:val="22"/>
          <w:szCs w:val="22"/>
        </w:rPr>
        <w:t xml:space="preserve"> </w:t>
      </w:r>
      <w:r w:rsidR="00B37837">
        <w:rPr>
          <w:sz w:val="22"/>
          <w:szCs w:val="22"/>
        </w:rPr>
        <w:t>emphasizes</w:t>
      </w:r>
      <w:r w:rsidR="0062423C">
        <w:rPr>
          <w:sz w:val="22"/>
          <w:szCs w:val="22"/>
        </w:rPr>
        <w:t xml:space="preserve"> that it</w:t>
      </w:r>
      <w:r>
        <w:rPr>
          <w:sz w:val="22"/>
          <w:szCs w:val="22"/>
        </w:rPr>
        <w:t xml:space="preserve"> </w:t>
      </w:r>
      <w:r w:rsidR="00041E48">
        <w:rPr>
          <w:sz w:val="22"/>
          <w:szCs w:val="22"/>
        </w:rPr>
        <w:t>could not</w:t>
      </w:r>
      <w:r>
        <w:rPr>
          <w:sz w:val="22"/>
          <w:szCs w:val="22"/>
        </w:rPr>
        <w:t xml:space="preserve"> construct its temporary station at the FCC-authorized Mooresville Road Site</w:t>
      </w:r>
      <w:r w:rsidR="00177610">
        <w:rPr>
          <w:sz w:val="22"/>
          <w:szCs w:val="22"/>
        </w:rPr>
        <w:t>, but i</w:t>
      </w:r>
      <w:r>
        <w:rPr>
          <w:sz w:val="22"/>
          <w:szCs w:val="22"/>
        </w:rPr>
        <w:t xml:space="preserve">nstead, SBA had to construct a free-standing tower at </w:t>
      </w:r>
      <w:r w:rsidR="009E1811">
        <w:rPr>
          <w:sz w:val="22"/>
          <w:szCs w:val="22"/>
        </w:rPr>
        <w:t xml:space="preserve">a </w:t>
      </w:r>
      <w:r>
        <w:rPr>
          <w:sz w:val="22"/>
          <w:szCs w:val="22"/>
        </w:rPr>
        <w:t xml:space="preserve">different </w:t>
      </w:r>
      <w:r w:rsidR="009E1811">
        <w:rPr>
          <w:sz w:val="22"/>
          <w:szCs w:val="22"/>
        </w:rPr>
        <w:t xml:space="preserve">location </w:t>
      </w:r>
      <w:r>
        <w:rPr>
          <w:sz w:val="22"/>
          <w:szCs w:val="22"/>
        </w:rPr>
        <w:t>on PFI’s property.</w:t>
      </w:r>
      <w:r w:rsidRPr="00177610" w:rsidR="00177610">
        <w:rPr>
          <w:rStyle w:val="FootnoteReference"/>
          <w:sz w:val="22"/>
          <w:szCs w:val="22"/>
        </w:rPr>
        <w:t xml:space="preserve"> </w:t>
      </w:r>
      <w:r>
        <w:rPr>
          <w:rStyle w:val="FootnoteReference"/>
          <w:sz w:val="22"/>
          <w:szCs w:val="22"/>
        </w:rPr>
        <w:footnoteReference w:id="21"/>
      </w:r>
      <w:r w:rsidR="00566824">
        <w:rPr>
          <w:sz w:val="22"/>
          <w:szCs w:val="22"/>
        </w:rPr>
        <w:t xml:space="preserve"> </w:t>
      </w:r>
      <w:r>
        <w:rPr>
          <w:sz w:val="22"/>
          <w:szCs w:val="22"/>
        </w:rPr>
        <w:t xml:space="preserve"> SBA </w:t>
      </w:r>
      <w:r w:rsidR="005B5B60">
        <w:rPr>
          <w:sz w:val="22"/>
          <w:szCs w:val="22"/>
        </w:rPr>
        <w:t xml:space="preserve">further </w:t>
      </w:r>
      <w:r>
        <w:rPr>
          <w:sz w:val="22"/>
          <w:szCs w:val="22"/>
        </w:rPr>
        <w:t>states that “[t]he tower was completed on June 29, 2018, and, shortly prior to 2 p.m. on that date, Station W243AP resumed broadcast operations.”</w:t>
      </w:r>
      <w:r>
        <w:rPr>
          <w:rStyle w:val="FootnoteReference"/>
          <w:sz w:val="22"/>
          <w:szCs w:val="22"/>
        </w:rPr>
        <w:footnoteReference w:id="22"/>
      </w:r>
      <w:r>
        <w:rPr>
          <w:sz w:val="22"/>
          <w:szCs w:val="22"/>
        </w:rPr>
        <w:t xml:space="preserve">  But in constructing the temporary tower, two SBA </w:t>
      </w:r>
      <w:r w:rsidR="009E1811">
        <w:rPr>
          <w:sz w:val="22"/>
          <w:szCs w:val="22"/>
        </w:rPr>
        <w:t xml:space="preserve">representatives </w:t>
      </w:r>
      <w:r>
        <w:rPr>
          <w:sz w:val="22"/>
          <w:szCs w:val="22"/>
        </w:rPr>
        <w:t xml:space="preserve">miscommunicated and </w:t>
      </w:r>
      <w:r w:rsidR="009E1811">
        <w:rPr>
          <w:sz w:val="22"/>
          <w:szCs w:val="22"/>
        </w:rPr>
        <w:t xml:space="preserve"> </w:t>
      </w:r>
      <w:r>
        <w:rPr>
          <w:sz w:val="22"/>
          <w:szCs w:val="22"/>
        </w:rPr>
        <w:t xml:space="preserve">the tower </w:t>
      </w:r>
      <w:r w:rsidR="009E1811">
        <w:rPr>
          <w:sz w:val="22"/>
          <w:szCs w:val="22"/>
        </w:rPr>
        <w:t xml:space="preserve">was placed </w:t>
      </w:r>
      <w:r>
        <w:rPr>
          <w:sz w:val="22"/>
          <w:szCs w:val="22"/>
        </w:rPr>
        <w:t>138 feet beyond the 3-second</w:t>
      </w:r>
      <w:r w:rsidR="004965EC">
        <w:rPr>
          <w:sz w:val="22"/>
          <w:szCs w:val="22"/>
        </w:rPr>
        <w:t xml:space="preserve"> latitude/longitude</w:t>
      </w:r>
      <w:r>
        <w:rPr>
          <w:sz w:val="22"/>
          <w:szCs w:val="22"/>
        </w:rPr>
        <w:t xml:space="preserve"> measurement error </w:t>
      </w:r>
      <w:r w:rsidR="009242BA">
        <w:rPr>
          <w:sz w:val="22"/>
          <w:szCs w:val="22"/>
        </w:rPr>
        <w:t>allowed under</w:t>
      </w:r>
      <w:r>
        <w:rPr>
          <w:sz w:val="22"/>
          <w:szCs w:val="22"/>
        </w:rPr>
        <w:t xml:space="preserve"> Section 73.1690(b)(2) of the Rules.</w:t>
      </w:r>
      <w:r>
        <w:rPr>
          <w:rStyle w:val="FootnoteReference"/>
          <w:sz w:val="22"/>
          <w:szCs w:val="22"/>
        </w:rPr>
        <w:footnoteReference w:id="23"/>
      </w:r>
      <w:r>
        <w:rPr>
          <w:sz w:val="22"/>
          <w:szCs w:val="22"/>
        </w:rPr>
        <w:t xml:space="preserve">  </w:t>
      </w:r>
      <w:r w:rsidR="0036072D">
        <w:rPr>
          <w:sz w:val="22"/>
          <w:szCs w:val="22"/>
        </w:rPr>
        <w:t>Yet</w:t>
      </w:r>
      <w:r>
        <w:rPr>
          <w:sz w:val="22"/>
          <w:szCs w:val="22"/>
        </w:rPr>
        <w:t xml:space="preserve"> even though SBA principal Lee Reynolds was aware of the dis</w:t>
      </w:r>
      <w:r w:rsidR="00FB0AE1">
        <w:rPr>
          <w:sz w:val="22"/>
          <w:szCs w:val="22"/>
        </w:rPr>
        <w:t>crepancy</w:t>
      </w:r>
      <w:r>
        <w:rPr>
          <w:sz w:val="22"/>
          <w:szCs w:val="22"/>
        </w:rPr>
        <w:t xml:space="preserve"> between the Station’s location and the FCC-approved coordinates “[i]mmediately after the Station resumed operations,”</w:t>
      </w:r>
      <w:r>
        <w:rPr>
          <w:rStyle w:val="FootnoteReference"/>
          <w:sz w:val="22"/>
          <w:szCs w:val="22"/>
        </w:rPr>
        <w:footnoteReference w:id="24"/>
      </w:r>
      <w:r>
        <w:rPr>
          <w:sz w:val="22"/>
          <w:szCs w:val="22"/>
        </w:rPr>
        <w:t xml:space="preserve"> he did not file an updated STA request with the correct coordinates until July 2, 2018—after the Station’s resumption deadline had passed.</w:t>
      </w:r>
      <w:r>
        <w:rPr>
          <w:rStyle w:val="FootnoteReference"/>
          <w:sz w:val="22"/>
          <w:szCs w:val="22"/>
        </w:rPr>
        <w:footnoteReference w:id="25"/>
      </w:r>
      <w:r w:rsidR="00566824">
        <w:rPr>
          <w:sz w:val="22"/>
          <w:szCs w:val="22"/>
        </w:rPr>
        <w:t xml:space="preserve">  </w:t>
      </w:r>
    </w:p>
    <w:p w:rsidR="00067281" w:rsidP="00763313" w14:paraId="1EF9DA7B" w14:textId="77777777">
      <w:pPr>
        <w:ind w:firstLine="720"/>
        <w:rPr>
          <w:sz w:val="22"/>
          <w:szCs w:val="22"/>
        </w:rPr>
      </w:pPr>
    </w:p>
    <w:p w:rsidR="005F3365" w:rsidP="00763313" w14:paraId="4984C633" w14:textId="03449219">
      <w:pPr>
        <w:ind w:firstLine="720"/>
        <w:rPr>
          <w:sz w:val="22"/>
          <w:szCs w:val="22"/>
        </w:rPr>
      </w:pPr>
      <w:r>
        <w:rPr>
          <w:sz w:val="22"/>
          <w:szCs w:val="22"/>
        </w:rPr>
        <w:t>SBA</w:t>
      </w:r>
      <w:r w:rsidR="00CF349B">
        <w:rPr>
          <w:sz w:val="22"/>
          <w:szCs w:val="22"/>
        </w:rPr>
        <w:t xml:space="preserve"> further</w:t>
      </w:r>
      <w:r>
        <w:rPr>
          <w:sz w:val="22"/>
          <w:szCs w:val="22"/>
        </w:rPr>
        <w:t xml:space="preserve"> argues t</w:t>
      </w:r>
      <w:r w:rsidR="005F1756">
        <w:rPr>
          <w:sz w:val="22"/>
          <w:szCs w:val="22"/>
        </w:rPr>
        <w:t xml:space="preserve">hat even though </w:t>
      </w:r>
      <w:r>
        <w:rPr>
          <w:sz w:val="22"/>
          <w:szCs w:val="22"/>
        </w:rPr>
        <w:t>it</w:t>
      </w:r>
      <w:r w:rsidR="005F1756">
        <w:rPr>
          <w:sz w:val="22"/>
          <w:szCs w:val="22"/>
        </w:rPr>
        <w:t xml:space="preserve"> constructed </w:t>
      </w:r>
      <w:r>
        <w:rPr>
          <w:sz w:val="22"/>
          <w:szCs w:val="22"/>
        </w:rPr>
        <w:t>its</w:t>
      </w:r>
      <w:r w:rsidR="005F1756">
        <w:rPr>
          <w:sz w:val="22"/>
          <w:szCs w:val="22"/>
        </w:rPr>
        <w:t xml:space="preserve"> facility 138 feet outside the bounds of Section 73.1690(b)(2), the Bureau should exercise its equitable authority under Section 312(g) of the Act</w:t>
      </w:r>
      <w:r w:rsidR="007D6141">
        <w:rPr>
          <w:sz w:val="22"/>
          <w:szCs w:val="22"/>
        </w:rPr>
        <w:t>—</w:t>
      </w:r>
      <w:r w:rsidR="005F1756">
        <w:rPr>
          <w:sz w:val="22"/>
          <w:szCs w:val="22"/>
        </w:rPr>
        <w:t>allow</w:t>
      </w:r>
      <w:r w:rsidR="007D6141">
        <w:rPr>
          <w:sz w:val="22"/>
          <w:szCs w:val="22"/>
        </w:rPr>
        <w:t>ing</w:t>
      </w:r>
      <w:r w:rsidR="005F1756">
        <w:rPr>
          <w:sz w:val="22"/>
          <w:szCs w:val="22"/>
        </w:rPr>
        <w:t xml:space="preserve"> SBA</w:t>
      </w:r>
      <w:r>
        <w:rPr>
          <w:sz w:val="22"/>
          <w:szCs w:val="22"/>
        </w:rPr>
        <w:t xml:space="preserve"> to count its unauthorized</w:t>
      </w:r>
      <w:r w:rsidR="007D6141">
        <w:rPr>
          <w:sz w:val="22"/>
          <w:szCs w:val="22"/>
        </w:rPr>
        <w:t xml:space="preserve"> June 28 to July 3, 2018</w:t>
      </w:r>
      <w:r>
        <w:rPr>
          <w:sz w:val="22"/>
          <w:szCs w:val="22"/>
        </w:rPr>
        <w:t xml:space="preserve"> transmission</w:t>
      </w:r>
      <w:r w:rsidR="005F1756">
        <w:rPr>
          <w:sz w:val="22"/>
          <w:szCs w:val="22"/>
        </w:rPr>
        <w:t xml:space="preserve"> </w:t>
      </w:r>
      <w:r w:rsidR="007D6141">
        <w:rPr>
          <w:sz w:val="22"/>
          <w:szCs w:val="22"/>
        </w:rPr>
        <w:t>and</w:t>
      </w:r>
      <w:r w:rsidR="005F1756">
        <w:rPr>
          <w:sz w:val="22"/>
          <w:szCs w:val="22"/>
        </w:rPr>
        <w:t xml:space="preserve"> re</w:t>
      </w:r>
      <w:r w:rsidR="008A61E4">
        <w:rPr>
          <w:sz w:val="22"/>
          <w:szCs w:val="22"/>
        </w:rPr>
        <w:t>t</w:t>
      </w:r>
      <w:r w:rsidR="005F1756">
        <w:rPr>
          <w:sz w:val="22"/>
          <w:szCs w:val="22"/>
        </w:rPr>
        <w:t>ain its license.</w:t>
      </w:r>
      <w:r>
        <w:rPr>
          <w:rStyle w:val="FootnoteReference"/>
          <w:sz w:val="22"/>
          <w:szCs w:val="22"/>
        </w:rPr>
        <w:footnoteReference w:id="26"/>
      </w:r>
      <w:r w:rsidR="005F1756">
        <w:rPr>
          <w:sz w:val="22"/>
          <w:szCs w:val="22"/>
        </w:rPr>
        <w:t xml:space="preserve"> </w:t>
      </w:r>
      <w:r w:rsidR="00566824">
        <w:rPr>
          <w:sz w:val="22"/>
          <w:szCs w:val="22"/>
        </w:rPr>
        <w:t xml:space="preserve"> </w:t>
      </w:r>
      <w:r w:rsidR="00616C40">
        <w:rPr>
          <w:sz w:val="22"/>
          <w:szCs w:val="22"/>
        </w:rPr>
        <w:t>SBA</w:t>
      </w:r>
      <w:r w:rsidR="005F1756">
        <w:rPr>
          <w:sz w:val="22"/>
          <w:szCs w:val="22"/>
        </w:rPr>
        <w:t xml:space="preserve"> bases its argument first on the idea that “[e]very station filing a License Application to correct coordinates is acknowledging that it has operated with facilities which are at variance with those in its license.”</w:t>
      </w:r>
      <w:r>
        <w:rPr>
          <w:rStyle w:val="FootnoteReference"/>
          <w:sz w:val="22"/>
          <w:szCs w:val="22"/>
        </w:rPr>
        <w:footnoteReference w:id="27"/>
      </w:r>
      <w:r w:rsidR="00566824">
        <w:rPr>
          <w:sz w:val="22"/>
          <w:szCs w:val="22"/>
        </w:rPr>
        <w:t xml:space="preserve"> </w:t>
      </w:r>
      <w:r w:rsidR="00154FD3">
        <w:rPr>
          <w:sz w:val="22"/>
          <w:szCs w:val="22"/>
        </w:rPr>
        <w:t xml:space="preserve"> </w:t>
      </w:r>
      <w:r w:rsidR="00763313">
        <w:rPr>
          <w:sz w:val="22"/>
          <w:szCs w:val="22"/>
        </w:rPr>
        <w:t>SBA argues that b</w:t>
      </w:r>
      <w:r w:rsidR="00154FD3">
        <w:rPr>
          <w:sz w:val="22"/>
          <w:szCs w:val="22"/>
        </w:rPr>
        <w:t xml:space="preserve">ecause </w:t>
      </w:r>
      <w:r w:rsidR="00763313">
        <w:rPr>
          <w:sz w:val="22"/>
          <w:szCs w:val="22"/>
        </w:rPr>
        <w:t>it</w:t>
      </w:r>
      <w:r w:rsidR="00276BFC">
        <w:rPr>
          <w:sz w:val="22"/>
          <w:szCs w:val="22"/>
        </w:rPr>
        <w:t xml:space="preserve"> </w:t>
      </w:r>
      <w:r w:rsidR="0032033D">
        <w:rPr>
          <w:sz w:val="22"/>
          <w:szCs w:val="22"/>
        </w:rPr>
        <w:t>did not</w:t>
      </w:r>
      <w:r w:rsidR="00276BFC">
        <w:rPr>
          <w:sz w:val="22"/>
          <w:szCs w:val="22"/>
        </w:rPr>
        <w:t xml:space="preserve"> transmit</w:t>
      </w:r>
      <w:r w:rsidR="0032033D">
        <w:rPr>
          <w:sz w:val="22"/>
          <w:szCs w:val="22"/>
        </w:rPr>
        <w:t xml:space="preserve"> with unauthorized facilities—merely </w:t>
      </w:r>
      <w:r w:rsidR="00276BFC">
        <w:rPr>
          <w:sz w:val="22"/>
          <w:szCs w:val="22"/>
        </w:rPr>
        <w:t xml:space="preserve">from </w:t>
      </w:r>
      <w:r w:rsidR="00763313">
        <w:rPr>
          <w:sz w:val="22"/>
          <w:szCs w:val="22"/>
        </w:rPr>
        <w:t xml:space="preserve">an unauthorized </w:t>
      </w:r>
      <w:r w:rsidR="00154FD3">
        <w:rPr>
          <w:sz w:val="22"/>
          <w:szCs w:val="22"/>
        </w:rPr>
        <w:t>location</w:t>
      </w:r>
      <w:r w:rsidR="0032033D">
        <w:rPr>
          <w:sz w:val="22"/>
          <w:szCs w:val="22"/>
        </w:rPr>
        <w:t>—</w:t>
      </w:r>
      <w:r w:rsidR="00276BFC">
        <w:rPr>
          <w:sz w:val="22"/>
          <w:szCs w:val="22"/>
        </w:rPr>
        <w:t xml:space="preserve">this is not </w:t>
      </w:r>
      <w:r w:rsidR="0032033D">
        <w:rPr>
          <w:sz w:val="22"/>
          <w:szCs w:val="22"/>
        </w:rPr>
        <w:t xml:space="preserve">sufficiently </w:t>
      </w:r>
      <w:r w:rsidR="00276BFC">
        <w:rPr>
          <w:sz w:val="22"/>
          <w:szCs w:val="22"/>
        </w:rPr>
        <w:t xml:space="preserve">“outrageous” conduct </w:t>
      </w:r>
      <w:r w:rsidR="0032033D">
        <w:rPr>
          <w:sz w:val="22"/>
          <w:szCs w:val="22"/>
        </w:rPr>
        <w:t xml:space="preserve">that would </w:t>
      </w:r>
      <w:r w:rsidR="00276BFC">
        <w:rPr>
          <w:sz w:val="22"/>
          <w:szCs w:val="22"/>
        </w:rPr>
        <w:t xml:space="preserve">justify </w:t>
      </w:r>
      <w:r w:rsidR="008A61E4">
        <w:rPr>
          <w:sz w:val="22"/>
          <w:szCs w:val="22"/>
        </w:rPr>
        <w:t>rejecting relief on the basis of equity and fairness</w:t>
      </w:r>
      <w:r w:rsidR="00276BFC">
        <w:rPr>
          <w:sz w:val="22"/>
          <w:szCs w:val="22"/>
        </w:rPr>
        <w:t>.</w:t>
      </w:r>
      <w:r>
        <w:rPr>
          <w:rStyle w:val="FootnoteReference"/>
          <w:sz w:val="22"/>
          <w:szCs w:val="22"/>
        </w:rPr>
        <w:footnoteReference w:id="28"/>
      </w:r>
      <w:r w:rsidR="00763313">
        <w:rPr>
          <w:sz w:val="22"/>
          <w:szCs w:val="22"/>
        </w:rPr>
        <w:t xml:space="preserve"> </w:t>
      </w:r>
      <w:r w:rsidR="00566824">
        <w:rPr>
          <w:sz w:val="22"/>
          <w:szCs w:val="22"/>
        </w:rPr>
        <w:t xml:space="preserve"> </w:t>
      </w:r>
      <w:r w:rsidR="008A61E4">
        <w:rPr>
          <w:sz w:val="22"/>
          <w:szCs w:val="22"/>
        </w:rPr>
        <w:t>SBA</w:t>
      </w:r>
      <w:r w:rsidR="00763313">
        <w:rPr>
          <w:sz w:val="22"/>
          <w:szCs w:val="22"/>
        </w:rPr>
        <w:t xml:space="preserve"> also asserts that </w:t>
      </w:r>
      <w:r w:rsidR="005A3031">
        <w:rPr>
          <w:sz w:val="22"/>
          <w:szCs w:val="22"/>
        </w:rPr>
        <w:t xml:space="preserve">Lee Reynolds did not hide unauthorized operations, because the only unauthorized </w:t>
      </w:r>
      <w:r w:rsidR="00763313">
        <w:rPr>
          <w:sz w:val="22"/>
          <w:szCs w:val="22"/>
        </w:rPr>
        <w:t xml:space="preserve">aspect of the transmission </w:t>
      </w:r>
      <w:r w:rsidR="005A3031">
        <w:rPr>
          <w:sz w:val="22"/>
          <w:szCs w:val="22"/>
        </w:rPr>
        <w:t>was the</w:t>
      </w:r>
      <w:r w:rsidR="003059DF">
        <w:rPr>
          <w:sz w:val="22"/>
          <w:szCs w:val="22"/>
        </w:rPr>
        <w:t xml:space="preserve"> </w:t>
      </w:r>
      <w:r w:rsidR="00C57F92">
        <w:rPr>
          <w:sz w:val="22"/>
          <w:szCs w:val="22"/>
        </w:rPr>
        <w:t xml:space="preserve">Station’s </w:t>
      </w:r>
      <w:r w:rsidR="00590FC9">
        <w:rPr>
          <w:sz w:val="22"/>
          <w:szCs w:val="22"/>
        </w:rPr>
        <w:t>location</w:t>
      </w:r>
      <w:r w:rsidR="00D31996">
        <w:rPr>
          <w:sz w:val="22"/>
          <w:szCs w:val="22"/>
        </w:rPr>
        <w:t>, which he applied to change three days later</w:t>
      </w:r>
      <w:r w:rsidR="005A3031">
        <w:rPr>
          <w:sz w:val="22"/>
          <w:szCs w:val="22"/>
        </w:rPr>
        <w:t>.</w:t>
      </w:r>
      <w:r>
        <w:rPr>
          <w:rStyle w:val="FootnoteReference"/>
          <w:sz w:val="22"/>
          <w:szCs w:val="22"/>
        </w:rPr>
        <w:footnoteReference w:id="29"/>
      </w:r>
      <w:r w:rsidR="005A3031">
        <w:rPr>
          <w:sz w:val="22"/>
          <w:szCs w:val="22"/>
        </w:rPr>
        <w:t xml:space="preserve"> </w:t>
      </w:r>
      <w:r w:rsidR="00566824">
        <w:rPr>
          <w:sz w:val="22"/>
          <w:szCs w:val="22"/>
        </w:rPr>
        <w:t xml:space="preserve"> </w:t>
      </w:r>
      <w:r w:rsidR="00BA19D5">
        <w:rPr>
          <w:sz w:val="22"/>
          <w:szCs w:val="22"/>
        </w:rPr>
        <w:t>Next</w:t>
      </w:r>
      <w:r w:rsidR="00276BFC">
        <w:rPr>
          <w:sz w:val="22"/>
          <w:szCs w:val="22"/>
        </w:rPr>
        <w:t xml:space="preserve">, </w:t>
      </w:r>
      <w:r w:rsidR="005A3031">
        <w:rPr>
          <w:sz w:val="22"/>
          <w:szCs w:val="22"/>
        </w:rPr>
        <w:t>SBA</w:t>
      </w:r>
      <w:r w:rsidR="00276BFC">
        <w:rPr>
          <w:sz w:val="22"/>
          <w:szCs w:val="22"/>
        </w:rPr>
        <w:t xml:space="preserve"> </w:t>
      </w:r>
      <w:r w:rsidR="00FF5E3F">
        <w:rPr>
          <w:sz w:val="22"/>
          <w:szCs w:val="22"/>
        </w:rPr>
        <w:t>cites</w:t>
      </w:r>
      <w:r w:rsidR="009431AB">
        <w:rPr>
          <w:sz w:val="22"/>
          <w:szCs w:val="22"/>
        </w:rPr>
        <w:t xml:space="preserve"> the opinions of the communications engineers it had talked with</w:t>
      </w:r>
      <w:r w:rsidR="00FF5E3F">
        <w:rPr>
          <w:sz w:val="22"/>
          <w:szCs w:val="22"/>
        </w:rPr>
        <w:t>, claiming their understanding of</w:t>
      </w:r>
      <w:r w:rsidR="009431AB">
        <w:rPr>
          <w:sz w:val="22"/>
          <w:szCs w:val="22"/>
        </w:rPr>
        <w:t xml:space="preserve"> </w:t>
      </w:r>
      <w:r w:rsidR="00276BFC">
        <w:rPr>
          <w:sz w:val="22"/>
          <w:szCs w:val="22"/>
        </w:rPr>
        <w:t xml:space="preserve">the </w:t>
      </w:r>
      <w:r w:rsidR="008A61E4">
        <w:rPr>
          <w:sz w:val="22"/>
          <w:szCs w:val="22"/>
        </w:rPr>
        <w:t>three</w:t>
      </w:r>
      <w:r w:rsidR="00276BFC">
        <w:rPr>
          <w:sz w:val="22"/>
          <w:szCs w:val="22"/>
        </w:rPr>
        <w:t xml:space="preserve">-second limit to Section 73.1690(b)(2) </w:t>
      </w:r>
      <w:r w:rsidR="00FF5E3F">
        <w:rPr>
          <w:sz w:val="22"/>
          <w:szCs w:val="22"/>
        </w:rPr>
        <w:t>to</w:t>
      </w:r>
      <w:r w:rsidR="005A3031">
        <w:rPr>
          <w:sz w:val="22"/>
          <w:szCs w:val="22"/>
        </w:rPr>
        <w:t xml:space="preserve"> not require </w:t>
      </w:r>
      <w:r w:rsidR="005A3031">
        <w:rPr>
          <w:sz w:val="22"/>
          <w:szCs w:val="22"/>
        </w:rPr>
        <w:t xml:space="preserve">that </w:t>
      </w:r>
      <w:r w:rsidR="00FF5E3F">
        <w:rPr>
          <w:sz w:val="22"/>
          <w:szCs w:val="22"/>
        </w:rPr>
        <w:t>a</w:t>
      </w:r>
      <w:r w:rsidR="005A3031">
        <w:rPr>
          <w:sz w:val="22"/>
          <w:szCs w:val="22"/>
        </w:rPr>
        <w:t xml:space="preserve"> location </w:t>
      </w:r>
      <w:r w:rsidR="005D7FEB">
        <w:rPr>
          <w:sz w:val="22"/>
          <w:szCs w:val="22"/>
        </w:rPr>
        <w:t>discrepancy</w:t>
      </w:r>
      <w:r w:rsidR="005A3031">
        <w:rPr>
          <w:sz w:val="22"/>
          <w:szCs w:val="22"/>
        </w:rPr>
        <w:t xml:space="preserve"> be unintentional.</w:t>
      </w:r>
      <w:r w:rsidR="00566824">
        <w:rPr>
          <w:sz w:val="22"/>
          <w:szCs w:val="22"/>
        </w:rPr>
        <w:t xml:space="preserve"> </w:t>
      </w:r>
      <w:r w:rsidR="005A3031">
        <w:rPr>
          <w:sz w:val="22"/>
          <w:szCs w:val="22"/>
        </w:rPr>
        <w:t xml:space="preserve"> </w:t>
      </w:r>
      <w:r w:rsidR="00471C78">
        <w:rPr>
          <w:sz w:val="22"/>
          <w:szCs w:val="22"/>
        </w:rPr>
        <w:t xml:space="preserve">In addition, because the error </w:t>
      </w:r>
      <w:r w:rsidR="005D7FEB">
        <w:rPr>
          <w:sz w:val="22"/>
          <w:szCs w:val="22"/>
        </w:rPr>
        <w:t>put the tower</w:t>
      </w:r>
      <w:r w:rsidR="00471C78">
        <w:rPr>
          <w:sz w:val="22"/>
          <w:szCs w:val="22"/>
        </w:rPr>
        <w:t xml:space="preserve"> 138 feet</w:t>
      </w:r>
      <w:r w:rsidR="00896AB3">
        <w:rPr>
          <w:sz w:val="22"/>
          <w:szCs w:val="22"/>
        </w:rPr>
        <w:t xml:space="preserve"> outside</w:t>
      </w:r>
      <w:r w:rsidR="00A01858">
        <w:rPr>
          <w:sz w:val="22"/>
          <w:szCs w:val="22"/>
        </w:rPr>
        <w:t xml:space="preserve"> the range</w:t>
      </w:r>
      <w:r w:rsidR="00896AB3">
        <w:rPr>
          <w:sz w:val="22"/>
          <w:szCs w:val="22"/>
        </w:rPr>
        <w:t xml:space="preserve"> </w:t>
      </w:r>
      <w:r w:rsidR="00CF349B">
        <w:rPr>
          <w:sz w:val="22"/>
          <w:szCs w:val="22"/>
        </w:rPr>
        <w:t xml:space="preserve">permitted by </w:t>
      </w:r>
      <w:r w:rsidR="00896AB3">
        <w:rPr>
          <w:sz w:val="22"/>
          <w:szCs w:val="22"/>
        </w:rPr>
        <w:t>Section 73.1690(b)(2)</w:t>
      </w:r>
      <w:r w:rsidR="00471C78">
        <w:rPr>
          <w:sz w:val="22"/>
          <w:szCs w:val="22"/>
        </w:rPr>
        <w:t xml:space="preserve">, SBA argues the discrepancy to be </w:t>
      </w:r>
      <w:r w:rsidRPr="00471C78" w:rsidR="00471C78">
        <w:rPr>
          <w:i/>
          <w:sz w:val="22"/>
          <w:szCs w:val="22"/>
        </w:rPr>
        <w:t>de minimis</w:t>
      </w:r>
      <w:r w:rsidR="004B22AC">
        <w:rPr>
          <w:sz w:val="22"/>
          <w:szCs w:val="22"/>
        </w:rPr>
        <w:t xml:space="preserve"> and worthy of equity, in light of the facts of this case.</w:t>
      </w:r>
      <w:r>
        <w:rPr>
          <w:rStyle w:val="FootnoteReference"/>
          <w:sz w:val="22"/>
          <w:szCs w:val="22"/>
        </w:rPr>
        <w:footnoteReference w:id="30"/>
      </w:r>
      <w:r w:rsidR="00566824">
        <w:rPr>
          <w:sz w:val="22"/>
          <w:szCs w:val="22"/>
        </w:rPr>
        <w:t xml:space="preserve"> </w:t>
      </w:r>
    </w:p>
    <w:p w:rsidR="00EB47B1" w:rsidP="00067281" w14:paraId="048250FB" w14:textId="77777777">
      <w:pPr>
        <w:rPr>
          <w:b/>
          <w:sz w:val="22"/>
          <w:szCs w:val="22"/>
        </w:rPr>
      </w:pPr>
    </w:p>
    <w:p w:rsidR="006A4932" w:rsidRPr="006A4932" w:rsidP="006A4932" w14:paraId="16696349" w14:textId="5C73F5EA">
      <w:pPr>
        <w:ind w:firstLine="720"/>
        <w:rPr>
          <w:rFonts w:eastAsiaTheme="minorHAnsi"/>
          <w:szCs w:val="24"/>
        </w:rPr>
      </w:pPr>
      <w:r w:rsidRPr="007538AA">
        <w:rPr>
          <w:b/>
          <w:sz w:val="22"/>
          <w:szCs w:val="22"/>
        </w:rPr>
        <w:t>Discussion</w:t>
      </w:r>
      <w:r w:rsidRPr="007538AA" w:rsidR="00994358">
        <w:rPr>
          <w:b/>
          <w:sz w:val="22"/>
          <w:szCs w:val="22"/>
        </w:rPr>
        <w:t xml:space="preserve">.  </w:t>
      </w:r>
      <w:r>
        <w:rPr>
          <w:color w:val="000000"/>
          <w:sz w:val="22"/>
          <w:szCs w:val="22"/>
        </w:rPr>
        <w:t xml:space="preserve">The </w:t>
      </w:r>
      <w:r w:rsidR="001F4DA6">
        <w:rPr>
          <w:color w:val="000000"/>
          <w:sz w:val="22"/>
          <w:szCs w:val="22"/>
        </w:rPr>
        <w:t>Bureau</w:t>
      </w:r>
      <w:r>
        <w:rPr>
          <w:color w:val="000000"/>
          <w:sz w:val="22"/>
          <w:szCs w:val="22"/>
        </w:rPr>
        <w:t xml:space="preserve"> will consider a </w:t>
      </w:r>
      <w:bookmarkStart w:id="4" w:name="SR;772"/>
      <w:bookmarkStart w:id="5" w:name="SearchTerm"/>
      <w:bookmarkEnd w:id="4"/>
      <w:r>
        <w:rPr>
          <w:color w:val="000000"/>
          <w:sz w:val="22"/>
          <w:szCs w:val="22"/>
        </w:rPr>
        <w:t>petition for reconsideration</w:t>
      </w:r>
      <w:bookmarkStart w:id="6" w:name="SR;774"/>
      <w:bookmarkEnd w:id="5"/>
      <w:bookmarkEnd w:id="6"/>
      <w:r>
        <w:rPr>
          <w:color w:val="000000"/>
          <w:sz w:val="22"/>
          <w:szCs w:val="22"/>
        </w:rPr>
        <w:t xml:space="preserve"> only when the petitioner shows either a material error in the original order or raises additional facts not known or existing at the time of the petitioner's last opportunity to present such matters.</w:t>
      </w:r>
      <w:bookmarkStart w:id="7" w:name="FN[FN11]"/>
      <w:bookmarkEnd w:id="7"/>
      <w:r>
        <w:rPr>
          <w:color w:val="000000"/>
          <w:sz w:val="22"/>
          <w:szCs w:val="22"/>
          <w:vertAlign w:val="superscript"/>
        </w:rPr>
        <w:footnoteReference w:id="31"/>
      </w:r>
      <w:r>
        <w:rPr>
          <w:color w:val="000000"/>
          <w:sz w:val="22"/>
          <w:szCs w:val="22"/>
        </w:rPr>
        <w:t xml:space="preserve"> </w:t>
      </w:r>
      <w:r w:rsidR="00220165">
        <w:rPr>
          <w:color w:val="000000"/>
          <w:sz w:val="22"/>
          <w:szCs w:val="22"/>
        </w:rPr>
        <w:t xml:space="preserve"> </w:t>
      </w:r>
      <w:r>
        <w:rPr>
          <w:color w:val="000000"/>
          <w:sz w:val="22"/>
          <w:szCs w:val="22"/>
        </w:rPr>
        <w:t xml:space="preserve">Here, </w:t>
      </w:r>
      <w:r w:rsidR="004D19F1">
        <w:rPr>
          <w:sz w:val="22"/>
          <w:szCs w:val="22"/>
        </w:rPr>
        <w:t>SBA</w:t>
      </w:r>
      <w:r w:rsidR="00B10BCB">
        <w:rPr>
          <w:color w:val="000000"/>
          <w:sz w:val="22"/>
          <w:szCs w:val="22"/>
        </w:rPr>
        <w:t xml:space="preserve"> </w:t>
      </w:r>
      <w:r>
        <w:rPr>
          <w:color w:val="000000"/>
          <w:sz w:val="22"/>
          <w:szCs w:val="22"/>
        </w:rPr>
        <w:t xml:space="preserve">has </w:t>
      </w:r>
      <w:r w:rsidR="001D2EB7">
        <w:rPr>
          <w:color w:val="000000"/>
          <w:sz w:val="22"/>
          <w:szCs w:val="22"/>
        </w:rPr>
        <w:t>neither</w:t>
      </w:r>
      <w:r w:rsidR="00673E6A">
        <w:rPr>
          <w:color w:val="000000"/>
          <w:sz w:val="22"/>
          <w:szCs w:val="22"/>
        </w:rPr>
        <w:t xml:space="preserve"> </w:t>
      </w:r>
      <w:r>
        <w:rPr>
          <w:color w:val="000000"/>
          <w:sz w:val="22"/>
          <w:szCs w:val="22"/>
        </w:rPr>
        <w:t>demonstrate</w:t>
      </w:r>
      <w:r w:rsidR="004821F2">
        <w:rPr>
          <w:color w:val="000000"/>
          <w:sz w:val="22"/>
          <w:szCs w:val="22"/>
        </w:rPr>
        <w:t>d</w:t>
      </w:r>
      <w:r>
        <w:rPr>
          <w:color w:val="000000"/>
          <w:sz w:val="22"/>
          <w:szCs w:val="22"/>
        </w:rPr>
        <w:t xml:space="preserve"> that the</w:t>
      </w:r>
      <w:r w:rsidR="00A207F1">
        <w:rPr>
          <w:color w:val="000000"/>
          <w:sz w:val="22"/>
          <w:szCs w:val="22"/>
        </w:rPr>
        <w:t xml:space="preserve"> </w:t>
      </w:r>
      <w:r w:rsidR="00EC29CA">
        <w:rPr>
          <w:i/>
          <w:color w:val="000000"/>
          <w:sz w:val="22"/>
          <w:szCs w:val="22"/>
        </w:rPr>
        <w:t>Letter Order</w:t>
      </w:r>
      <w:r>
        <w:rPr>
          <w:i/>
          <w:color w:val="000000"/>
          <w:sz w:val="22"/>
          <w:szCs w:val="22"/>
        </w:rPr>
        <w:t xml:space="preserve"> </w:t>
      </w:r>
      <w:r>
        <w:rPr>
          <w:color w:val="000000"/>
          <w:sz w:val="22"/>
          <w:szCs w:val="22"/>
        </w:rPr>
        <w:t>erred in holding that</w:t>
      </w:r>
      <w:r w:rsidR="00673E6A">
        <w:rPr>
          <w:color w:val="000000"/>
          <w:sz w:val="22"/>
          <w:szCs w:val="22"/>
        </w:rPr>
        <w:t xml:space="preserve"> the Station’s license expired under</w:t>
      </w:r>
      <w:r>
        <w:rPr>
          <w:color w:val="000000"/>
          <w:sz w:val="22"/>
          <w:szCs w:val="22"/>
        </w:rPr>
        <w:t xml:space="preserve"> </w:t>
      </w:r>
      <w:r w:rsidR="00673E6A">
        <w:rPr>
          <w:color w:val="000000"/>
          <w:sz w:val="22"/>
          <w:szCs w:val="22"/>
        </w:rPr>
        <w:t>Section 312(g)</w:t>
      </w:r>
      <w:r w:rsidR="00AB53E0">
        <w:rPr>
          <w:color w:val="000000"/>
          <w:sz w:val="22"/>
          <w:szCs w:val="22"/>
        </w:rPr>
        <w:t xml:space="preserve"> </w:t>
      </w:r>
      <w:r w:rsidR="009E3C4F">
        <w:rPr>
          <w:color w:val="000000"/>
          <w:sz w:val="22"/>
          <w:szCs w:val="22"/>
        </w:rPr>
        <w:t xml:space="preserve">of the </w:t>
      </w:r>
      <w:r w:rsidR="00AB53E0">
        <w:rPr>
          <w:color w:val="000000"/>
          <w:sz w:val="22"/>
          <w:szCs w:val="22"/>
        </w:rPr>
        <w:t>Act</w:t>
      </w:r>
      <w:r w:rsidR="00673E6A">
        <w:rPr>
          <w:color w:val="000000"/>
          <w:sz w:val="22"/>
          <w:szCs w:val="22"/>
        </w:rPr>
        <w:t xml:space="preserve">, nor </w:t>
      </w:r>
      <w:r w:rsidR="005E45DC">
        <w:rPr>
          <w:color w:val="000000"/>
          <w:sz w:val="22"/>
          <w:szCs w:val="22"/>
        </w:rPr>
        <w:t>provided additional facts</w:t>
      </w:r>
      <w:r w:rsidR="004821F2">
        <w:rPr>
          <w:color w:val="000000"/>
          <w:sz w:val="22"/>
          <w:szCs w:val="22"/>
        </w:rPr>
        <w:t xml:space="preserve"> as to why the Commission should reinstate the station to promote equity and fairness.</w:t>
      </w:r>
      <w:r w:rsidR="00D72441">
        <w:rPr>
          <w:color w:val="000000"/>
          <w:sz w:val="22"/>
          <w:szCs w:val="22"/>
        </w:rPr>
        <w:t xml:space="preserve">  </w:t>
      </w:r>
    </w:p>
    <w:p w:rsidR="00C67B16" w:rsidRPr="007538AA" w:rsidP="00C67B16" w14:paraId="6412A08A" w14:textId="77777777">
      <w:pPr>
        <w:widowControl w:val="0"/>
        <w:ind w:firstLine="720"/>
        <w:rPr>
          <w:sz w:val="22"/>
          <w:szCs w:val="22"/>
        </w:rPr>
      </w:pPr>
    </w:p>
    <w:p w:rsidR="00341EA9" w:rsidP="00BD2697" w14:paraId="664F026F" w14:textId="1D417C3F">
      <w:pPr>
        <w:widowControl w:val="0"/>
        <w:ind w:firstLine="720"/>
        <w:rPr>
          <w:color w:val="000000"/>
          <w:sz w:val="22"/>
          <w:szCs w:val="22"/>
        </w:rPr>
      </w:pPr>
      <w:r>
        <w:rPr>
          <w:color w:val="000000"/>
          <w:sz w:val="22"/>
          <w:szCs w:val="22"/>
        </w:rPr>
        <w:t xml:space="preserve">At issue is whether SBA’s operation of the Station at coordinates not authorized by the June 2018 STA were in fact authorized by virtue of Section 73.1690(b)(2).  We find that </w:t>
      </w:r>
      <w:r w:rsidR="00DB161C">
        <w:rPr>
          <w:color w:val="000000"/>
          <w:sz w:val="22"/>
          <w:szCs w:val="22"/>
        </w:rPr>
        <w:t xml:space="preserve">the </w:t>
      </w:r>
      <w:r w:rsidRPr="00DB161C" w:rsidR="00DB161C">
        <w:rPr>
          <w:i/>
          <w:color w:val="000000"/>
          <w:sz w:val="22"/>
          <w:szCs w:val="22"/>
        </w:rPr>
        <w:t>Letter Order</w:t>
      </w:r>
      <w:r w:rsidR="00DB161C">
        <w:rPr>
          <w:color w:val="000000"/>
          <w:sz w:val="22"/>
          <w:szCs w:val="22"/>
        </w:rPr>
        <w:t xml:space="preserve"> correctly interpreted </w:t>
      </w:r>
      <w:r>
        <w:rPr>
          <w:color w:val="000000"/>
          <w:sz w:val="22"/>
          <w:szCs w:val="22"/>
        </w:rPr>
        <w:t xml:space="preserve">Section 73.1690(b)(2) </w:t>
      </w:r>
      <w:r w:rsidR="00DB161C">
        <w:rPr>
          <w:color w:val="000000"/>
          <w:sz w:val="22"/>
          <w:szCs w:val="22"/>
        </w:rPr>
        <w:t>as providing a streamlined process for correcting small discrepancies in coordinates (up to three seconds) in the event later measurements indicate an error on a station’s authorization.</w:t>
      </w:r>
      <w:r>
        <w:rPr>
          <w:rStyle w:val="FootnoteReference"/>
          <w:color w:val="000000"/>
          <w:sz w:val="22"/>
          <w:szCs w:val="22"/>
        </w:rPr>
        <w:footnoteReference w:id="32"/>
      </w:r>
      <w:r w:rsidR="00DB161C">
        <w:rPr>
          <w:color w:val="000000"/>
          <w:sz w:val="22"/>
          <w:szCs w:val="22"/>
        </w:rPr>
        <w:t xml:space="preserve">  By contrast, a change in a broadcast tower’s authorized height or location is governed by Section 73.1690(b)(1), which requires submission and approval of a minor change application, “except for replacement of an existing tower with a new tower of identical height and geographic coordinates.”</w:t>
      </w:r>
      <w:r>
        <w:rPr>
          <w:rStyle w:val="FootnoteReference"/>
          <w:color w:val="000000"/>
          <w:sz w:val="22"/>
          <w:szCs w:val="22"/>
        </w:rPr>
        <w:footnoteReference w:id="33"/>
      </w:r>
      <w:r w:rsidR="00285366">
        <w:rPr>
          <w:color w:val="000000"/>
          <w:sz w:val="22"/>
          <w:szCs w:val="22"/>
        </w:rPr>
        <w:t xml:space="preserve">  SBA fails to cite any case law supporting its interpretation of Section 73.1690(b)(2), and further fails to explain how its interpretation of th</w:t>
      </w:r>
      <w:r w:rsidR="00CB1352">
        <w:rPr>
          <w:color w:val="000000"/>
          <w:sz w:val="22"/>
          <w:szCs w:val="22"/>
        </w:rPr>
        <w:t>at</w:t>
      </w:r>
      <w:r w:rsidR="00285366">
        <w:rPr>
          <w:color w:val="000000"/>
          <w:sz w:val="22"/>
          <w:szCs w:val="22"/>
        </w:rPr>
        <w:t xml:space="preserve"> </w:t>
      </w:r>
      <w:r w:rsidR="00CB1352">
        <w:rPr>
          <w:color w:val="000000"/>
          <w:sz w:val="22"/>
          <w:szCs w:val="22"/>
        </w:rPr>
        <w:t>r</w:t>
      </w:r>
      <w:r w:rsidR="00285366">
        <w:rPr>
          <w:color w:val="000000"/>
          <w:sz w:val="22"/>
          <w:szCs w:val="22"/>
        </w:rPr>
        <w:t xml:space="preserve">ule can be squared with the language of Section 73.1690(b)(1).  Moreover, the </w:t>
      </w:r>
      <w:r w:rsidRPr="00262EEB" w:rsidR="00285366">
        <w:rPr>
          <w:i/>
          <w:color w:val="000000"/>
          <w:sz w:val="22"/>
          <w:szCs w:val="22"/>
        </w:rPr>
        <w:t>Letter Order</w:t>
      </w:r>
      <w:r w:rsidR="00285366">
        <w:rPr>
          <w:color w:val="000000"/>
          <w:sz w:val="22"/>
          <w:szCs w:val="22"/>
        </w:rPr>
        <w:t xml:space="preserve"> correctly pointed out that even SBA’s interpretation of the Rule does not support SBA’s position because SBA constructed the temporary tower at a location that </w:t>
      </w:r>
      <w:r w:rsidR="00262EEB">
        <w:rPr>
          <w:color w:val="000000"/>
          <w:sz w:val="22"/>
          <w:szCs w:val="22"/>
        </w:rPr>
        <w:t xml:space="preserve">differed by </w:t>
      </w:r>
      <w:r w:rsidR="00285366">
        <w:rPr>
          <w:color w:val="000000"/>
          <w:sz w:val="22"/>
          <w:szCs w:val="22"/>
        </w:rPr>
        <w:t xml:space="preserve">more than three seconds from the </w:t>
      </w:r>
      <w:r w:rsidR="00262EEB">
        <w:rPr>
          <w:color w:val="000000"/>
          <w:sz w:val="22"/>
          <w:szCs w:val="22"/>
        </w:rPr>
        <w:t xml:space="preserve">coordinates of the </w:t>
      </w:r>
      <w:r w:rsidR="00285366">
        <w:rPr>
          <w:color w:val="000000"/>
          <w:sz w:val="22"/>
          <w:szCs w:val="22"/>
        </w:rPr>
        <w:t>Mooresville Road Site</w:t>
      </w:r>
      <w:r w:rsidR="008A61E4">
        <w:rPr>
          <w:color w:val="000000"/>
          <w:sz w:val="22"/>
          <w:szCs w:val="22"/>
        </w:rPr>
        <w:t>.</w:t>
      </w:r>
      <w:r>
        <w:rPr>
          <w:rStyle w:val="FootnoteReference"/>
          <w:color w:val="000000"/>
          <w:sz w:val="22"/>
          <w:szCs w:val="22"/>
        </w:rPr>
        <w:footnoteReference w:id="34"/>
      </w:r>
      <w:r>
        <w:rPr>
          <w:color w:val="000000"/>
          <w:sz w:val="22"/>
          <w:szCs w:val="22"/>
        </w:rPr>
        <w:t xml:space="preserve"> </w:t>
      </w:r>
    </w:p>
    <w:p w:rsidR="00963478" w:rsidP="00BD2697" w14:paraId="271028AB" w14:textId="31F502C9">
      <w:pPr>
        <w:widowControl w:val="0"/>
        <w:ind w:firstLine="720"/>
        <w:rPr>
          <w:color w:val="000000"/>
          <w:sz w:val="22"/>
          <w:szCs w:val="22"/>
        </w:rPr>
      </w:pPr>
    </w:p>
    <w:p w:rsidR="00E43460" w:rsidP="00585F91" w14:paraId="0EB36EB6" w14:textId="25914C3E">
      <w:pPr>
        <w:widowControl w:val="0"/>
        <w:ind w:firstLine="720"/>
        <w:rPr>
          <w:color w:val="000000"/>
          <w:sz w:val="22"/>
          <w:szCs w:val="22"/>
        </w:rPr>
      </w:pPr>
      <w:r>
        <w:rPr>
          <w:color w:val="000000"/>
          <w:sz w:val="22"/>
          <w:szCs w:val="22"/>
        </w:rPr>
        <w:t>R</w:t>
      </w:r>
      <w:r w:rsidR="002F0471">
        <w:rPr>
          <w:color w:val="000000"/>
          <w:sz w:val="22"/>
          <w:szCs w:val="22"/>
        </w:rPr>
        <w:t xml:space="preserve">ather than build the </w:t>
      </w:r>
      <w:r w:rsidR="007310DC">
        <w:rPr>
          <w:color w:val="000000"/>
          <w:sz w:val="22"/>
          <w:szCs w:val="22"/>
        </w:rPr>
        <w:t>Station</w:t>
      </w:r>
      <w:r w:rsidR="002F0471">
        <w:rPr>
          <w:color w:val="000000"/>
          <w:sz w:val="22"/>
          <w:szCs w:val="22"/>
        </w:rPr>
        <w:t xml:space="preserve"> at the</w:t>
      </w:r>
      <w:r w:rsidR="00DB5B51">
        <w:rPr>
          <w:color w:val="000000"/>
          <w:sz w:val="22"/>
          <w:szCs w:val="22"/>
        </w:rPr>
        <w:t xml:space="preserve"> </w:t>
      </w:r>
      <w:r w:rsidR="007859A3">
        <w:rPr>
          <w:color w:val="000000"/>
          <w:sz w:val="22"/>
          <w:szCs w:val="22"/>
        </w:rPr>
        <w:t>FCC-</w:t>
      </w:r>
      <w:r w:rsidR="007310DC">
        <w:rPr>
          <w:color w:val="000000"/>
          <w:sz w:val="22"/>
          <w:szCs w:val="22"/>
        </w:rPr>
        <w:t>authorized</w:t>
      </w:r>
      <w:r w:rsidR="002F0471">
        <w:rPr>
          <w:color w:val="000000"/>
          <w:sz w:val="22"/>
          <w:szCs w:val="22"/>
        </w:rPr>
        <w:t xml:space="preserve"> </w:t>
      </w:r>
      <w:r w:rsidR="007310DC">
        <w:rPr>
          <w:color w:val="000000"/>
          <w:sz w:val="22"/>
          <w:szCs w:val="22"/>
        </w:rPr>
        <w:t>Mooresville Road</w:t>
      </w:r>
      <w:r w:rsidR="004B3E45">
        <w:rPr>
          <w:color w:val="000000"/>
          <w:sz w:val="22"/>
          <w:szCs w:val="22"/>
        </w:rPr>
        <w:t xml:space="preserve"> Site</w:t>
      </w:r>
      <w:r w:rsidR="00144B6F">
        <w:rPr>
          <w:color w:val="000000"/>
          <w:sz w:val="22"/>
          <w:szCs w:val="22"/>
        </w:rPr>
        <w:t xml:space="preserve">, SBA </w:t>
      </w:r>
      <w:r w:rsidRPr="00E43460" w:rsidR="00144B6F">
        <w:rPr>
          <w:i/>
          <w:color w:val="000000"/>
          <w:sz w:val="22"/>
          <w:szCs w:val="22"/>
        </w:rPr>
        <w:t>deliberatel</w:t>
      </w:r>
      <w:r w:rsidR="00144B6F">
        <w:rPr>
          <w:color w:val="000000"/>
          <w:sz w:val="22"/>
          <w:szCs w:val="22"/>
        </w:rPr>
        <w:t xml:space="preserve">y built the tower </w:t>
      </w:r>
      <w:r w:rsidR="00D94CE4">
        <w:rPr>
          <w:color w:val="000000"/>
          <w:sz w:val="22"/>
          <w:szCs w:val="22"/>
        </w:rPr>
        <w:t>at different coordinates</w:t>
      </w:r>
      <w:r w:rsidR="00963478">
        <w:rPr>
          <w:color w:val="000000"/>
          <w:sz w:val="22"/>
          <w:szCs w:val="22"/>
        </w:rPr>
        <w:t>—because PFI did not allow it to construct at the Mooresville Road Site</w:t>
      </w:r>
      <w:r w:rsidR="006217BC">
        <w:rPr>
          <w:color w:val="000000"/>
          <w:sz w:val="22"/>
          <w:szCs w:val="22"/>
        </w:rPr>
        <w:t>—</w:t>
      </w:r>
      <w:r w:rsidR="00144B6F">
        <w:rPr>
          <w:color w:val="000000"/>
          <w:sz w:val="22"/>
          <w:szCs w:val="22"/>
        </w:rPr>
        <w:t xml:space="preserve">without </w:t>
      </w:r>
      <w:r w:rsidR="007310DC">
        <w:rPr>
          <w:color w:val="000000"/>
          <w:sz w:val="22"/>
          <w:szCs w:val="22"/>
        </w:rPr>
        <w:t>applying for</w:t>
      </w:r>
      <w:r w:rsidR="00144B6F">
        <w:rPr>
          <w:color w:val="000000"/>
          <w:sz w:val="22"/>
          <w:szCs w:val="22"/>
        </w:rPr>
        <w:t xml:space="preserve"> an updated STA until after the </w:t>
      </w:r>
      <w:r w:rsidR="00963478">
        <w:rPr>
          <w:color w:val="000000"/>
          <w:sz w:val="22"/>
          <w:szCs w:val="22"/>
        </w:rPr>
        <w:t>Section 312(g)</w:t>
      </w:r>
      <w:r w:rsidR="00144B6F">
        <w:rPr>
          <w:color w:val="000000"/>
          <w:sz w:val="22"/>
          <w:szCs w:val="22"/>
        </w:rPr>
        <w:t xml:space="preserve"> deadline</w:t>
      </w:r>
      <w:r w:rsidR="00C65829">
        <w:rPr>
          <w:color w:val="000000"/>
          <w:sz w:val="22"/>
          <w:szCs w:val="22"/>
        </w:rPr>
        <w:t xml:space="preserve"> </w:t>
      </w:r>
      <w:r w:rsidR="00144B6F">
        <w:rPr>
          <w:color w:val="000000"/>
          <w:sz w:val="22"/>
          <w:szCs w:val="22"/>
        </w:rPr>
        <w:t>had passed.</w:t>
      </w:r>
      <w:r>
        <w:rPr>
          <w:rStyle w:val="FootnoteReference"/>
          <w:color w:val="000000"/>
          <w:sz w:val="22"/>
          <w:szCs w:val="22"/>
        </w:rPr>
        <w:footnoteReference w:id="35"/>
      </w:r>
      <w:r w:rsidR="007859A3">
        <w:rPr>
          <w:color w:val="000000"/>
          <w:sz w:val="22"/>
          <w:szCs w:val="22"/>
        </w:rPr>
        <w:t xml:space="preserve"> </w:t>
      </w:r>
      <w:r w:rsidR="00220165">
        <w:rPr>
          <w:color w:val="000000"/>
          <w:sz w:val="22"/>
          <w:szCs w:val="22"/>
        </w:rPr>
        <w:t xml:space="preserve"> </w:t>
      </w:r>
      <w:r w:rsidR="007859A3">
        <w:rPr>
          <w:color w:val="000000"/>
          <w:sz w:val="22"/>
          <w:szCs w:val="22"/>
        </w:rPr>
        <w:t xml:space="preserve">As extensive precedent indicates, operating an alternate facility without </w:t>
      </w:r>
      <w:r w:rsidR="00963478">
        <w:rPr>
          <w:color w:val="000000"/>
          <w:sz w:val="22"/>
          <w:szCs w:val="22"/>
        </w:rPr>
        <w:t xml:space="preserve">Commission </w:t>
      </w:r>
      <w:r w:rsidR="007859A3">
        <w:rPr>
          <w:color w:val="000000"/>
          <w:sz w:val="22"/>
          <w:szCs w:val="22"/>
        </w:rPr>
        <w:t xml:space="preserve">approval does not </w:t>
      </w:r>
      <w:r w:rsidR="00660470">
        <w:rPr>
          <w:color w:val="000000"/>
          <w:sz w:val="22"/>
          <w:szCs w:val="22"/>
        </w:rPr>
        <w:t>qualify as</w:t>
      </w:r>
      <w:r w:rsidR="007859A3">
        <w:rPr>
          <w:color w:val="000000"/>
          <w:sz w:val="22"/>
          <w:szCs w:val="22"/>
        </w:rPr>
        <w:t xml:space="preserve"> resum</w:t>
      </w:r>
      <w:r w:rsidR="00660470">
        <w:rPr>
          <w:color w:val="000000"/>
          <w:sz w:val="22"/>
          <w:szCs w:val="22"/>
        </w:rPr>
        <w:t>ing a</w:t>
      </w:r>
      <w:r w:rsidR="007859A3">
        <w:rPr>
          <w:color w:val="000000"/>
          <w:sz w:val="22"/>
          <w:szCs w:val="22"/>
        </w:rPr>
        <w:t xml:space="preserve"> station</w:t>
      </w:r>
      <w:r w:rsidR="00660470">
        <w:rPr>
          <w:color w:val="000000"/>
          <w:sz w:val="22"/>
          <w:szCs w:val="22"/>
        </w:rPr>
        <w:t>’s broadcast</w:t>
      </w:r>
      <w:r w:rsidR="007859A3">
        <w:rPr>
          <w:color w:val="000000"/>
          <w:sz w:val="22"/>
          <w:szCs w:val="22"/>
        </w:rPr>
        <w:t>.</w:t>
      </w:r>
      <w:r>
        <w:rPr>
          <w:rStyle w:val="FootnoteReference"/>
          <w:color w:val="000000"/>
          <w:sz w:val="22"/>
          <w:szCs w:val="22"/>
        </w:rPr>
        <w:footnoteReference w:id="36"/>
      </w:r>
    </w:p>
    <w:p w:rsidR="00963478" w:rsidP="00585F91" w14:paraId="4DE5E587" w14:textId="1B6F0F87">
      <w:pPr>
        <w:widowControl w:val="0"/>
        <w:ind w:firstLine="720"/>
        <w:rPr>
          <w:color w:val="000000"/>
          <w:sz w:val="22"/>
          <w:szCs w:val="22"/>
        </w:rPr>
      </w:pPr>
      <w:r>
        <w:rPr>
          <w:color w:val="000000"/>
          <w:sz w:val="22"/>
          <w:szCs w:val="22"/>
        </w:rPr>
        <w:t xml:space="preserve"> </w:t>
      </w:r>
      <w:r w:rsidR="00220165">
        <w:rPr>
          <w:color w:val="000000"/>
          <w:sz w:val="22"/>
          <w:szCs w:val="22"/>
        </w:rPr>
        <w:t xml:space="preserve"> </w:t>
      </w:r>
    </w:p>
    <w:p w:rsidR="00D74F24" w:rsidP="00A71DA8" w14:paraId="3CE73D38" w14:textId="50C71960">
      <w:pPr>
        <w:widowControl w:val="0"/>
        <w:rPr>
          <w:color w:val="000000"/>
          <w:sz w:val="22"/>
          <w:szCs w:val="22"/>
        </w:rPr>
      </w:pPr>
      <w:r>
        <w:rPr>
          <w:color w:val="000000"/>
          <w:sz w:val="22"/>
          <w:szCs w:val="22"/>
        </w:rPr>
        <w:tab/>
      </w:r>
      <w:r w:rsidR="00D22B37">
        <w:rPr>
          <w:color w:val="000000"/>
          <w:sz w:val="22"/>
          <w:szCs w:val="22"/>
        </w:rPr>
        <w:t xml:space="preserve">SBA </w:t>
      </w:r>
      <w:r w:rsidR="00C201D3">
        <w:rPr>
          <w:color w:val="000000"/>
          <w:sz w:val="22"/>
          <w:szCs w:val="22"/>
        </w:rPr>
        <w:t xml:space="preserve">also </w:t>
      </w:r>
      <w:r w:rsidR="00F57B45">
        <w:rPr>
          <w:color w:val="000000"/>
          <w:sz w:val="22"/>
          <w:szCs w:val="22"/>
        </w:rPr>
        <w:t>attempts</w:t>
      </w:r>
      <w:r w:rsidR="006517C8">
        <w:rPr>
          <w:color w:val="000000"/>
          <w:sz w:val="22"/>
          <w:szCs w:val="22"/>
        </w:rPr>
        <w:t xml:space="preserve"> to distinguish its </w:t>
      </w:r>
      <w:r w:rsidR="00560D43">
        <w:rPr>
          <w:color w:val="000000"/>
          <w:sz w:val="22"/>
          <w:szCs w:val="22"/>
        </w:rPr>
        <w:t>case</w:t>
      </w:r>
      <w:r w:rsidR="003C30AE">
        <w:rPr>
          <w:color w:val="000000"/>
          <w:sz w:val="22"/>
          <w:szCs w:val="22"/>
        </w:rPr>
        <w:t xml:space="preserve"> from case</w:t>
      </w:r>
      <w:r w:rsidR="00E43460">
        <w:rPr>
          <w:color w:val="000000"/>
          <w:sz w:val="22"/>
          <w:szCs w:val="22"/>
        </w:rPr>
        <w:t xml:space="preserve"> </w:t>
      </w:r>
      <w:r w:rsidR="003C30AE">
        <w:rPr>
          <w:color w:val="000000"/>
          <w:sz w:val="22"/>
          <w:szCs w:val="22"/>
        </w:rPr>
        <w:t>law</w:t>
      </w:r>
      <w:r w:rsidR="00F57B45">
        <w:rPr>
          <w:color w:val="000000"/>
          <w:sz w:val="22"/>
          <w:szCs w:val="22"/>
        </w:rPr>
        <w:t xml:space="preserve"> by emphasizing that </w:t>
      </w:r>
      <w:r w:rsidR="001B4247">
        <w:rPr>
          <w:color w:val="000000"/>
          <w:sz w:val="22"/>
          <w:szCs w:val="22"/>
        </w:rPr>
        <w:t>its actions were</w:t>
      </w:r>
      <w:r w:rsidR="00750DB9">
        <w:rPr>
          <w:color w:val="000000"/>
          <w:sz w:val="22"/>
          <w:szCs w:val="22"/>
        </w:rPr>
        <w:t xml:space="preserve"> not </w:t>
      </w:r>
      <w:r w:rsidR="00F57B45">
        <w:rPr>
          <w:color w:val="000000"/>
          <w:sz w:val="22"/>
          <w:szCs w:val="22"/>
        </w:rPr>
        <w:t xml:space="preserve">“outrageous,” </w:t>
      </w:r>
      <w:r w:rsidR="007E1DA4">
        <w:rPr>
          <w:color w:val="000000"/>
          <w:sz w:val="22"/>
          <w:szCs w:val="22"/>
        </w:rPr>
        <w:t>as in</w:t>
      </w:r>
      <w:r w:rsidR="00F57B45">
        <w:rPr>
          <w:color w:val="000000"/>
          <w:sz w:val="22"/>
          <w:szCs w:val="22"/>
        </w:rPr>
        <w:t xml:space="preserve"> </w:t>
      </w:r>
      <w:r w:rsidR="00B62477">
        <w:rPr>
          <w:color w:val="000000"/>
          <w:sz w:val="22"/>
          <w:szCs w:val="22"/>
        </w:rPr>
        <w:t xml:space="preserve">previous cases. </w:t>
      </w:r>
      <w:r w:rsidR="00220165">
        <w:rPr>
          <w:color w:val="000000"/>
          <w:sz w:val="22"/>
          <w:szCs w:val="22"/>
        </w:rPr>
        <w:t xml:space="preserve"> </w:t>
      </w:r>
      <w:r w:rsidR="00E43460">
        <w:rPr>
          <w:color w:val="000000"/>
          <w:sz w:val="22"/>
          <w:szCs w:val="22"/>
        </w:rPr>
        <w:t xml:space="preserve">However, </w:t>
      </w:r>
      <w:r w:rsidR="00C201D3">
        <w:rPr>
          <w:color w:val="000000"/>
          <w:sz w:val="22"/>
          <w:szCs w:val="22"/>
        </w:rPr>
        <w:t xml:space="preserve">our </w:t>
      </w:r>
      <w:r w:rsidR="00DF4B6D">
        <w:rPr>
          <w:color w:val="000000"/>
          <w:sz w:val="22"/>
          <w:szCs w:val="22"/>
        </w:rPr>
        <w:t>d</w:t>
      </w:r>
      <w:r w:rsidR="00F8678F">
        <w:rPr>
          <w:color w:val="000000"/>
          <w:sz w:val="22"/>
          <w:szCs w:val="22"/>
        </w:rPr>
        <w:t>iscretion under 312(g) is severely limited</w:t>
      </w:r>
      <w:r w:rsidR="00E43460">
        <w:rPr>
          <w:color w:val="000000"/>
          <w:sz w:val="22"/>
          <w:szCs w:val="22"/>
        </w:rPr>
        <w:t xml:space="preserve"> and SBA has failed to cite any comparable case where the Commission applied that discretion to reinstate a license</w:t>
      </w:r>
      <w:r w:rsidR="00F8678F">
        <w:rPr>
          <w:color w:val="000000"/>
          <w:sz w:val="22"/>
          <w:szCs w:val="22"/>
        </w:rPr>
        <w:t>.</w:t>
      </w:r>
      <w:r>
        <w:rPr>
          <w:rStyle w:val="FootnoteReference"/>
          <w:color w:val="000000"/>
          <w:sz w:val="22"/>
          <w:szCs w:val="22"/>
        </w:rPr>
        <w:footnoteReference w:id="37"/>
      </w:r>
      <w:r w:rsidR="00B62477">
        <w:rPr>
          <w:color w:val="000000"/>
          <w:sz w:val="22"/>
          <w:szCs w:val="22"/>
        </w:rPr>
        <w:t xml:space="preserve"> </w:t>
      </w:r>
      <w:r w:rsidR="00220165">
        <w:rPr>
          <w:color w:val="000000"/>
          <w:sz w:val="22"/>
          <w:szCs w:val="22"/>
        </w:rPr>
        <w:t xml:space="preserve"> </w:t>
      </w:r>
      <w:r w:rsidR="009E1811">
        <w:rPr>
          <w:color w:val="000000"/>
          <w:sz w:val="22"/>
          <w:szCs w:val="22"/>
        </w:rPr>
        <w:t>H</w:t>
      </w:r>
      <w:r w:rsidR="003D4EE9">
        <w:rPr>
          <w:color w:val="000000"/>
          <w:sz w:val="22"/>
          <w:szCs w:val="22"/>
        </w:rPr>
        <w:t>ere,</w:t>
      </w:r>
      <w:r w:rsidR="004D49FA">
        <w:rPr>
          <w:color w:val="000000"/>
          <w:sz w:val="22"/>
          <w:szCs w:val="22"/>
        </w:rPr>
        <w:t xml:space="preserve"> t</w:t>
      </w:r>
      <w:r w:rsidR="00B62477">
        <w:rPr>
          <w:color w:val="000000"/>
          <w:sz w:val="22"/>
          <w:szCs w:val="22"/>
        </w:rPr>
        <w:t xml:space="preserve">he </w:t>
      </w:r>
      <w:r w:rsidR="0086471D">
        <w:rPr>
          <w:color w:val="000000"/>
          <w:sz w:val="22"/>
          <w:szCs w:val="22"/>
        </w:rPr>
        <w:t xml:space="preserve">tower </w:t>
      </w:r>
      <w:r w:rsidR="007E1DA4">
        <w:rPr>
          <w:color w:val="000000"/>
          <w:sz w:val="22"/>
          <w:szCs w:val="22"/>
        </w:rPr>
        <w:t>was so</w:t>
      </w:r>
      <w:r w:rsidR="004D49FA">
        <w:rPr>
          <w:color w:val="000000"/>
          <w:sz w:val="22"/>
          <w:szCs w:val="22"/>
        </w:rPr>
        <w:t xml:space="preserve"> </w:t>
      </w:r>
      <w:r w:rsidR="007E1DA4">
        <w:rPr>
          <w:color w:val="000000"/>
          <w:sz w:val="22"/>
          <w:szCs w:val="22"/>
        </w:rPr>
        <w:t xml:space="preserve">far from its </w:t>
      </w:r>
      <w:r w:rsidR="00E43460">
        <w:rPr>
          <w:color w:val="000000"/>
          <w:sz w:val="22"/>
          <w:szCs w:val="22"/>
        </w:rPr>
        <w:t>approved</w:t>
      </w:r>
      <w:r w:rsidR="007E1DA4">
        <w:rPr>
          <w:color w:val="000000"/>
          <w:sz w:val="22"/>
          <w:szCs w:val="22"/>
        </w:rPr>
        <w:t xml:space="preserve"> coordinates that it was beyond even</w:t>
      </w:r>
      <w:r w:rsidR="00F8678F">
        <w:rPr>
          <w:color w:val="000000"/>
          <w:sz w:val="22"/>
          <w:szCs w:val="22"/>
        </w:rPr>
        <w:t xml:space="preserve"> </w:t>
      </w:r>
      <w:r w:rsidR="0086471D">
        <w:rPr>
          <w:color w:val="000000"/>
          <w:sz w:val="22"/>
          <w:szCs w:val="22"/>
        </w:rPr>
        <w:t xml:space="preserve">the </w:t>
      </w:r>
      <w:r w:rsidR="00E43460">
        <w:rPr>
          <w:color w:val="000000"/>
          <w:sz w:val="22"/>
          <w:szCs w:val="22"/>
        </w:rPr>
        <w:t>three</w:t>
      </w:r>
      <w:r w:rsidR="00F8678F">
        <w:rPr>
          <w:color w:val="000000"/>
          <w:sz w:val="22"/>
          <w:szCs w:val="22"/>
        </w:rPr>
        <w:t>-</w:t>
      </w:r>
      <w:r w:rsidR="0086471D">
        <w:rPr>
          <w:color w:val="000000"/>
          <w:sz w:val="22"/>
          <w:szCs w:val="22"/>
        </w:rPr>
        <w:t>second latitude/longitude</w:t>
      </w:r>
      <w:r w:rsidR="00F8678F">
        <w:rPr>
          <w:color w:val="000000"/>
          <w:sz w:val="22"/>
          <w:szCs w:val="22"/>
        </w:rPr>
        <w:t xml:space="preserve"> </w:t>
      </w:r>
      <w:r w:rsidR="007E1DA4">
        <w:rPr>
          <w:color w:val="000000"/>
          <w:sz w:val="22"/>
          <w:szCs w:val="22"/>
        </w:rPr>
        <w:t>tolerance allowed in cases of</w:t>
      </w:r>
      <w:r w:rsidR="004D49FA">
        <w:rPr>
          <w:color w:val="000000"/>
          <w:sz w:val="22"/>
          <w:szCs w:val="22"/>
        </w:rPr>
        <w:t xml:space="preserve"> measurement error</w:t>
      </w:r>
      <w:r w:rsidR="00E43460">
        <w:rPr>
          <w:color w:val="000000"/>
          <w:sz w:val="22"/>
          <w:szCs w:val="22"/>
        </w:rPr>
        <w:t xml:space="preserve"> under the Rule that SBA has attempted to invoke</w:t>
      </w:r>
      <w:r w:rsidR="0086471D">
        <w:rPr>
          <w:color w:val="000000"/>
          <w:sz w:val="22"/>
          <w:szCs w:val="22"/>
        </w:rPr>
        <w:t xml:space="preserve">. </w:t>
      </w:r>
      <w:r w:rsidR="00220165">
        <w:rPr>
          <w:color w:val="000000"/>
          <w:sz w:val="22"/>
          <w:szCs w:val="22"/>
        </w:rPr>
        <w:t xml:space="preserve"> </w:t>
      </w:r>
      <w:r w:rsidR="00E43460">
        <w:rPr>
          <w:color w:val="000000"/>
          <w:sz w:val="22"/>
          <w:szCs w:val="22"/>
        </w:rPr>
        <w:t>A</w:t>
      </w:r>
      <w:r w:rsidR="005A4B92">
        <w:rPr>
          <w:color w:val="000000"/>
          <w:sz w:val="22"/>
          <w:szCs w:val="22"/>
        </w:rPr>
        <w:t>lthough</w:t>
      </w:r>
      <w:r w:rsidR="00C606C1">
        <w:rPr>
          <w:color w:val="000000"/>
          <w:sz w:val="22"/>
          <w:szCs w:val="22"/>
        </w:rPr>
        <w:t xml:space="preserve"> SBA </w:t>
      </w:r>
      <w:r w:rsidR="00C9165C">
        <w:rPr>
          <w:color w:val="000000"/>
          <w:sz w:val="22"/>
          <w:szCs w:val="22"/>
        </w:rPr>
        <w:t>contends</w:t>
      </w:r>
      <w:r w:rsidR="00C606C1">
        <w:rPr>
          <w:color w:val="000000"/>
          <w:sz w:val="22"/>
          <w:szCs w:val="22"/>
        </w:rPr>
        <w:t xml:space="preserve"> this distance</w:t>
      </w:r>
      <w:r w:rsidR="00C9165C">
        <w:rPr>
          <w:color w:val="000000"/>
          <w:sz w:val="22"/>
          <w:szCs w:val="22"/>
        </w:rPr>
        <w:t xml:space="preserve"> to be</w:t>
      </w:r>
      <w:r w:rsidR="00C606C1">
        <w:rPr>
          <w:color w:val="000000"/>
          <w:sz w:val="22"/>
          <w:szCs w:val="22"/>
        </w:rPr>
        <w:t xml:space="preserve"> </w:t>
      </w:r>
      <w:r w:rsidR="00C606C1">
        <w:rPr>
          <w:i/>
          <w:color w:val="000000"/>
          <w:sz w:val="22"/>
          <w:szCs w:val="22"/>
        </w:rPr>
        <w:t>de minimis</w:t>
      </w:r>
      <w:r w:rsidR="00C606C1">
        <w:rPr>
          <w:color w:val="000000"/>
          <w:sz w:val="22"/>
          <w:szCs w:val="22"/>
        </w:rPr>
        <w:t xml:space="preserve">, </w:t>
      </w:r>
      <w:r w:rsidR="00E43460">
        <w:rPr>
          <w:color w:val="000000"/>
          <w:sz w:val="22"/>
          <w:szCs w:val="22"/>
        </w:rPr>
        <w:t>there is no case law supporting that claim</w:t>
      </w:r>
      <w:r w:rsidR="005A4B92">
        <w:rPr>
          <w:color w:val="000000"/>
          <w:sz w:val="22"/>
          <w:szCs w:val="22"/>
        </w:rPr>
        <w:t>.</w:t>
      </w:r>
      <w:r w:rsidR="00C606C1">
        <w:rPr>
          <w:color w:val="000000"/>
          <w:sz w:val="22"/>
          <w:szCs w:val="22"/>
        </w:rPr>
        <w:t xml:space="preserve"> </w:t>
      </w:r>
      <w:r w:rsidR="00220165">
        <w:rPr>
          <w:color w:val="000000"/>
          <w:sz w:val="22"/>
          <w:szCs w:val="22"/>
        </w:rPr>
        <w:t xml:space="preserve"> </w:t>
      </w:r>
      <w:r w:rsidR="00017E45">
        <w:rPr>
          <w:color w:val="000000"/>
          <w:sz w:val="22"/>
          <w:szCs w:val="22"/>
        </w:rPr>
        <w:t>SBA’s</w:t>
      </w:r>
      <w:r w:rsidR="00A03FDA">
        <w:rPr>
          <w:color w:val="000000"/>
          <w:sz w:val="22"/>
          <w:szCs w:val="22"/>
        </w:rPr>
        <w:t xml:space="preserve"> unlicensed broadcasting</w:t>
      </w:r>
      <w:r w:rsidR="00DF4B6D">
        <w:rPr>
          <w:color w:val="000000"/>
          <w:sz w:val="22"/>
          <w:szCs w:val="22"/>
        </w:rPr>
        <w:t xml:space="preserve"> </w:t>
      </w:r>
      <w:r w:rsidR="00A131A6">
        <w:rPr>
          <w:color w:val="000000"/>
          <w:sz w:val="22"/>
          <w:szCs w:val="22"/>
        </w:rPr>
        <w:t>violat</w:t>
      </w:r>
      <w:r w:rsidR="00DF4B6D">
        <w:rPr>
          <w:color w:val="000000"/>
          <w:sz w:val="22"/>
          <w:szCs w:val="22"/>
        </w:rPr>
        <w:t>ed</w:t>
      </w:r>
      <w:r w:rsidR="00A131A6">
        <w:rPr>
          <w:color w:val="000000"/>
          <w:sz w:val="22"/>
          <w:szCs w:val="22"/>
        </w:rPr>
        <w:t xml:space="preserve"> Section 301 of the Act</w:t>
      </w:r>
      <w:r w:rsidR="00AB53E0">
        <w:rPr>
          <w:color w:val="000000"/>
          <w:sz w:val="22"/>
          <w:szCs w:val="22"/>
        </w:rPr>
        <w:t xml:space="preserve">, and </w:t>
      </w:r>
      <w:r w:rsidR="000070F8">
        <w:rPr>
          <w:color w:val="000000"/>
          <w:sz w:val="22"/>
          <w:szCs w:val="22"/>
        </w:rPr>
        <w:t>its</w:t>
      </w:r>
      <w:r w:rsidR="00AB53E0">
        <w:rPr>
          <w:color w:val="000000"/>
          <w:sz w:val="22"/>
          <w:szCs w:val="22"/>
        </w:rPr>
        <w:t xml:space="preserve"> failure to resume </w:t>
      </w:r>
      <w:r w:rsidR="00716781">
        <w:rPr>
          <w:color w:val="000000"/>
          <w:sz w:val="22"/>
          <w:szCs w:val="22"/>
        </w:rPr>
        <w:t>authorized Station</w:t>
      </w:r>
      <w:r w:rsidR="00AB53E0">
        <w:rPr>
          <w:color w:val="000000"/>
          <w:sz w:val="22"/>
          <w:szCs w:val="22"/>
        </w:rPr>
        <w:t xml:space="preserve"> broadcasting within twelve months of July 1, 2017</w:t>
      </w:r>
      <w:r w:rsidR="00716781">
        <w:rPr>
          <w:color w:val="000000"/>
          <w:sz w:val="22"/>
          <w:szCs w:val="22"/>
        </w:rPr>
        <w:t xml:space="preserve"> meant</w:t>
      </w:r>
      <w:r w:rsidR="00AB53E0">
        <w:rPr>
          <w:color w:val="000000"/>
          <w:sz w:val="22"/>
          <w:szCs w:val="22"/>
        </w:rPr>
        <w:t xml:space="preserve"> that </w:t>
      </w:r>
      <w:r w:rsidR="000070F8">
        <w:rPr>
          <w:color w:val="000000"/>
          <w:sz w:val="22"/>
          <w:szCs w:val="22"/>
        </w:rPr>
        <w:t>its</w:t>
      </w:r>
      <w:r w:rsidR="00AB53E0">
        <w:rPr>
          <w:color w:val="000000"/>
          <w:sz w:val="22"/>
          <w:szCs w:val="22"/>
        </w:rPr>
        <w:t xml:space="preserve"> license expire</w:t>
      </w:r>
      <w:r w:rsidR="00716781">
        <w:rPr>
          <w:color w:val="000000"/>
          <w:sz w:val="22"/>
          <w:szCs w:val="22"/>
        </w:rPr>
        <w:t>d</w:t>
      </w:r>
      <w:r w:rsidR="00AB53E0">
        <w:rPr>
          <w:color w:val="000000"/>
          <w:sz w:val="22"/>
          <w:szCs w:val="22"/>
        </w:rPr>
        <w:t xml:space="preserve"> under Section 312(g) of the Act</w:t>
      </w:r>
      <w:r w:rsidR="00A03FDA">
        <w:rPr>
          <w:color w:val="000000"/>
          <w:sz w:val="22"/>
          <w:szCs w:val="22"/>
        </w:rPr>
        <w:t>.</w:t>
      </w:r>
      <w:r w:rsidR="00B91B37">
        <w:rPr>
          <w:color w:val="000000"/>
          <w:sz w:val="22"/>
          <w:szCs w:val="22"/>
        </w:rPr>
        <w:t xml:space="preserve">  </w:t>
      </w:r>
      <w:r w:rsidR="0086471D">
        <w:rPr>
          <w:color w:val="000000"/>
          <w:sz w:val="22"/>
          <w:szCs w:val="22"/>
        </w:rPr>
        <w:t xml:space="preserve">To </w:t>
      </w:r>
      <w:r w:rsidR="004138F3">
        <w:rPr>
          <w:color w:val="000000"/>
          <w:sz w:val="22"/>
          <w:szCs w:val="22"/>
        </w:rPr>
        <w:t>contend</w:t>
      </w:r>
      <w:r w:rsidR="0086471D">
        <w:rPr>
          <w:color w:val="000000"/>
          <w:sz w:val="22"/>
          <w:szCs w:val="22"/>
        </w:rPr>
        <w:t xml:space="preserve"> that </w:t>
      </w:r>
      <w:r w:rsidR="00E920B0">
        <w:rPr>
          <w:color w:val="000000"/>
          <w:sz w:val="22"/>
          <w:szCs w:val="22"/>
        </w:rPr>
        <w:t>the Station’s</w:t>
      </w:r>
      <w:r w:rsidR="007E4D16">
        <w:rPr>
          <w:color w:val="000000"/>
          <w:sz w:val="22"/>
          <w:szCs w:val="22"/>
        </w:rPr>
        <w:t xml:space="preserve"> </w:t>
      </w:r>
      <w:r w:rsidR="0086471D">
        <w:rPr>
          <w:color w:val="000000"/>
          <w:sz w:val="22"/>
          <w:szCs w:val="22"/>
        </w:rPr>
        <w:t>“death penalty” is</w:t>
      </w:r>
      <w:r w:rsidR="00E920B0">
        <w:rPr>
          <w:color w:val="000000"/>
          <w:sz w:val="22"/>
          <w:szCs w:val="22"/>
        </w:rPr>
        <w:t xml:space="preserve"> unjustified and inequitable</w:t>
      </w:r>
      <w:r w:rsidR="009D0F65">
        <w:rPr>
          <w:color w:val="000000"/>
          <w:sz w:val="22"/>
          <w:szCs w:val="22"/>
        </w:rPr>
        <w:t xml:space="preserve"> is</w:t>
      </w:r>
      <w:r w:rsidR="0086471D">
        <w:rPr>
          <w:color w:val="000000"/>
          <w:sz w:val="22"/>
          <w:szCs w:val="22"/>
        </w:rPr>
        <w:t xml:space="preserve"> to </w:t>
      </w:r>
      <w:r w:rsidR="00716781">
        <w:rPr>
          <w:color w:val="000000"/>
          <w:sz w:val="22"/>
          <w:szCs w:val="22"/>
        </w:rPr>
        <w:t>dismiss the significance of extended station silence under</w:t>
      </w:r>
      <w:r w:rsidR="00E920B0">
        <w:rPr>
          <w:color w:val="000000"/>
          <w:sz w:val="22"/>
          <w:szCs w:val="22"/>
        </w:rPr>
        <w:t xml:space="preserve"> Section 312(g) and </w:t>
      </w:r>
      <w:r w:rsidR="00D91504">
        <w:rPr>
          <w:color w:val="000000"/>
          <w:sz w:val="22"/>
          <w:szCs w:val="22"/>
        </w:rPr>
        <w:t>SBA’s</w:t>
      </w:r>
      <w:r w:rsidR="005F1B04">
        <w:rPr>
          <w:color w:val="000000"/>
          <w:sz w:val="22"/>
          <w:szCs w:val="22"/>
        </w:rPr>
        <w:t xml:space="preserve"> many </w:t>
      </w:r>
      <w:r w:rsidR="003D4EE9">
        <w:rPr>
          <w:color w:val="000000"/>
          <w:sz w:val="22"/>
          <w:szCs w:val="22"/>
        </w:rPr>
        <w:t>shortcomings</w:t>
      </w:r>
      <w:r w:rsidR="00D91504">
        <w:rPr>
          <w:color w:val="000000"/>
          <w:sz w:val="22"/>
          <w:szCs w:val="22"/>
        </w:rPr>
        <w:t xml:space="preserve"> in</w:t>
      </w:r>
      <w:r w:rsidR="00CD18CE">
        <w:rPr>
          <w:color w:val="000000"/>
          <w:sz w:val="22"/>
          <w:szCs w:val="22"/>
        </w:rPr>
        <w:t xml:space="preserve"> completing</w:t>
      </w:r>
      <w:r w:rsidR="00D91504">
        <w:rPr>
          <w:color w:val="000000"/>
          <w:sz w:val="22"/>
          <w:szCs w:val="22"/>
        </w:rPr>
        <w:t xml:space="preserve"> </w:t>
      </w:r>
      <w:r w:rsidR="009D0F65">
        <w:rPr>
          <w:color w:val="000000"/>
          <w:sz w:val="22"/>
          <w:szCs w:val="22"/>
        </w:rPr>
        <w:t>its</w:t>
      </w:r>
      <w:r w:rsidR="00D91504">
        <w:rPr>
          <w:color w:val="000000"/>
          <w:sz w:val="22"/>
          <w:szCs w:val="22"/>
        </w:rPr>
        <w:t xml:space="preserve"> resumption process</w:t>
      </w:r>
      <w:r w:rsidR="00716781">
        <w:rPr>
          <w:color w:val="000000"/>
          <w:sz w:val="22"/>
          <w:szCs w:val="22"/>
        </w:rPr>
        <w:t xml:space="preserve"> in accordance with the Rules</w:t>
      </w:r>
      <w:r w:rsidR="0086471D">
        <w:rPr>
          <w:color w:val="000000"/>
          <w:sz w:val="22"/>
          <w:szCs w:val="22"/>
        </w:rPr>
        <w:t>.</w:t>
      </w:r>
      <w:r w:rsidR="00D72441">
        <w:rPr>
          <w:color w:val="000000"/>
          <w:sz w:val="22"/>
          <w:szCs w:val="22"/>
        </w:rPr>
        <w:t xml:space="preserve">  </w:t>
      </w:r>
    </w:p>
    <w:p w:rsidR="000C4FCF" w:rsidRPr="008A5955" w:rsidP="00C67B16" w14:paraId="65C59C55" w14:textId="77777777">
      <w:pPr>
        <w:widowControl w:val="0"/>
        <w:ind w:firstLine="720"/>
        <w:rPr>
          <w:color w:val="000000"/>
          <w:sz w:val="22"/>
          <w:szCs w:val="22"/>
        </w:rPr>
      </w:pPr>
    </w:p>
    <w:p w:rsidR="005E280E" w:rsidP="00A71DA8" w14:paraId="690B5A2B" w14:textId="614F185A">
      <w:pPr>
        <w:spacing w:after="240"/>
        <w:rPr>
          <w:szCs w:val="22"/>
        </w:rPr>
      </w:pPr>
      <w:r>
        <w:rPr>
          <w:b/>
          <w:spacing w:val="-2"/>
          <w:szCs w:val="22"/>
        </w:rPr>
        <w:tab/>
      </w:r>
      <w:r w:rsidRPr="00A71DA8" w:rsidR="00FD3BE6">
        <w:rPr>
          <w:b/>
          <w:spacing w:val="-2"/>
          <w:sz w:val="22"/>
          <w:szCs w:val="22"/>
        </w:rPr>
        <w:t xml:space="preserve">Conclusion/Actions. </w:t>
      </w:r>
      <w:r w:rsidRPr="00A71DA8" w:rsidR="00BB2090">
        <w:rPr>
          <w:sz w:val="22"/>
          <w:szCs w:val="22"/>
        </w:rPr>
        <w:t xml:space="preserve"> </w:t>
      </w:r>
      <w:r w:rsidRPr="00A71DA8" w:rsidR="00632309">
        <w:rPr>
          <w:sz w:val="22"/>
          <w:szCs w:val="22"/>
        </w:rPr>
        <w:t xml:space="preserve">For the reasons set forth above, </w:t>
      </w:r>
      <w:r w:rsidRPr="00A71DA8" w:rsidR="00884E35">
        <w:rPr>
          <w:sz w:val="22"/>
          <w:szCs w:val="22"/>
        </w:rPr>
        <w:t xml:space="preserve">IT IS ORDERED, that </w:t>
      </w:r>
      <w:r w:rsidRPr="00A71DA8" w:rsidR="00BB2090">
        <w:rPr>
          <w:sz w:val="22"/>
          <w:szCs w:val="22"/>
        </w:rPr>
        <w:t xml:space="preserve">the </w:t>
      </w:r>
      <w:r w:rsidRPr="00A71DA8" w:rsidR="00C07637">
        <w:rPr>
          <w:sz w:val="22"/>
          <w:szCs w:val="22"/>
        </w:rPr>
        <w:t xml:space="preserve">Petition for Reconsideration filed by </w:t>
      </w:r>
      <w:r w:rsidRPr="00A71DA8" w:rsidR="00587DD8">
        <w:rPr>
          <w:sz w:val="22"/>
          <w:szCs w:val="22"/>
        </w:rPr>
        <w:t>Shelby Broadcast Associates, LLC</w:t>
      </w:r>
      <w:r w:rsidRPr="00A71DA8" w:rsidR="0058651C">
        <w:rPr>
          <w:sz w:val="22"/>
          <w:szCs w:val="22"/>
        </w:rPr>
        <w:t xml:space="preserve"> on January 30, 2019 </w:t>
      </w:r>
      <w:r w:rsidRPr="00A71DA8" w:rsidR="00C07637">
        <w:rPr>
          <w:sz w:val="22"/>
          <w:szCs w:val="22"/>
        </w:rPr>
        <w:t>IS</w:t>
      </w:r>
      <w:r w:rsidRPr="00A71DA8" w:rsidR="00BB2090">
        <w:rPr>
          <w:sz w:val="22"/>
          <w:szCs w:val="22"/>
        </w:rPr>
        <w:t xml:space="preserve"> </w:t>
      </w:r>
      <w:r w:rsidRPr="00A71DA8" w:rsidR="005249DA">
        <w:rPr>
          <w:sz w:val="22"/>
          <w:szCs w:val="22"/>
        </w:rPr>
        <w:t>DENIED</w:t>
      </w:r>
      <w:r w:rsidR="00270FD4">
        <w:rPr>
          <w:szCs w:val="22"/>
        </w:rPr>
        <w:t>.</w:t>
      </w:r>
      <w:r w:rsidR="00985122">
        <w:rPr>
          <w:szCs w:val="22"/>
        </w:rPr>
        <w:t xml:space="preserve"> </w:t>
      </w:r>
      <w:r w:rsidR="00AA2686">
        <w:rPr>
          <w:szCs w:val="22"/>
        </w:rPr>
        <w:t xml:space="preserve"> </w:t>
      </w:r>
    </w:p>
    <w:p w:rsidR="006F0D9F" w:rsidRPr="00756029" w:rsidP="005F49B4" w14:paraId="534D3F1F" w14:textId="6EDA131A">
      <w:pPr>
        <w:pStyle w:val="ParaNum"/>
        <w:keepNext/>
        <w:keepLines/>
        <w:numPr>
          <w:ilvl w:val="0"/>
          <w:numId w:val="0"/>
        </w:numPr>
        <w:tabs>
          <w:tab w:val="left" w:pos="0"/>
          <w:tab w:val="clear" w:pos="1440"/>
        </w:tabs>
        <w:jc w:val="left"/>
        <w:rPr>
          <w:szCs w:val="22"/>
        </w:rPr>
      </w:pPr>
      <w:r>
        <w:rPr>
          <w:szCs w:val="22"/>
        </w:rPr>
        <w:tab/>
      </w:r>
      <w:r w:rsidRPr="00FB65BB" w:rsidR="00FB65BB">
        <w:rPr>
          <w:szCs w:val="22"/>
        </w:rPr>
        <w:t xml:space="preserve"> </w:t>
      </w:r>
      <w:r w:rsidRPr="00756029" w:rsidR="006947D9">
        <w:rPr>
          <w:szCs w:val="22"/>
        </w:rPr>
        <w:tab/>
        <w:t>`</w:t>
      </w:r>
      <w:r w:rsidRPr="00756029" w:rsidR="00FD3BE6">
        <w:rPr>
          <w:szCs w:val="22"/>
        </w:rPr>
        <w:tab/>
      </w:r>
      <w:r w:rsidRPr="00756029" w:rsidR="00FD3BE6">
        <w:rPr>
          <w:szCs w:val="22"/>
        </w:rPr>
        <w:tab/>
      </w:r>
      <w:r w:rsidRPr="00756029" w:rsidR="00FD3BE6">
        <w:rPr>
          <w:szCs w:val="22"/>
        </w:rPr>
        <w:tab/>
      </w:r>
      <w:r w:rsidRPr="00756029" w:rsidR="00FD3BE6">
        <w:rPr>
          <w:szCs w:val="22"/>
        </w:rPr>
        <w:tab/>
      </w:r>
      <w:r w:rsidRPr="00756029" w:rsidR="00FD3BE6">
        <w:rPr>
          <w:szCs w:val="22"/>
        </w:rPr>
        <w:tab/>
        <w:t>Sincerely,</w:t>
      </w:r>
    </w:p>
    <w:p w:rsidR="00E5589E" w:rsidRPr="00756029" w:rsidP="0060325C" w14:paraId="60B19D0A" w14:textId="77777777">
      <w:pPr>
        <w:keepNext/>
        <w:keepLines/>
        <w:tabs>
          <w:tab w:val="left" w:pos="0"/>
          <w:tab w:val="left" w:pos="270"/>
        </w:tabs>
        <w:suppressAutoHyphens/>
        <w:rPr>
          <w:sz w:val="22"/>
          <w:szCs w:val="22"/>
        </w:rPr>
      </w:pPr>
    </w:p>
    <w:p w:rsidR="006F0D9F" w:rsidRPr="00756029" w:rsidP="0060325C" w14:paraId="18E26A0B" w14:textId="77777777">
      <w:pPr>
        <w:keepNext/>
        <w:keepLines/>
        <w:tabs>
          <w:tab w:val="left" w:pos="0"/>
        </w:tabs>
        <w:suppressAutoHyphens/>
        <w:outlineLvl w:val="0"/>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002A4B3D">
        <w:rPr>
          <w:sz w:val="22"/>
          <w:szCs w:val="22"/>
        </w:rPr>
        <w:t>Albert Shuldiner</w:t>
      </w:r>
    </w:p>
    <w:p w:rsidR="006F0D9F" w:rsidRPr="00756029" w:rsidP="0060325C" w14:paraId="410AE091" w14:textId="77777777">
      <w:pPr>
        <w:keepNext/>
        <w:keepLines/>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Chief, Audio Division</w:t>
      </w:r>
    </w:p>
    <w:p w:rsidR="00B644BF" w:rsidP="001634A9" w14:paraId="5955F9D5" w14:textId="7318F9D4">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Media Bureau</w:t>
      </w:r>
    </w:p>
    <w:p w:rsidR="003975D7" w:rsidP="001634A9" w14:paraId="20352132" w14:textId="77777777">
      <w:pPr>
        <w:tabs>
          <w:tab w:val="left" w:pos="0"/>
        </w:tabs>
        <w:suppressAutoHyphens/>
        <w:rPr>
          <w:sz w:val="22"/>
          <w:szCs w:val="22"/>
        </w:rPr>
      </w:pPr>
    </w:p>
    <w:p w:rsidR="003975D7" w:rsidRPr="00756029" w14:paraId="2A233F24" w14:textId="1EA985D2">
      <w:pPr>
        <w:tabs>
          <w:tab w:val="left" w:pos="0"/>
        </w:tabs>
        <w:suppressAutoHyphens/>
        <w:rPr>
          <w:sz w:val="22"/>
          <w:szCs w:val="22"/>
        </w:rPr>
      </w:pPr>
    </w:p>
    <w:sectPr w:rsidSect="006F0D9F">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4A3D32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20A2" w14:paraId="28D65A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2BFB67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8F8">
      <w:rPr>
        <w:rStyle w:val="PageNumber"/>
        <w:noProof/>
      </w:rPr>
      <w:t>2</w:t>
    </w:r>
    <w:r>
      <w:rPr>
        <w:rStyle w:val="PageNumber"/>
      </w:rPr>
      <w:fldChar w:fldCharType="end"/>
    </w:r>
  </w:p>
  <w:p w:rsidR="00C220A2" w14:paraId="66BE1F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04F2" w14:paraId="71784B0C" w14:textId="77777777">
      <w:r>
        <w:separator/>
      </w:r>
    </w:p>
  </w:footnote>
  <w:footnote w:type="continuationSeparator" w:id="1">
    <w:p w:rsidR="009004F2" w14:paraId="795DD5F1" w14:textId="77777777">
      <w:r>
        <w:continuationSeparator/>
      </w:r>
    </w:p>
  </w:footnote>
  <w:footnote w:id="2">
    <w:p w:rsidR="009A0B6D" w:rsidRPr="00254B68" w:rsidP="00254B68" w14:paraId="30100320" w14:textId="414A6E84">
      <w:pPr>
        <w:pStyle w:val="FootnoteText"/>
        <w:spacing w:after="120"/>
      </w:pPr>
      <w:r w:rsidRPr="00254B68">
        <w:rPr>
          <w:rStyle w:val="FootnoteReference"/>
        </w:rPr>
        <w:footnoteRef/>
      </w:r>
      <w:r w:rsidRPr="00254B68">
        <w:t xml:space="preserve"> </w:t>
      </w:r>
      <w:r w:rsidRPr="00254B68">
        <w:rPr>
          <w:i/>
        </w:rPr>
        <w:t>S</w:t>
      </w:r>
      <w:r w:rsidRPr="00254B68" w:rsidR="00860DCC">
        <w:rPr>
          <w:i/>
        </w:rPr>
        <w:t>helby</w:t>
      </w:r>
      <w:r w:rsidRPr="00254B68">
        <w:rPr>
          <w:i/>
        </w:rPr>
        <w:t xml:space="preserve"> Broadcasting</w:t>
      </w:r>
      <w:r w:rsidRPr="00254B68" w:rsidR="00860DCC">
        <w:t xml:space="preserve"> </w:t>
      </w:r>
      <w:r w:rsidRPr="00254B68" w:rsidR="00860DCC">
        <w:rPr>
          <w:i/>
        </w:rPr>
        <w:t>Associates, LLC</w:t>
      </w:r>
      <w:r w:rsidRPr="00254B68">
        <w:t>, Letter Order, Ref</w:t>
      </w:r>
      <w:r w:rsidR="00B258A6">
        <w:t>.</w:t>
      </w:r>
      <w:r w:rsidRPr="00254B68">
        <w:t xml:space="preserve"> 1800B3-</w:t>
      </w:r>
      <w:r w:rsidRPr="00254B68" w:rsidR="00860DCC">
        <w:t>VM</w:t>
      </w:r>
      <w:r w:rsidRPr="00254B68">
        <w:t xml:space="preserve"> (MB </w:t>
      </w:r>
      <w:r w:rsidRPr="00254B68" w:rsidR="00860DCC">
        <w:t>Nov</w:t>
      </w:r>
      <w:r w:rsidRPr="00254B68">
        <w:t>. 2</w:t>
      </w:r>
      <w:r w:rsidRPr="00254B68" w:rsidR="00860DCC">
        <w:t>9</w:t>
      </w:r>
      <w:r w:rsidRPr="00254B68">
        <w:t>, 2018)</w:t>
      </w:r>
      <w:r w:rsidRPr="00254B68" w:rsidR="00A67176">
        <w:t xml:space="preserve"> </w:t>
      </w:r>
      <w:r w:rsidRPr="00254B68" w:rsidR="00CA12E1">
        <w:t>(</w:t>
      </w:r>
      <w:r w:rsidRPr="00254B68" w:rsidR="00CA12E1">
        <w:rPr>
          <w:i/>
        </w:rPr>
        <w:t>Letter Order</w:t>
      </w:r>
      <w:r w:rsidRPr="00254B68" w:rsidR="00A03DA2">
        <w:t xml:space="preserve">). </w:t>
      </w:r>
    </w:p>
  </w:footnote>
  <w:footnote w:id="3">
    <w:p w:rsidR="00D93E26" w:rsidRPr="00EB5C1A" w:rsidP="00254B68" w14:paraId="78E61C03" w14:textId="28C161E7">
      <w:pPr>
        <w:pStyle w:val="FootnoteText"/>
        <w:spacing w:after="120"/>
      </w:pPr>
      <w:r w:rsidRPr="00254B68">
        <w:rPr>
          <w:rStyle w:val="FootnoteReference"/>
        </w:rPr>
        <w:footnoteRef/>
      </w:r>
      <w:r w:rsidRPr="00254B68">
        <w:t xml:space="preserve"> File Nos. BSTA-20180702AAH (</w:t>
      </w:r>
      <w:r w:rsidRPr="00254B68" w:rsidR="00431A45">
        <w:t xml:space="preserve">July </w:t>
      </w:r>
      <w:r w:rsidRPr="003C3780" w:rsidR="00431A45">
        <w:t>2, 2018</w:t>
      </w:r>
      <w:r w:rsidRPr="003C3780" w:rsidR="007344B7">
        <w:t xml:space="preserve"> </w:t>
      </w:r>
      <w:r w:rsidRPr="00FB31F4">
        <w:t>STA Request) and BLSTA-20180710AAR (</w:t>
      </w:r>
      <w:r w:rsidRPr="00EB5C1A" w:rsidR="00431A45">
        <w:t>July 10, 2018</w:t>
      </w:r>
      <w:r w:rsidRPr="00EB5C1A">
        <w:t xml:space="preserve"> STA Request)</w:t>
      </w:r>
      <w:r w:rsidRPr="00EB5C1A" w:rsidR="00DE26B3">
        <w:t>.</w:t>
      </w:r>
    </w:p>
  </w:footnote>
  <w:footnote w:id="4">
    <w:p w:rsidR="00D93E26" w:rsidRPr="00254B68" w:rsidP="003C3780" w14:paraId="46FF0E67" w14:textId="0932A9AF">
      <w:pPr>
        <w:pStyle w:val="FootnoteText"/>
        <w:spacing w:after="120"/>
      </w:pPr>
      <w:r w:rsidRPr="00254B68">
        <w:rPr>
          <w:rStyle w:val="FootnoteReference"/>
        </w:rPr>
        <w:footnoteRef/>
      </w:r>
      <w:r w:rsidRPr="00254B68">
        <w:t xml:space="preserve"> </w:t>
      </w:r>
      <w:r w:rsidRPr="00254B68" w:rsidR="009F7779">
        <w:t>File No. BLSTA-20170710ABP, granted on Aug. 3, 2017.</w:t>
      </w:r>
    </w:p>
  </w:footnote>
  <w:footnote w:id="5">
    <w:p w:rsidR="006859F7" w:rsidRPr="00254B68" w:rsidP="003C3780" w14:paraId="4E875DF3" w14:textId="2A142D32">
      <w:pPr>
        <w:pStyle w:val="FootnoteText"/>
        <w:spacing w:after="120"/>
      </w:pPr>
      <w:r w:rsidRPr="00254B68">
        <w:rPr>
          <w:rStyle w:val="FootnoteReference"/>
        </w:rPr>
        <w:footnoteRef/>
      </w:r>
      <w:r w:rsidRPr="00254B68" w:rsidR="00042C38">
        <w:t xml:space="preserve"> </w:t>
      </w:r>
      <w:r w:rsidRPr="00254B68" w:rsidR="00042C38">
        <w:rPr>
          <w:i/>
        </w:rPr>
        <w:t>Letter from Lisa Scanlan, Deputy Chief, Audio Division, Media Bureau to Mr. Lee S. Reynolds</w:t>
      </w:r>
      <w:r w:rsidRPr="00254B68" w:rsidR="00042C38">
        <w:t>, Ref. 1800B3-KC (Aug.</w:t>
      </w:r>
      <w:r w:rsidRPr="003C3780" w:rsidR="002A7354">
        <w:t xml:space="preserve"> </w:t>
      </w:r>
      <w:r w:rsidRPr="003C3780" w:rsidR="00042C38">
        <w:t>3, 2017)</w:t>
      </w:r>
      <w:r w:rsidRPr="00FB31F4" w:rsidR="00697692">
        <w:t xml:space="preserve"> (</w:t>
      </w:r>
      <w:r w:rsidRPr="00EB5C1A" w:rsidR="00697692">
        <w:t>citing 47 U.S.C.  312(g)</w:t>
      </w:r>
      <w:r w:rsidRPr="00EB5C1A" w:rsidR="00254B68">
        <w:t xml:space="preserve"> (</w:t>
      </w:r>
      <w:r w:rsidRPr="00B258A6" w:rsidR="00254B68">
        <w:rPr>
          <w:color w:val="000000"/>
        </w:rPr>
        <w:t>“[i]f a broadcasting station fails to transmit broadcast signals for any consecutive 12-month period, then the station license granted for the operation of that broadcast station expires at the end of that period . . .</w:t>
      </w:r>
      <w:r w:rsidR="00B258A6">
        <w:rPr>
          <w:color w:val="000000"/>
        </w:rPr>
        <w:t>, except that the Commission may extend or reinstate such station license . . . to promote equity and fairness</w:t>
      </w:r>
      <w:r w:rsidRPr="00B258A6" w:rsidR="00254B68">
        <w:rPr>
          <w:color w:val="000000"/>
        </w:rPr>
        <w:t>”)</w:t>
      </w:r>
      <w:r w:rsidRPr="00254B68" w:rsidR="00697692">
        <w:t>)</w:t>
      </w:r>
      <w:r w:rsidRPr="00254B68" w:rsidR="00042C38">
        <w:t>.</w:t>
      </w:r>
    </w:p>
  </w:footnote>
  <w:footnote w:id="6">
    <w:p w:rsidR="00B754A0" w:rsidRPr="00EB5C1A" w:rsidP="00FB31F4" w14:paraId="4D3B4403" w14:textId="600AF739">
      <w:pPr>
        <w:pStyle w:val="FootnoteText"/>
        <w:spacing w:after="120"/>
        <w:rPr>
          <w:i/>
        </w:rPr>
      </w:pPr>
      <w:r w:rsidRPr="00254B68">
        <w:rPr>
          <w:rStyle w:val="FootnoteReference"/>
        </w:rPr>
        <w:footnoteRef/>
      </w:r>
      <w:r w:rsidRPr="00254B68" w:rsidR="00CC6178">
        <w:t xml:space="preserve"> File No. BLESTA-20180129AIO, granted on Feb. 16, 2018</w:t>
      </w:r>
      <w:r w:rsidRPr="00254B68" w:rsidR="00697692">
        <w:t xml:space="preserve">; </w:t>
      </w:r>
      <w:r w:rsidRPr="003C3780" w:rsidR="00697692">
        <w:rPr>
          <w:i/>
        </w:rPr>
        <w:t>Letter from Lisa Scanlan, Deputy Chief, Audio Division, Media Bureau to Mr. Lee S. Reynolds</w:t>
      </w:r>
      <w:r w:rsidRPr="003C3780" w:rsidR="00697692">
        <w:t>, Ref. 1800B3-</w:t>
      </w:r>
      <w:r w:rsidRPr="00FB31F4" w:rsidR="00697692">
        <w:t>DW</w:t>
      </w:r>
      <w:r w:rsidRPr="00EB5C1A" w:rsidR="00697692">
        <w:t xml:space="preserve"> (Feb. 16, 2018) (citing 47 U.S.C.  312(g)).</w:t>
      </w:r>
    </w:p>
  </w:footnote>
  <w:footnote w:id="7">
    <w:p w:rsidR="00F07028" w:rsidRPr="00254B68" w:rsidP="00EB5C1A" w14:paraId="3D6FF0E9" w14:textId="090177F8">
      <w:pPr>
        <w:pStyle w:val="FootnoteText"/>
        <w:spacing w:after="120"/>
      </w:pPr>
      <w:r w:rsidRPr="00254B68">
        <w:rPr>
          <w:rStyle w:val="FootnoteReference"/>
        </w:rPr>
        <w:footnoteRef/>
      </w:r>
      <w:r w:rsidRPr="00254B68" w:rsidR="006E76E1">
        <w:t xml:space="preserve"> File No. BSTA-20180611ABA</w:t>
      </w:r>
      <w:r w:rsidRPr="00254B68" w:rsidR="005A597F">
        <w:t xml:space="preserve"> (June 2018 STA Request)</w:t>
      </w:r>
      <w:r w:rsidRPr="00254B68" w:rsidR="006E76E1">
        <w:t>.</w:t>
      </w:r>
    </w:p>
  </w:footnote>
  <w:footnote w:id="8">
    <w:p w:rsidR="00BA2E21" w:rsidRPr="003C3780" w:rsidP="008A61E4" w14:paraId="752BE964" w14:textId="73D71B7A">
      <w:pPr>
        <w:pStyle w:val="FootnoteText"/>
        <w:spacing w:after="120"/>
      </w:pPr>
      <w:r w:rsidRPr="00254B68">
        <w:rPr>
          <w:rStyle w:val="FootnoteReference"/>
        </w:rPr>
        <w:footnoteRef/>
      </w:r>
      <w:r w:rsidRPr="00254B68">
        <w:t xml:space="preserve"> </w:t>
      </w:r>
      <w:r w:rsidRPr="00254B68" w:rsidR="00431A45">
        <w:t>July 2, 2018</w:t>
      </w:r>
      <w:r w:rsidRPr="00254B68" w:rsidR="005A79DE">
        <w:t xml:space="preserve"> </w:t>
      </w:r>
      <w:r w:rsidRPr="00963478" w:rsidR="005A79DE">
        <w:t>STA Request.</w:t>
      </w:r>
    </w:p>
  </w:footnote>
  <w:footnote w:id="9">
    <w:p w:rsidR="00B40681" w:rsidRPr="00254B68" w:rsidP="008A61E4" w14:paraId="1985CE2C" w14:textId="7F7A164E">
      <w:pPr>
        <w:pStyle w:val="FootnoteText"/>
        <w:spacing w:after="120"/>
      </w:pPr>
      <w:r w:rsidRPr="00254B68">
        <w:rPr>
          <w:rStyle w:val="FootnoteReference"/>
        </w:rPr>
        <w:footnoteRef/>
      </w:r>
      <w:r w:rsidRPr="00254B68">
        <w:t xml:space="preserve"> </w:t>
      </w:r>
      <w:r w:rsidRPr="00254B68">
        <w:rPr>
          <w:i/>
        </w:rPr>
        <w:t>Id.</w:t>
      </w:r>
    </w:p>
  </w:footnote>
  <w:footnote w:id="10">
    <w:p w:rsidR="00175A7B" w:rsidRPr="00254B68" w:rsidP="008A61E4" w14:paraId="19F53B5D" w14:textId="7930092A">
      <w:pPr>
        <w:pStyle w:val="FootnoteText"/>
        <w:spacing w:after="120"/>
      </w:pPr>
      <w:r w:rsidRPr="00254B68">
        <w:rPr>
          <w:rStyle w:val="FootnoteReference"/>
        </w:rPr>
        <w:footnoteRef/>
      </w:r>
      <w:r w:rsidRPr="00254B68">
        <w:t xml:space="preserve"> </w:t>
      </w:r>
      <w:r w:rsidRPr="00D02B4D" w:rsidR="00D02B4D">
        <w:t xml:space="preserve"> </w:t>
      </w:r>
      <w:r w:rsidRPr="00673209" w:rsidR="00D02B4D">
        <w:t xml:space="preserve">Letter of Inquiry from </w:t>
      </w:r>
      <w:bookmarkStart w:id="3" w:name="_Hlk13488128"/>
      <w:r w:rsidRPr="00673209" w:rsidR="00D02B4D">
        <w:t>Albert Shuldiner, Chief, Audio Division, Media Bureau</w:t>
      </w:r>
      <w:bookmarkEnd w:id="3"/>
      <w:r w:rsidRPr="00673209" w:rsidR="00D02B4D">
        <w:t>, to Mr. Lee S. Reynolds (Aug. 2, 2018).</w:t>
      </w:r>
    </w:p>
  </w:footnote>
  <w:footnote w:id="11">
    <w:p w:rsidR="007D2AD9" w:rsidRPr="00EB5C1A" w:rsidP="00254B68" w14:paraId="2354AF0A" w14:textId="47BE03BD">
      <w:pPr>
        <w:pStyle w:val="FootnoteText"/>
        <w:spacing w:after="120"/>
      </w:pPr>
      <w:r w:rsidRPr="00254B68">
        <w:rPr>
          <w:rStyle w:val="FootnoteReference"/>
        </w:rPr>
        <w:footnoteRef/>
      </w:r>
      <w:r w:rsidRPr="00254B68">
        <w:t xml:space="preserve"> </w:t>
      </w:r>
      <w:r w:rsidRPr="00D02B4D" w:rsidR="00D02B4D">
        <w:t xml:space="preserve"> </w:t>
      </w:r>
      <w:r w:rsidRPr="00363692" w:rsidR="00D02B4D">
        <w:t>Letter of Inquiry Response, from Shelby Broadcast Associates LLC, to Albert Shuldiner, Chief, Audio Division, Media Bureau, at 11 (Sep. 7, 2018)</w:t>
      </w:r>
      <w:r w:rsidR="00D02B4D">
        <w:t>.</w:t>
      </w:r>
    </w:p>
  </w:footnote>
  <w:footnote w:id="12">
    <w:p w:rsidR="00431A45" w:rsidRPr="00254B68" w:rsidP="008A61E4" w14:paraId="07AABB8C" w14:textId="5FA28442">
      <w:pPr>
        <w:pStyle w:val="FootnoteText"/>
        <w:spacing w:after="120"/>
      </w:pPr>
      <w:r w:rsidRPr="00254B68">
        <w:rPr>
          <w:rStyle w:val="FootnoteReference"/>
        </w:rPr>
        <w:footnoteRef/>
      </w:r>
      <w:r w:rsidRPr="00254B68">
        <w:t xml:space="preserve"> </w:t>
      </w:r>
      <w:r w:rsidRPr="00254B68">
        <w:rPr>
          <w:i/>
        </w:rPr>
        <w:t>Id</w:t>
      </w:r>
      <w:r w:rsidRPr="00254B68">
        <w:t>.</w:t>
      </w:r>
    </w:p>
  </w:footnote>
  <w:footnote w:id="13">
    <w:p w:rsidR="00141C62" w:rsidRPr="003C3780" w:rsidP="00254B68" w14:paraId="0757EEA0" w14:textId="6330D213">
      <w:pPr>
        <w:pStyle w:val="FootnoteText"/>
        <w:spacing w:after="120"/>
      </w:pPr>
      <w:r w:rsidRPr="00254B68">
        <w:rPr>
          <w:rStyle w:val="FootnoteReference"/>
        </w:rPr>
        <w:footnoteRef/>
      </w:r>
      <w:r w:rsidRPr="00254B68">
        <w:t xml:space="preserve"> </w:t>
      </w:r>
      <w:r w:rsidRPr="00254B68" w:rsidR="005A597F">
        <w:rPr>
          <w:i/>
        </w:rPr>
        <w:t>Letter Order</w:t>
      </w:r>
      <w:r w:rsidRPr="00254B68" w:rsidR="005A597F">
        <w:t xml:space="preserve"> at </w:t>
      </w:r>
      <w:r w:rsidR="00D02B4D">
        <w:t>2,</w:t>
      </w:r>
      <w:r w:rsidRPr="00254B68" w:rsidR="005A597F">
        <w:t xml:space="preserve"> (citing </w:t>
      </w:r>
      <w:r w:rsidRPr="00254B68">
        <w:t>47 U.S.C. § 312</w:t>
      </w:r>
      <w:r w:rsidRPr="00254B68" w:rsidR="005A597F">
        <w:t>)</w:t>
      </w:r>
      <w:r w:rsidRPr="00963478">
        <w:t>.</w:t>
      </w:r>
    </w:p>
  </w:footnote>
  <w:footnote w:id="14">
    <w:p w:rsidR="005B130A" w:rsidRPr="003C3780" w:rsidP="00254B68" w14:paraId="27AA672C" w14:textId="6256AC46">
      <w:pPr>
        <w:pStyle w:val="FootnoteText"/>
        <w:spacing w:after="120"/>
      </w:pPr>
      <w:r w:rsidRPr="00254B68">
        <w:rPr>
          <w:rStyle w:val="FootnoteReference"/>
        </w:rPr>
        <w:footnoteRef/>
      </w:r>
      <w:r w:rsidRPr="00254B68">
        <w:t xml:space="preserve"> </w:t>
      </w:r>
      <w:r w:rsidR="00D02B4D">
        <w:rPr>
          <w:i/>
        </w:rPr>
        <w:t>Id.</w:t>
      </w:r>
      <w:r w:rsidRPr="00254B68" w:rsidR="00177610">
        <w:rPr>
          <w:i/>
        </w:rPr>
        <w:t xml:space="preserve"> </w:t>
      </w:r>
      <w:r w:rsidRPr="00254B68" w:rsidR="00177610">
        <w:t xml:space="preserve">at </w:t>
      </w:r>
      <w:r w:rsidR="00D02B4D">
        <w:t>3</w:t>
      </w:r>
      <w:r w:rsidRPr="00254B68" w:rsidR="00177610">
        <w:t xml:space="preserve"> (citing </w:t>
      </w:r>
      <w:r w:rsidRPr="00254B68" w:rsidR="00141C62">
        <w:t xml:space="preserve">47 U.S.C. § </w:t>
      </w:r>
      <w:r w:rsidRPr="00254B68">
        <w:t>301</w:t>
      </w:r>
      <w:r w:rsidRPr="00963478" w:rsidR="00177610">
        <w:t>)</w:t>
      </w:r>
      <w:r w:rsidRPr="003C3780" w:rsidR="00141C62">
        <w:t>.</w:t>
      </w:r>
    </w:p>
  </w:footnote>
  <w:footnote w:id="15">
    <w:p w:rsidR="00177610" w:rsidRPr="00254B68" w:rsidP="008A61E4" w14:paraId="4BB404AA" w14:textId="784E08D8">
      <w:pPr>
        <w:pStyle w:val="FootnoteText"/>
        <w:spacing w:after="120"/>
      </w:pPr>
      <w:r w:rsidRPr="00254B68">
        <w:rPr>
          <w:rStyle w:val="FootnoteReference"/>
        </w:rPr>
        <w:footnoteRef/>
      </w:r>
      <w:r w:rsidRPr="00254B68">
        <w:t xml:space="preserve"> </w:t>
      </w:r>
      <w:r w:rsidR="00D02B4D">
        <w:rPr>
          <w:i/>
        </w:rPr>
        <w:t>Id.</w:t>
      </w:r>
      <w:r w:rsidRPr="00254B68">
        <w:rPr>
          <w:i/>
        </w:rPr>
        <w:t xml:space="preserve"> </w:t>
      </w:r>
      <w:r w:rsidRPr="00254B68">
        <w:t xml:space="preserve">at </w:t>
      </w:r>
      <w:r w:rsidR="00D02B4D">
        <w:t>3</w:t>
      </w:r>
      <w:r w:rsidRPr="00254B68">
        <w:t xml:space="preserve"> (citing </w:t>
      </w:r>
      <w:r w:rsidRPr="00A71DA8" w:rsidR="00D02B4D">
        <w:rPr>
          <w:i/>
        </w:rPr>
        <w:t>V.I. Stereo Commc’ns Corp.</w:t>
      </w:r>
      <w:r w:rsidRPr="00A71DA8" w:rsidR="00D02B4D">
        <w:t xml:space="preserve">, Memorandum Opinion and Order, 21 FCC Rcd 14259 (2006) (reinstatement warranted where station’s silence resulted from hurricane destruction); </w:t>
      </w:r>
      <w:r w:rsidRPr="00A71DA8" w:rsidR="00D02B4D">
        <w:rPr>
          <w:i/>
        </w:rPr>
        <w:t>Community Bible Church</w:t>
      </w:r>
      <w:r w:rsidRPr="00A71DA8" w:rsidR="00D02B4D">
        <w:t xml:space="preserve">, Letter Order, 23 FCC Rcd 15012, 15014 (MB 2008)(reinstatement warranted where licensee took all steps needed to return to air, but remained off air to promote air safety after discovering and reporting that FCC and FAA records contained incorrect tower information); </w:t>
      </w:r>
      <w:r w:rsidRPr="00A71DA8" w:rsidR="00D02B4D">
        <w:rPr>
          <w:i/>
        </w:rPr>
        <w:t>Mark Chapman, Court-Appointed Agent</w:t>
      </w:r>
      <w:r w:rsidRPr="00A71DA8" w:rsidR="00D02B4D">
        <w:t>, Letter Order, 22 FCC Rcd 6578 (MB 2007) (reinstatement warranted where extended silence resulted from licensee’s compliance with a court order</w:t>
      </w:r>
      <w:r w:rsidRPr="00254B68">
        <w:t>)</w:t>
      </w:r>
      <w:r w:rsidR="00D02B4D">
        <w:t>).</w:t>
      </w:r>
    </w:p>
  </w:footnote>
  <w:footnote w:id="16">
    <w:p w:rsidR="00C816EA" w:rsidRPr="008A61E4" w:rsidP="008A61E4" w14:paraId="2F147749" w14:textId="64B6324A">
      <w:pPr>
        <w:pStyle w:val="FootnoteText"/>
        <w:spacing w:after="120"/>
        <w:rPr>
          <w:i/>
        </w:rPr>
      </w:pPr>
      <w:r w:rsidRPr="00254B68">
        <w:rPr>
          <w:rStyle w:val="FootnoteReference"/>
        </w:rPr>
        <w:footnoteRef/>
      </w:r>
      <w:r w:rsidRPr="00254B68">
        <w:t xml:space="preserve"> </w:t>
      </w:r>
      <w:r w:rsidRPr="00254B68">
        <w:rPr>
          <w:i/>
        </w:rPr>
        <w:t xml:space="preserve">Letter Order </w:t>
      </w:r>
      <w:r w:rsidRPr="00963478">
        <w:t xml:space="preserve">at </w:t>
      </w:r>
      <w:r w:rsidRPr="003C3780">
        <w:t xml:space="preserve">3; </w:t>
      </w:r>
      <w:r w:rsidRPr="003C3780">
        <w:rPr>
          <w:i/>
        </w:rPr>
        <w:t xml:space="preserve">see also </w:t>
      </w:r>
      <w:r w:rsidRPr="00FB31F4">
        <w:t xml:space="preserve">47 CFR § </w:t>
      </w:r>
      <w:r w:rsidRPr="00EB5C1A">
        <w:t xml:space="preserve">73.1690(b)(2) </w:t>
      </w:r>
      <w:r w:rsidRPr="00EB5C1A" w:rsidR="00CF349B">
        <w:t>(</w:t>
      </w:r>
      <w:r w:rsidRPr="008A61E4" w:rsidR="00CF349B">
        <w:t xml:space="preserve">construction permit required for changes in a </w:t>
      </w:r>
      <w:r w:rsidR="008A61E4">
        <w:t xml:space="preserve">full-service FM </w:t>
      </w:r>
      <w:r w:rsidRPr="008A61E4" w:rsidR="00CF349B">
        <w:t xml:space="preserve">station’s coordinates beyond </w:t>
      </w:r>
      <w:r w:rsidR="008A61E4">
        <w:t>three</w:t>
      </w:r>
      <w:r w:rsidRPr="008A61E4" w:rsidR="00CF349B">
        <w:t xml:space="preserve"> seconds latitude or longitude</w:t>
      </w:r>
      <w:r w:rsidR="008A61E4">
        <w:t>).</w:t>
      </w:r>
    </w:p>
  </w:footnote>
  <w:footnote w:id="17">
    <w:p w:rsidR="00175A7B" w:rsidRPr="00EB5C1A" w:rsidP="008A61E4" w14:paraId="0E1076B3" w14:textId="44E3730E">
      <w:pPr>
        <w:pStyle w:val="FootnoteText"/>
        <w:spacing w:after="120"/>
      </w:pPr>
      <w:r w:rsidRPr="00254B68">
        <w:rPr>
          <w:rStyle w:val="FootnoteReference"/>
        </w:rPr>
        <w:footnoteRef/>
      </w:r>
      <w:r w:rsidRPr="00254B68">
        <w:t xml:space="preserve"> </w:t>
      </w:r>
      <w:r w:rsidRPr="00254B68" w:rsidR="00177610">
        <w:rPr>
          <w:i/>
        </w:rPr>
        <w:t xml:space="preserve">Letter Order </w:t>
      </w:r>
      <w:r w:rsidRPr="00254B68" w:rsidR="00177610">
        <w:t xml:space="preserve">at </w:t>
      </w:r>
      <w:r w:rsidR="0041346F">
        <w:t xml:space="preserve">3 </w:t>
      </w:r>
      <w:r w:rsidRPr="00D04AB0" w:rsidR="0041346F">
        <w:t xml:space="preserve">(citing </w:t>
      </w:r>
      <w:r w:rsidRPr="00D04AB0" w:rsidR="0041346F">
        <w:rPr>
          <w:i/>
        </w:rPr>
        <w:t>Daniel A. Edelman, Esq.</w:t>
      </w:r>
      <w:r w:rsidRPr="00D04AB0" w:rsidR="0041346F">
        <w:t xml:space="preserve">, Memorandum Opinion and Order, 19 FCC Rcd 12741, 12742-3, para. 5 (2004); </w:t>
      </w:r>
      <w:r w:rsidRPr="00D04AB0" w:rsidR="0041346F">
        <w:rPr>
          <w:i/>
        </w:rPr>
        <w:t>FCC v. WOKO, Inc.</w:t>
      </w:r>
      <w:r w:rsidRPr="00D04AB0" w:rsidR="0041346F">
        <w:t>, 329 U.S. 323, 329 (1946) (counterbalancing considerations of public interest in the service involved might justify award despite misbehavior).</w:t>
      </w:r>
    </w:p>
  </w:footnote>
  <w:footnote w:id="18">
    <w:p w:rsidR="00177610" w:rsidRPr="00EB5C1A" w:rsidP="008A61E4" w14:paraId="1DBF6119" w14:textId="0EB4ADB8">
      <w:pPr>
        <w:pStyle w:val="FootnoteText"/>
        <w:spacing w:after="120"/>
      </w:pPr>
      <w:r w:rsidRPr="00254B68">
        <w:rPr>
          <w:rStyle w:val="FootnoteReference"/>
        </w:rPr>
        <w:footnoteRef/>
      </w:r>
      <w:r w:rsidRPr="00254B68">
        <w:t xml:space="preserve"> </w:t>
      </w:r>
      <w:r w:rsidR="0041346F">
        <w:rPr>
          <w:i/>
        </w:rPr>
        <w:t>Letter Order</w:t>
      </w:r>
      <w:r w:rsidRPr="00254B68">
        <w:rPr>
          <w:i/>
        </w:rPr>
        <w:t xml:space="preserve"> </w:t>
      </w:r>
      <w:r w:rsidRPr="00254B68">
        <w:t xml:space="preserve">at </w:t>
      </w:r>
      <w:r w:rsidR="0041346F">
        <w:t>3.</w:t>
      </w:r>
    </w:p>
  </w:footnote>
  <w:footnote w:id="19">
    <w:p w:rsidR="00177610" w:rsidRPr="00254B68" w:rsidP="008A61E4" w14:paraId="55DF4616" w14:textId="44792DA1">
      <w:pPr>
        <w:pStyle w:val="FootnoteText"/>
        <w:spacing w:after="120"/>
      </w:pPr>
      <w:r w:rsidRPr="00254B68">
        <w:rPr>
          <w:rStyle w:val="FootnoteReference"/>
        </w:rPr>
        <w:footnoteRef/>
      </w:r>
      <w:r w:rsidRPr="00254B68">
        <w:t xml:space="preserve"> Petition at </w:t>
      </w:r>
      <w:r w:rsidR="0041346F">
        <w:t>2</w:t>
      </w:r>
      <w:r w:rsidRPr="00254B68">
        <w:t>.</w:t>
      </w:r>
    </w:p>
  </w:footnote>
  <w:footnote w:id="20">
    <w:p w:rsidR="00177610" w:rsidRPr="00963478" w:rsidP="008A61E4" w14:paraId="043F1B2A" w14:textId="54861733">
      <w:pPr>
        <w:pStyle w:val="FootnoteText"/>
        <w:spacing w:after="120"/>
      </w:pPr>
      <w:r w:rsidRPr="00254B68">
        <w:rPr>
          <w:rStyle w:val="FootnoteReference"/>
        </w:rPr>
        <w:footnoteRef/>
      </w:r>
      <w:r w:rsidRPr="00254B68">
        <w:t xml:space="preserve"> </w:t>
      </w:r>
      <w:r w:rsidRPr="0041346F" w:rsidR="0041346F">
        <w:rPr>
          <w:i/>
        </w:rPr>
        <w:t>Id.</w:t>
      </w:r>
      <w:r w:rsidRPr="0041346F" w:rsidR="0041346F">
        <w:t xml:space="preserve"> at 3.</w:t>
      </w:r>
    </w:p>
  </w:footnote>
  <w:footnote w:id="21">
    <w:p w:rsidR="00177610" w:rsidRPr="00963478" w:rsidP="008A61E4" w14:paraId="2098DCBB" w14:textId="716CDD75">
      <w:pPr>
        <w:pStyle w:val="FootnoteText"/>
        <w:spacing w:after="120"/>
      </w:pPr>
      <w:r w:rsidRPr="00254B68">
        <w:rPr>
          <w:rStyle w:val="FootnoteReference"/>
        </w:rPr>
        <w:footnoteRef/>
      </w:r>
      <w:r w:rsidRPr="00254B68">
        <w:t xml:space="preserve"> </w:t>
      </w:r>
      <w:r w:rsidRPr="0041346F" w:rsidR="0041346F">
        <w:rPr>
          <w:i/>
        </w:rPr>
        <w:t>Id.</w:t>
      </w:r>
    </w:p>
  </w:footnote>
  <w:footnote w:id="22">
    <w:p w:rsidR="00067281" w:rsidRPr="00254B68" w:rsidP="00254B68" w14:paraId="503CB815" w14:textId="77777777">
      <w:pPr>
        <w:pStyle w:val="FootnoteText"/>
        <w:spacing w:after="120"/>
      </w:pPr>
      <w:r w:rsidRPr="00254B68">
        <w:rPr>
          <w:rStyle w:val="FootnoteReference"/>
        </w:rPr>
        <w:footnoteRef/>
      </w:r>
      <w:r w:rsidRPr="00254B68">
        <w:t xml:space="preserve"> Petition at 4.</w:t>
      </w:r>
    </w:p>
  </w:footnote>
  <w:footnote w:id="23">
    <w:p w:rsidR="00067281" w:rsidRPr="00963478" w:rsidP="00254B68" w14:paraId="446EEA93" w14:textId="77777777">
      <w:pPr>
        <w:pStyle w:val="FootnoteText"/>
        <w:spacing w:after="120"/>
      </w:pPr>
      <w:r w:rsidRPr="00254B68">
        <w:rPr>
          <w:rStyle w:val="FootnoteReference"/>
        </w:rPr>
        <w:footnoteRef/>
      </w:r>
      <w:r w:rsidRPr="00254B68">
        <w:t xml:space="preserve"> </w:t>
      </w:r>
      <w:r w:rsidRPr="00254B68">
        <w:rPr>
          <w:i/>
        </w:rPr>
        <w:t>Letter Order</w:t>
      </w:r>
      <w:r w:rsidRPr="00254B68">
        <w:t xml:space="preserve"> at 2.</w:t>
      </w:r>
    </w:p>
  </w:footnote>
  <w:footnote w:id="24">
    <w:p w:rsidR="00067281" w:rsidRPr="00254B68" w:rsidP="00963478" w14:paraId="6E29E749" w14:textId="77777777">
      <w:pPr>
        <w:pStyle w:val="FootnoteText"/>
        <w:spacing w:after="120"/>
      </w:pPr>
      <w:r w:rsidRPr="00254B68">
        <w:rPr>
          <w:rStyle w:val="FootnoteReference"/>
        </w:rPr>
        <w:footnoteRef/>
      </w:r>
      <w:r w:rsidRPr="00254B68">
        <w:t xml:space="preserve"> Petition at 4.</w:t>
      </w:r>
    </w:p>
  </w:footnote>
  <w:footnote w:id="25">
    <w:p w:rsidR="00067281" w:rsidRPr="00963478" w:rsidP="00963478" w14:paraId="589ACC36" w14:textId="77777777">
      <w:pPr>
        <w:pStyle w:val="FootnoteText"/>
        <w:spacing w:after="120"/>
      </w:pPr>
      <w:r w:rsidRPr="00254B68">
        <w:rPr>
          <w:rStyle w:val="FootnoteReference"/>
        </w:rPr>
        <w:footnoteRef/>
      </w:r>
      <w:r w:rsidRPr="00254B68">
        <w:t xml:space="preserve"> </w:t>
      </w:r>
      <w:r w:rsidRPr="00254B68">
        <w:rPr>
          <w:i/>
        </w:rPr>
        <w:t>Letter Order</w:t>
      </w:r>
      <w:r w:rsidRPr="00254B68">
        <w:t xml:space="preserve"> at 1-2.</w:t>
      </w:r>
    </w:p>
  </w:footnote>
  <w:footnote w:id="26">
    <w:p w:rsidR="00CF349B" w:rsidRPr="00963478" w:rsidP="0041346F" w14:paraId="7DBBEF7F" w14:textId="7878CA53">
      <w:pPr>
        <w:pStyle w:val="FootnoteText"/>
        <w:spacing w:after="120"/>
      </w:pPr>
      <w:r w:rsidRPr="00254B68">
        <w:rPr>
          <w:rStyle w:val="FootnoteReference"/>
        </w:rPr>
        <w:footnoteRef/>
      </w:r>
      <w:r w:rsidRPr="00254B68">
        <w:t xml:space="preserve"> Petition at </w:t>
      </w:r>
      <w:r w:rsidR="0041346F">
        <w:t>6</w:t>
      </w:r>
      <w:r w:rsidRPr="00963478">
        <w:t>.</w:t>
      </w:r>
    </w:p>
  </w:footnote>
  <w:footnote w:id="27">
    <w:p w:rsidR="005F1756" w:rsidRPr="00254B68" w:rsidP="00254B68" w14:paraId="23466ED4" w14:textId="4CF6BB47">
      <w:pPr>
        <w:pStyle w:val="FootnoteText"/>
        <w:spacing w:after="120"/>
      </w:pPr>
      <w:r w:rsidRPr="00254B68">
        <w:rPr>
          <w:rStyle w:val="FootnoteReference"/>
        </w:rPr>
        <w:footnoteRef/>
      </w:r>
      <w:r w:rsidRPr="00254B68">
        <w:t xml:space="preserve"> </w:t>
      </w:r>
      <w:r w:rsidRPr="0041346F" w:rsidR="0041346F">
        <w:rPr>
          <w:i/>
        </w:rPr>
        <w:t>Id.</w:t>
      </w:r>
    </w:p>
  </w:footnote>
  <w:footnote w:id="28">
    <w:p w:rsidR="008D467D" w:rsidRPr="00963478" w:rsidP="00254B68" w14:paraId="7EDC18DA" w14:textId="55B8662F">
      <w:pPr>
        <w:pStyle w:val="FootnoteText"/>
        <w:spacing w:after="120"/>
      </w:pPr>
      <w:r w:rsidRPr="00254B68">
        <w:rPr>
          <w:rStyle w:val="FootnoteReference"/>
        </w:rPr>
        <w:footnoteRef/>
      </w:r>
      <w:r w:rsidRPr="00254B68">
        <w:t xml:space="preserve"> </w:t>
      </w:r>
      <w:r w:rsidRPr="00254B68">
        <w:rPr>
          <w:i/>
        </w:rPr>
        <w:t>Id.</w:t>
      </w:r>
      <w:r w:rsidRPr="00254B68" w:rsidR="001D427B">
        <w:t xml:space="preserve"> at 7.</w:t>
      </w:r>
    </w:p>
  </w:footnote>
  <w:footnote w:id="29">
    <w:p w:rsidR="00CF349B" w:rsidRPr="00963478" w:rsidP="0041346F" w14:paraId="6C5DFE93" w14:textId="46CD5AD1">
      <w:pPr>
        <w:pStyle w:val="FootnoteText"/>
        <w:spacing w:after="120"/>
      </w:pPr>
      <w:r w:rsidRPr="00254B68">
        <w:rPr>
          <w:rStyle w:val="FootnoteReference"/>
        </w:rPr>
        <w:footnoteRef/>
      </w:r>
      <w:r w:rsidRPr="00254B68">
        <w:t xml:space="preserve"> </w:t>
      </w:r>
      <w:r w:rsidRPr="00093554" w:rsidR="00093554">
        <w:rPr>
          <w:i/>
        </w:rPr>
        <w:t>Id.</w:t>
      </w:r>
      <w:r w:rsidR="00093554">
        <w:t xml:space="preserve"> at 8.</w:t>
      </w:r>
    </w:p>
  </w:footnote>
  <w:footnote w:id="30">
    <w:p w:rsidR="00A01858" w:rsidRPr="00963478" w:rsidP="0041346F" w14:paraId="79124136" w14:textId="3B8D9677">
      <w:pPr>
        <w:pStyle w:val="FootnoteText"/>
        <w:spacing w:after="120"/>
      </w:pPr>
      <w:r w:rsidRPr="00254B68">
        <w:rPr>
          <w:rStyle w:val="FootnoteReference"/>
        </w:rPr>
        <w:footnoteRef/>
      </w:r>
      <w:r w:rsidRPr="00254B68">
        <w:t xml:space="preserve"> </w:t>
      </w:r>
      <w:r w:rsidRPr="00093554" w:rsidR="00093554">
        <w:rPr>
          <w:i/>
        </w:rPr>
        <w:t>Id.</w:t>
      </w:r>
    </w:p>
  </w:footnote>
  <w:footnote w:id="31">
    <w:p w:rsidR="006A4932" w:rsidRPr="003C3780" w:rsidP="00254B68" w14:paraId="18AE0BB8" w14:textId="62778184">
      <w:pPr>
        <w:pStyle w:val="FootnoteText"/>
        <w:spacing w:after="120"/>
      </w:pPr>
      <w:r w:rsidRPr="00254B68">
        <w:rPr>
          <w:rStyle w:val="FootnoteReference"/>
        </w:rPr>
        <w:footnoteRef/>
      </w:r>
      <w:r w:rsidRPr="00254B68">
        <w:t xml:space="preserve"> 47 CFR § 1.106(c); </w:t>
      </w:r>
      <w:r w:rsidRPr="00254B68">
        <w:rPr>
          <w:i/>
        </w:rPr>
        <w:t>WWIZ, Inc.</w:t>
      </w:r>
      <w:r w:rsidRPr="00254B68">
        <w:t xml:space="preserve">, Memorandum Opinion and Order, 37 FCC 685, 686, para.  2 (1964), </w:t>
      </w:r>
      <w:r w:rsidRPr="00963478">
        <w:rPr>
          <w:i/>
        </w:rPr>
        <w:t>aff’d sub nom</w:t>
      </w:r>
      <w:r w:rsidRPr="00963478">
        <w:t xml:space="preserve">. </w:t>
      </w:r>
      <w:r w:rsidRPr="00963478">
        <w:rPr>
          <w:i/>
        </w:rPr>
        <w:t>Lorain Journal Co. v. FCC</w:t>
      </w:r>
      <w:r w:rsidRPr="00963478">
        <w:t xml:space="preserve">, 351 F.2d 824 (D.C. Cir. 1965), </w:t>
      </w:r>
      <w:r w:rsidRPr="00963478">
        <w:rPr>
          <w:i/>
        </w:rPr>
        <w:t>cert. denied</w:t>
      </w:r>
      <w:r w:rsidRPr="00963478">
        <w:t>, 397 U.S. 967 (1966);</w:t>
      </w:r>
      <w:r w:rsidRPr="00963478">
        <w:rPr>
          <w:i/>
        </w:rPr>
        <w:t xml:space="preserve"> Davis &amp; Elkins Coll., </w:t>
      </w:r>
      <w:r w:rsidRPr="003C3780">
        <w:t>Memorandum and Order, 26 FCC Rcd 15555, 15556, para. 5 (MB 2011).</w:t>
      </w:r>
    </w:p>
  </w:footnote>
  <w:footnote w:id="32">
    <w:p w:rsidR="00DB161C" w:rsidP="00DB161C" w14:paraId="03B1A13B" w14:textId="5B06B8B3">
      <w:pPr>
        <w:pStyle w:val="FootnoteText"/>
        <w:spacing w:after="120"/>
      </w:pPr>
      <w:r>
        <w:rPr>
          <w:rStyle w:val="FootnoteReference"/>
        </w:rPr>
        <w:footnoteRef/>
      </w:r>
      <w:r>
        <w:t xml:space="preserve"> 47 CFR § 73.1690(b)(2); </w:t>
      </w:r>
      <w:r w:rsidRPr="00DB161C">
        <w:rPr>
          <w:i/>
        </w:rPr>
        <w:t>Letter Order</w:t>
      </w:r>
      <w:r>
        <w:t xml:space="preserve"> at 3.</w:t>
      </w:r>
    </w:p>
  </w:footnote>
  <w:footnote w:id="33">
    <w:p w:rsidR="00DB161C" w:rsidP="00CB1352" w14:paraId="3CCD6103" w14:textId="676B695F">
      <w:pPr>
        <w:pStyle w:val="FootnoteText"/>
        <w:spacing w:after="120"/>
      </w:pPr>
      <w:r>
        <w:rPr>
          <w:rStyle w:val="FootnoteReference"/>
        </w:rPr>
        <w:footnoteRef/>
      </w:r>
      <w:r>
        <w:t xml:space="preserve"> 47 CFR § 73.1690(b)(1).</w:t>
      </w:r>
    </w:p>
  </w:footnote>
  <w:footnote w:id="34">
    <w:p w:rsidR="00E43460" w:rsidP="00093554" w14:paraId="5CD81E39" w14:textId="65205AAB">
      <w:pPr>
        <w:pStyle w:val="FootnoteText"/>
        <w:spacing w:after="120"/>
      </w:pPr>
      <w:r>
        <w:rPr>
          <w:rStyle w:val="FootnoteReference"/>
        </w:rPr>
        <w:footnoteRef/>
      </w:r>
      <w:r>
        <w:t xml:space="preserve"> </w:t>
      </w:r>
      <w:r w:rsidRPr="009E1811" w:rsidR="009E1811">
        <w:rPr>
          <w:i/>
        </w:rPr>
        <w:t>Letter Order</w:t>
      </w:r>
      <w:r w:rsidRPr="009E1811" w:rsidR="009E1811">
        <w:t xml:space="preserve"> at</w:t>
      </w:r>
      <w:r w:rsidR="00FB4B78">
        <w:t xml:space="preserve"> 3.</w:t>
      </w:r>
    </w:p>
  </w:footnote>
  <w:footnote w:id="35">
    <w:p w:rsidR="00DB5B51" w:rsidRPr="00963478" w:rsidP="00FB31F4" w14:paraId="1DA8E1B1" w14:textId="38B00AD9">
      <w:pPr>
        <w:pStyle w:val="FootnoteText"/>
        <w:spacing w:after="120"/>
      </w:pPr>
      <w:r w:rsidRPr="00254B68">
        <w:rPr>
          <w:rStyle w:val="FootnoteReference"/>
        </w:rPr>
        <w:footnoteRef/>
      </w:r>
      <w:r w:rsidRPr="00254B68">
        <w:t xml:space="preserve"> </w:t>
      </w:r>
      <w:r w:rsidR="009E1811">
        <w:rPr>
          <w:i/>
        </w:rPr>
        <w:t>Id</w:t>
      </w:r>
      <w:r w:rsidR="00FB4B78">
        <w:rPr>
          <w:i/>
        </w:rPr>
        <w:t>.</w:t>
      </w:r>
      <w:r w:rsidR="00FB4B78">
        <w:t xml:space="preserve"> at 1-2</w:t>
      </w:r>
      <w:r w:rsidRPr="00963478" w:rsidR="00A03DA2">
        <w:t>.</w:t>
      </w:r>
    </w:p>
  </w:footnote>
  <w:footnote w:id="36">
    <w:p w:rsidR="007859A3" w:rsidRPr="00963478" w:rsidP="00EB5C1A" w14:paraId="51F567F5" w14:textId="65D4A4EF">
      <w:pPr>
        <w:pStyle w:val="FootnoteText"/>
        <w:spacing w:after="120"/>
      </w:pPr>
      <w:r w:rsidRPr="00254B68">
        <w:rPr>
          <w:rStyle w:val="FootnoteReference"/>
        </w:rPr>
        <w:footnoteRef/>
      </w:r>
      <w:r w:rsidRPr="00254B68">
        <w:t xml:space="preserve"> </w:t>
      </w:r>
      <w:r w:rsidRPr="00254B68" w:rsidR="00E12853">
        <w:rPr>
          <w:i/>
        </w:rPr>
        <w:t>See Eagle Broad. Group</w:t>
      </w:r>
      <w:r w:rsidRPr="00254B68" w:rsidR="000E1AB8">
        <w:rPr>
          <w:i/>
        </w:rPr>
        <w:t>, LTD</w:t>
      </w:r>
      <w:r w:rsidRPr="00963478" w:rsidR="00E12853">
        <w:t xml:space="preserve">, 563 F.3d </w:t>
      </w:r>
      <w:r w:rsidRPr="00963478" w:rsidR="000E1AB8">
        <w:t>543,</w:t>
      </w:r>
      <w:r w:rsidRPr="00963478" w:rsidR="00E12853">
        <w:t xml:space="preserve"> 553</w:t>
      </w:r>
      <w:r w:rsidRPr="00963478" w:rsidR="000E1AB8">
        <w:t xml:space="preserve"> (D.C. Cir. 2009)</w:t>
      </w:r>
      <w:r w:rsidRPr="00963478" w:rsidR="00E12853">
        <w:t xml:space="preserve"> (“Under the statute, unauthorized and unlicensed transmissions are no better than silence”)</w:t>
      </w:r>
      <w:r w:rsidR="00963478">
        <w:t xml:space="preserve">; </w:t>
      </w:r>
      <w:r w:rsidRPr="00716781" w:rsidR="00963478">
        <w:rPr>
          <w:i/>
        </w:rPr>
        <w:t>Roy E Henderson</w:t>
      </w:r>
      <w:r w:rsidR="00963478">
        <w:t>, Memorandum Opinion and Order</w:t>
      </w:r>
      <w:r w:rsidR="00093554">
        <w:t>, 33 FCC Rcd 7365 (2018)</w:t>
      </w:r>
      <w:r w:rsidR="00B723A3">
        <w:t>.</w:t>
      </w:r>
    </w:p>
  </w:footnote>
  <w:footnote w:id="37">
    <w:p w:rsidR="00DF4B6D" w:rsidRPr="00963478" w:rsidP="00EB5C1A" w14:paraId="06517CE3" w14:textId="4324EA45">
      <w:pPr>
        <w:pStyle w:val="FootnoteText"/>
        <w:spacing w:after="120"/>
      </w:pPr>
      <w:r w:rsidRPr="00254B68">
        <w:rPr>
          <w:rStyle w:val="FootnoteReference"/>
        </w:rPr>
        <w:footnoteRef/>
      </w:r>
      <w:r w:rsidRPr="00254B68">
        <w:t xml:space="preserve"> </w:t>
      </w:r>
      <w:r w:rsidRPr="00254B68" w:rsidR="00716BB3">
        <w:rPr>
          <w:i/>
        </w:rPr>
        <w:t>See</w:t>
      </w:r>
      <w:r w:rsidRPr="00254B68" w:rsidR="00716BB3">
        <w:t xml:space="preserve"> </w:t>
      </w:r>
      <w:r w:rsidRPr="00963478" w:rsidR="00716BB3">
        <w:rPr>
          <w:i/>
        </w:rPr>
        <w:t>A-O Broad.</w:t>
      </w:r>
      <w:r w:rsidR="00B723A3">
        <w:rPr>
          <w:i/>
        </w:rPr>
        <w:t xml:space="preserve"> Corp.</w:t>
      </w:r>
      <w:r w:rsidRPr="00963478" w:rsidR="00716BB3">
        <w:t xml:space="preserve">, 23 FCC Rcd </w:t>
      </w:r>
      <w:r w:rsidR="00B723A3">
        <w:t>603,</w:t>
      </w:r>
      <w:r w:rsidRPr="00963478" w:rsidR="00716BB3">
        <w:t xml:space="preserve"> 617</w:t>
      </w:r>
      <w:r w:rsidRPr="00963478" w:rsidR="005A597F">
        <w:t xml:space="preserve">, </w:t>
      </w:r>
      <w:r w:rsidR="00B723A3">
        <w:t>para. 26</w:t>
      </w:r>
      <w:r w:rsidRPr="005D304F" w:rsidR="00B723A3">
        <w:t xml:space="preserve"> (2008)</w:t>
      </w:r>
      <w:r w:rsidRPr="00254B68" w:rsidR="00292144">
        <w:t xml:space="preserve"> (“This limited, discretionary provision is phrased as an exception to the general rule that most affected licenses will be forfeited</w:t>
      </w:r>
      <w:r w:rsidRPr="00254B68" w:rsidR="00414B1F">
        <w:t>.</w:t>
      </w:r>
      <w:r w:rsidRPr="00963478" w:rsidR="00292144">
        <w:t>”).</w:t>
      </w:r>
      <w:r w:rsidR="005D304F">
        <w:t xml:space="preserve">  Well-established precedent shows that “the Commission has refused to exercise discretion under Section 312(g) where the failure to resume station operations was due to the licensee’s own actions, finances, and/or business judgments.”  </w:t>
      </w:r>
      <w:r w:rsidRPr="005D304F" w:rsidR="005D304F">
        <w:rPr>
          <w:i/>
        </w:rPr>
        <w:t>Wilks License Co.</w:t>
      </w:r>
      <w:r w:rsidR="005D304F">
        <w:t xml:space="preserve">, Letter Order, 29 FCC Rcd 4903, 4905-06 (MB 2014).  </w:t>
      </w:r>
      <w:r w:rsidRPr="005D304F" w:rsidR="005D304F">
        <w:rPr>
          <w:i/>
        </w:rPr>
        <w:t>See also A-O</w:t>
      </w:r>
      <w:r w:rsidR="005D304F">
        <w:t xml:space="preserve">, </w:t>
      </w:r>
      <w:r w:rsidRPr="005D304F" w:rsidR="005D304F">
        <w:rPr>
          <w:i/>
        </w:rPr>
        <w:t>supra</w:t>
      </w:r>
      <w:r w:rsidR="005D304F">
        <w:t>, 23 FCC Rcd at 617, para. 27 (“In particular, A-O’s circumstances are the direct result of its own public safety rule violations . . . and its failure to complete construction in accordance with the express permit conditions designed to prevent similar problems”).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A2" w14:paraId="10BE2319" w14:textId="77777777">
    <w:pPr>
      <w:pStyle w:val="Header"/>
      <w:tabs>
        <w:tab w:val="clear" w:pos="4320"/>
        <w:tab w:val="clear" w:pos="8640"/>
      </w:tabs>
      <w:spacing w:before="360" w:line="228" w:lineRule="auto"/>
      <w:jc w:val="center"/>
      <w:rPr>
        <w:b/>
        <w:sz w:val="22"/>
      </w:rPr>
    </w:pPr>
    <w:bookmarkStart w:id="8" w:name="_Hlk11329100"/>
    <w:bookmarkStart w:id="9" w:name="_Hlk11329101"/>
    <w:bookmarkStart w:id="10" w:name="_Hlk11329102"/>
    <w:bookmarkStart w:id="11" w:name="_Hlk11329103"/>
    <w:r>
      <w:rPr>
        <w:noProof/>
      </w:rPr>
      <w:drawing>
        <wp:anchor distT="0" distB="0" distL="114300" distR="114300" simplePos="0" relativeHeight="251658240" behindDoc="1" locked="0" layoutInCell="0" allowOverlap="1">
          <wp:simplePos x="0" y="0"/>
          <wp:positionH relativeFrom="column">
            <wp:posOffset>-400050</wp:posOffset>
          </wp:positionH>
          <wp:positionV relativeFrom="paragraph">
            <wp:posOffset>0</wp:posOffset>
          </wp:positionV>
          <wp:extent cx="86360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433583" name="Picture 1"/>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rsidR="00C220A2" w14:paraId="69552236" w14:textId="77777777">
    <w:pPr>
      <w:jc w:val="center"/>
      <w:rPr>
        <w:b/>
        <w:sz w:val="22"/>
      </w:rPr>
    </w:pPr>
    <w:r>
      <w:rPr>
        <w:b/>
        <w:sz w:val="22"/>
      </w:rPr>
      <w:t>Washington, D.C. 20554</w:t>
    </w:r>
  </w:p>
  <w:p w:rsidR="00C220A2" w14:paraId="020E714D" w14:textId="77777777">
    <w:pPr>
      <w:jc w:val="center"/>
      <w:rPr>
        <w:b/>
        <w:sz w:val="22"/>
      </w:rPr>
    </w:pPr>
  </w:p>
  <w:p w:rsidR="00C220A2" w:rsidRPr="00BB220B" w14:paraId="7F1D37DD" w14:textId="49628342">
    <w:pPr>
      <w:jc w:val="center"/>
      <w:rPr>
        <w:sz w:val="22"/>
        <w:szCs w:val="22"/>
      </w:rPr>
    </w:pPr>
    <w:r>
      <w:rPr>
        <w:sz w:val="22"/>
        <w:szCs w:val="22"/>
      </w:rPr>
      <w:t>DATE</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502B"/>
    <w:multiLevelType w:val="hybridMultilevel"/>
    <w:tmpl w:val="41C0D6BE"/>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2F1E499A"/>
    <w:multiLevelType w:val="hybridMultilevel"/>
    <w:tmpl w:val="8D904E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0C65D8"/>
    <w:multiLevelType w:val="hybridMultilevel"/>
    <w:tmpl w:val="E244D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7F9614C"/>
    <w:multiLevelType w:val="hybridMultilevel"/>
    <w:tmpl w:val="936863BC"/>
    <w:lvl w:ilvl="0">
      <w:start w:val="1"/>
      <w:numFmt w:val="decimal"/>
      <w:lvlText w:val="%1."/>
      <w:lvlJc w:val="left"/>
      <w:pPr>
        <w:ind w:left="1815" w:hanging="109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CEA714F"/>
    <w:multiLevelType w:val="hybridMultilevel"/>
    <w:tmpl w:val="A4B432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51A63E6"/>
    <w:multiLevelType w:val="hybridMultilevel"/>
    <w:tmpl w:val="CCA8F89C"/>
    <w:lvl w:ilvl="0">
      <w:start w:va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6BA90899"/>
    <w:multiLevelType w:val="hybridMultilevel"/>
    <w:tmpl w:val="936863BC"/>
    <w:lvl w:ilvl="0">
      <w:start w:val="1"/>
      <w:numFmt w:val="decimal"/>
      <w:lvlText w:val="%1."/>
      <w:lvlJc w:val="left"/>
      <w:pPr>
        <w:ind w:left="1815" w:hanging="109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3"/>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A0"/>
    <w:rsid w:val="00003B12"/>
    <w:rsid w:val="00004A2A"/>
    <w:rsid w:val="00005710"/>
    <w:rsid w:val="0000610A"/>
    <w:rsid w:val="00006A21"/>
    <w:rsid w:val="000070F8"/>
    <w:rsid w:val="000119BF"/>
    <w:rsid w:val="00012858"/>
    <w:rsid w:val="00012915"/>
    <w:rsid w:val="00014A21"/>
    <w:rsid w:val="00014D81"/>
    <w:rsid w:val="00015521"/>
    <w:rsid w:val="0001660E"/>
    <w:rsid w:val="00016775"/>
    <w:rsid w:val="00017E45"/>
    <w:rsid w:val="00020395"/>
    <w:rsid w:val="00022812"/>
    <w:rsid w:val="00022B37"/>
    <w:rsid w:val="00022E9A"/>
    <w:rsid w:val="000251AE"/>
    <w:rsid w:val="000256EC"/>
    <w:rsid w:val="00027B73"/>
    <w:rsid w:val="0003044C"/>
    <w:rsid w:val="000307B3"/>
    <w:rsid w:val="000311E1"/>
    <w:rsid w:val="000330CD"/>
    <w:rsid w:val="00041350"/>
    <w:rsid w:val="00041440"/>
    <w:rsid w:val="00041BEB"/>
    <w:rsid w:val="00041E48"/>
    <w:rsid w:val="00042C38"/>
    <w:rsid w:val="00043643"/>
    <w:rsid w:val="00043AB7"/>
    <w:rsid w:val="00044605"/>
    <w:rsid w:val="00052357"/>
    <w:rsid w:val="00052BEC"/>
    <w:rsid w:val="00062779"/>
    <w:rsid w:val="000633BA"/>
    <w:rsid w:val="00064346"/>
    <w:rsid w:val="00065B19"/>
    <w:rsid w:val="00065C5F"/>
    <w:rsid w:val="00067281"/>
    <w:rsid w:val="00067AAE"/>
    <w:rsid w:val="00073CE8"/>
    <w:rsid w:val="00075EC9"/>
    <w:rsid w:val="0007780F"/>
    <w:rsid w:val="00081743"/>
    <w:rsid w:val="00083E8E"/>
    <w:rsid w:val="000875CD"/>
    <w:rsid w:val="00092486"/>
    <w:rsid w:val="00093213"/>
    <w:rsid w:val="00093554"/>
    <w:rsid w:val="000939E5"/>
    <w:rsid w:val="0009441A"/>
    <w:rsid w:val="00094853"/>
    <w:rsid w:val="00094A31"/>
    <w:rsid w:val="00097942"/>
    <w:rsid w:val="000A049B"/>
    <w:rsid w:val="000A064E"/>
    <w:rsid w:val="000A5AAD"/>
    <w:rsid w:val="000A78DE"/>
    <w:rsid w:val="000B0588"/>
    <w:rsid w:val="000B2863"/>
    <w:rsid w:val="000B4A20"/>
    <w:rsid w:val="000B673A"/>
    <w:rsid w:val="000B7906"/>
    <w:rsid w:val="000C2059"/>
    <w:rsid w:val="000C28BC"/>
    <w:rsid w:val="000C46EE"/>
    <w:rsid w:val="000C4FCF"/>
    <w:rsid w:val="000C703F"/>
    <w:rsid w:val="000D076C"/>
    <w:rsid w:val="000D34AB"/>
    <w:rsid w:val="000D50B7"/>
    <w:rsid w:val="000D598E"/>
    <w:rsid w:val="000D647D"/>
    <w:rsid w:val="000D6C6C"/>
    <w:rsid w:val="000D7CA3"/>
    <w:rsid w:val="000E0114"/>
    <w:rsid w:val="000E1785"/>
    <w:rsid w:val="000E1AB8"/>
    <w:rsid w:val="000E37C1"/>
    <w:rsid w:val="000E4034"/>
    <w:rsid w:val="000E55EA"/>
    <w:rsid w:val="000E5B07"/>
    <w:rsid w:val="000E5C7C"/>
    <w:rsid w:val="000E67C5"/>
    <w:rsid w:val="000E710F"/>
    <w:rsid w:val="000F36B1"/>
    <w:rsid w:val="000F43FC"/>
    <w:rsid w:val="000F5282"/>
    <w:rsid w:val="00103537"/>
    <w:rsid w:val="00103982"/>
    <w:rsid w:val="00105371"/>
    <w:rsid w:val="00105B45"/>
    <w:rsid w:val="001065DA"/>
    <w:rsid w:val="0010665E"/>
    <w:rsid w:val="00111C04"/>
    <w:rsid w:val="00112F9D"/>
    <w:rsid w:val="00114539"/>
    <w:rsid w:val="0011700B"/>
    <w:rsid w:val="00121DAB"/>
    <w:rsid w:val="0012311A"/>
    <w:rsid w:val="001232EB"/>
    <w:rsid w:val="00123C44"/>
    <w:rsid w:val="00124234"/>
    <w:rsid w:val="001244E6"/>
    <w:rsid w:val="00124842"/>
    <w:rsid w:val="00124F90"/>
    <w:rsid w:val="00125CF0"/>
    <w:rsid w:val="00132F06"/>
    <w:rsid w:val="00133B4E"/>
    <w:rsid w:val="001342F0"/>
    <w:rsid w:val="0013452C"/>
    <w:rsid w:val="001348E1"/>
    <w:rsid w:val="00134933"/>
    <w:rsid w:val="00135274"/>
    <w:rsid w:val="001365AA"/>
    <w:rsid w:val="00137A98"/>
    <w:rsid w:val="00137E34"/>
    <w:rsid w:val="00137EC7"/>
    <w:rsid w:val="0014041C"/>
    <w:rsid w:val="00140A2A"/>
    <w:rsid w:val="00141C62"/>
    <w:rsid w:val="001427A4"/>
    <w:rsid w:val="0014386F"/>
    <w:rsid w:val="001445B2"/>
    <w:rsid w:val="00144B6F"/>
    <w:rsid w:val="00144E9C"/>
    <w:rsid w:val="00147146"/>
    <w:rsid w:val="00152AF0"/>
    <w:rsid w:val="001535C7"/>
    <w:rsid w:val="00154F2C"/>
    <w:rsid w:val="00154FD3"/>
    <w:rsid w:val="00156790"/>
    <w:rsid w:val="00157F77"/>
    <w:rsid w:val="0016247C"/>
    <w:rsid w:val="001634A9"/>
    <w:rsid w:val="00166FD4"/>
    <w:rsid w:val="0017142A"/>
    <w:rsid w:val="001717AE"/>
    <w:rsid w:val="00172BFD"/>
    <w:rsid w:val="00173365"/>
    <w:rsid w:val="00175A7B"/>
    <w:rsid w:val="001761C5"/>
    <w:rsid w:val="0017666E"/>
    <w:rsid w:val="00176DE7"/>
    <w:rsid w:val="00177610"/>
    <w:rsid w:val="00177D0B"/>
    <w:rsid w:val="00180CAF"/>
    <w:rsid w:val="00181813"/>
    <w:rsid w:val="00182B92"/>
    <w:rsid w:val="00182E7B"/>
    <w:rsid w:val="00190B53"/>
    <w:rsid w:val="001911C0"/>
    <w:rsid w:val="0019152C"/>
    <w:rsid w:val="00191A3E"/>
    <w:rsid w:val="00191B88"/>
    <w:rsid w:val="0019418A"/>
    <w:rsid w:val="001948D3"/>
    <w:rsid w:val="001959C7"/>
    <w:rsid w:val="00196904"/>
    <w:rsid w:val="0019721A"/>
    <w:rsid w:val="0019764B"/>
    <w:rsid w:val="001A1451"/>
    <w:rsid w:val="001A25D4"/>
    <w:rsid w:val="001A51E3"/>
    <w:rsid w:val="001A5A51"/>
    <w:rsid w:val="001A7A18"/>
    <w:rsid w:val="001B0A30"/>
    <w:rsid w:val="001B29B9"/>
    <w:rsid w:val="001B386B"/>
    <w:rsid w:val="001B4247"/>
    <w:rsid w:val="001B513D"/>
    <w:rsid w:val="001B7B74"/>
    <w:rsid w:val="001C004C"/>
    <w:rsid w:val="001C03F9"/>
    <w:rsid w:val="001C0C7B"/>
    <w:rsid w:val="001C1CA5"/>
    <w:rsid w:val="001C202C"/>
    <w:rsid w:val="001C2CC1"/>
    <w:rsid w:val="001C3C44"/>
    <w:rsid w:val="001C4B16"/>
    <w:rsid w:val="001D2BE9"/>
    <w:rsid w:val="001D2EB7"/>
    <w:rsid w:val="001D34B8"/>
    <w:rsid w:val="001D427B"/>
    <w:rsid w:val="001D451B"/>
    <w:rsid w:val="001D45C4"/>
    <w:rsid w:val="001D4690"/>
    <w:rsid w:val="001D50EF"/>
    <w:rsid w:val="001D663C"/>
    <w:rsid w:val="001D6B53"/>
    <w:rsid w:val="001D6DF8"/>
    <w:rsid w:val="001E189F"/>
    <w:rsid w:val="001E2C66"/>
    <w:rsid w:val="001E31D1"/>
    <w:rsid w:val="001E6E40"/>
    <w:rsid w:val="001E73A1"/>
    <w:rsid w:val="001F009B"/>
    <w:rsid w:val="001F20E8"/>
    <w:rsid w:val="001F4DA6"/>
    <w:rsid w:val="001F67CC"/>
    <w:rsid w:val="00200A1E"/>
    <w:rsid w:val="0020107B"/>
    <w:rsid w:val="00201DE7"/>
    <w:rsid w:val="002027A9"/>
    <w:rsid w:val="00202C6F"/>
    <w:rsid w:val="00205CA2"/>
    <w:rsid w:val="002079E5"/>
    <w:rsid w:val="002110D9"/>
    <w:rsid w:val="0021188E"/>
    <w:rsid w:val="00211E02"/>
    <w:rsid w:val="00213427"/>
    <w:rsid w:val="00213CC3"/>
    <w:rsid w:val="0021644D"/>
    <w:rsid w:val="00216520"/>
    <w:rsid w:val="0021749D"/>
    <w:rsid w:val="00217AF6"/>
    <w:rsid w:val="00220165"/>
    <w:rsid w:val="0022137C"/>
    <w:rsid w:val="0022264B"/>
    <w:rsid w:val="00224B40"/>
    <w:rsid w:val="00224E6E"/>
    <w:rsid w:val="002266B2"/>
    <w:rsid w:val="00227E83"/>
    <w:rsid w:val="00237CF6"/>
    <w:rsid w:val="00240E07"/>
    <w:rsid w:val="002425B9"/>
    <w:rsid w:val="0024579D"/>
    <w:rsid w:val="002457F9"/>
    <w:rsid w:val="002459A0"/>
    <w:rsid w:val="00246667"/>
    <w:rsid w:val="002516EB"/>
    <w:rsid w:val="00251A6D"/>
    <w:rsid w:val="00251D3B"/>
    <w:rsid w:val="0025202A"/>
    <w:rsid w:val="0025309F"/>
    <w:rsid w:val="00253779"/>
    <w:rsid w:val="00254339"/>
    <w:rsid w:val="002546EF"/>
    <w:rsid w:val="00254B68"/>
    <w:rsid w:val="00254D74"/>
    <w:rsid w:val="00261475"/>
    <w:rsid w:val="00262EEB"/>
    <w:rsid w:val="002630B6"/>
    <w:rsid w:val="00263F4F"/>
    <w:rsid w:val="00264344"/>
    <w:rsid w:val="0026550E"/>
    <w:rsid w:val="00266AE3"/>
    <w:rsid w:val="00270FD4"/>
    <w:rsid w:val="00271A71"/>
    <w:rsid w:val="00271A8F"/>
    <w:rsid w:val="00272CEF"/>
    <w:rsid w:val="002767A9"/>
    <w:rsid w:val="00276BFC"/>
    <w:rsid w:val="00277306"/>
    <w:rsid w:val="002809A8"/>
    <w:rsid w:val="0028289A"/>
    <w:rsid w:val="00284DF8"/>
    <w:rsid w:val="00285366"/>
    <w:rsid w:val="00286E35"/>
    <w:rsid w:val="00287CE4"/>
    <w:rsid w:val="00287DA8"/>
    <w:rsid w:val="002900C1"/>
    <w:rsid w:val="002901A5"/>
    <w:rsid w:val="00292144"/>
    <w:rsid w:val="002926EC"/>
    <w:rsid w:val="00292D7E"/>
    <w:rsid w:val="00295359"/>
    <w:rsid w:val="00296629"/>
    <w:rsid w:val="002A493E"/>
    <w:rsid w:val="002A4B3D"/>
    <w:rsid w:val="002A536C"/>
    <w:rsid w:val="002A658C"/>
    <w:rsid w:val="002A6852"/>
    <w:rsid w:val="002A7354"/>
    <w:rsid w:val="002A7AC7"/>
    <w:rsid w:val="002B1615"/>
    <w:rsid w:val="002B6B90"/>
    <w:rsid w:val="002B71EF"/>
    <w:rsid w:val="002B73EF"/>
    <w:rsid w:val="002C09D8"/>
    <w:rsid w:val="002C2473"/>
    <w:rsid w:val="002C2E88"/>
    <w:rsid w:val="002C45CE"/>
    <w:rsid w:val="002C513A"/>
    <w:rsid w:val="002C57B5"/>
    <w:rsid w:val="002C7F03"/>
    <w:rsid w:val="002D2CB8"/>
    <w:rsid w:val="002D629F"/>
    <w:rsid w:val="002D634F"/>
    <w:rsid w:val="002D6FFC"/>
    <w:rsid w:val="002E16C6"/>
    <w:rsid w:val="002E297F"/>
    <w:rsid w:val="002E5CF7"/>
    <w:rsid w:val="002E665B"/>
    <w:rsid w:val="002F0471"/>
    <w:rsid w:val="002F0B2A"/>
    <w:rsid w:val="002F15DA"/>
    <w:rsid w:val="002F1692"/>
    <w:rsid w:val="002F1F14"/>
    <w:rsid w:val="002F3037"/>
    <w:rsid w:val="002F52CD"/>
    <w:rsid w:val="002F674E"/>
    <w:rsid w:val="002F68C8"/>
    <w:rsid w:val="003011A2"/>
    <w:rsid w:val="00301CBC"/>
    <w:rsid w:val="00302DE0"/>
    <w:rsid w:val="003059DF"/>
    <w:rsid w:val="0030619A"/>
    <w:rsid w:val="0030796A"/>
    <w:rsid w:val="00310D24"/>
    <w:rsid w:val="00311AF3"/>
    <w:rsid w:val="00317D98"/>
    <w:rsid w:val="00317ECD"/>
    <w:rsid w:val="0032033D"/>
    <w:rsid w:val="003218ED"/>
    <w:rsid w:val="00322416"/>
    <w:rsid w:val="00322A9E"/>
    <w:rsid w:val="00323ABD"/>
    <w:rsid w:val="00325776"/>
    <w:rsid w:val="0032674E"/>
    <w:rsid w:val="003300F0"/>
    <w:rsid w:val="00330AB7"/>
    <w:rsid w:val="003350C5"/>
    <w:rsid w:val="0033516A"/>
    <w:rsid w:val="00341EA9"/>
    <w:rsid w:val="00342F5B"/>
    <w:rsid w:val="00345D0E"/>
    <w:rsid w:val="00346781"/>
    <w:rsid w:val="00346D23"/>
    <w:rsid w:val="00351D2D"/>
    <w:rsid w:val="003523DD"/>
    <w:rsid w:val="00352910"/>
    <w:rsid w:val="003567DF"/>
    <w:rsid w:val="003569F7"/>
    <w:rsid w:val="0036072D"/>
    <w:rsid w:val="00360D0B"/>
    <w:rsid w:val="00361152"/>
    <w:rsid w:val="003629D2"/>
    <w:rsid w:val="00363625"/>
    <w:rsid w:val="00363692"/>
    <w:rsid w:val="00364747"/>
    <w:rsid w:val="003651F5"/>
    <w:rsid w:val="00366591"/>
    <w:rsid w:val="00366C30"/>
    <w:rsid w:val="00367963"/>
    <w:rsid w:val="00371322"/>
    <w:rsid w:val="0037266F"/>
    <w:rsid w:val="00372DB7"/>
    <w:rsid w:val="00373482"/>
    <w:rsid w:val="003775D3"/>
    <w:rsid w:val="00377705"/>
    <w:rsid w:val="00382414"/>
    <w:rsid w:val="00382BAC"/>
    <w:rsid w:val="003832A2"/>
    <w:rsid w:val="003850FD"/>
    <w:rsid w:val="003857D5"/>
    <w:rsid w:val="00385FAB"/>
    <w:rsid w:val="003938D2"/>
    <w:rsid w:val="00393976"/>
    <w:rsid w:val="00393BF4"/>
    <w:rsid w:val="00393EE4"/>
    <w:rsid w:val="0039507C"/>
    <w:rsid w:val="00397258"/>
    <w:rsid w:val="003975D7"/>
    <w:rsid w:val="003A16F6"/>
    <w:rsid w:val="003A2C9B"/>
    <w:rsid w:val="003A4216"/>
    <w:rsid w:val="003A4605"/>
    <w:rsid w:val="003A5649"/>
    <w:rsid w:val="003B1C70"/>
    <w:rsid w:val="003B7BFC"/>
    <w:rsid w:val="003C01E4"/>
    <w:rsid w:val="003C10C5"/>
    <w:rsid w:val="003C1C06"/>
    <w:rsid w:val="003C2D20"/>
    <w:rsid w:val="003C30AE"/>
    <w:rsid w:val="003C3780"/>
    <w:rsid w:val="003C4206"/>
    <w:rsid w:val="003C4A05"/>
    <w:rsid w:val="003C530E"/>
    <w:rsid w:val="003D12E7"/>
    <w:rsid w:val="003D1413"/>
    <w:rsid w:val="003D4EE9"/>
    <w:rsid w:val="003D543F"/>
    <w:rsid w:val="003D635E"/>
    <w:rsid w:val="003D649C"/>
    <w:rsid w:val="003D7A50"/>
    <w:rsid w:val="003E0A03"/>
    <w:rsid w:val="003E189F"/>
    <w:rsid w:val="003E247B"/>
    <w:rsid w:val="003E27FB"/>
    <w:rsid w:val="003E3513"/>
    <w:rsid w:val="003E5634"/>
    <w:rsid w:val="003E7B49"/>
    <w:rsid w:val="003F13BB"/>
    <w:rsid w:val="003F2F34"/>
    <w:rsid w:val="003F420D"/>
    <w:rsid w:val="003F4639"/>
    <w:rsid w:val="003F4C70"/>
    <w:rsid w:val="003F7560"/>
    <w:rsid w:val="003F767B"/>
    <w:rsid w:val="003F7CC8"/>
    <w:rsid w:val="00400BB7"/>
    <w:rsid w:val="004028F8"/>
    <w:rsid w:val="00402982"/>
    <w:rsid w:val="00402CF4"/>
    <w:rsid w:val="00403762"/>
    <w:rsid w:val="00403B0E"/>
    <w:rsid w:val="00403B20"/>
    <w:rsid w:val="004045F4"/>
    <w:rsid w:val="004056A6"/>
    <w:rsid w:val="004067CB"/>
    <w:rsid w:val="00410C23"/>
    <w:rsid w:val="00411E4A"/>
    <w:rsid w:val="0041237F"/>
    <w:rsid w:val="00412F0C"/>
    <w:rsid w:val="0041346F"/>
    <w:rsid w:val="004138F3"/>
    <w:rsid w:val="00413F45"/>
    <w:rsid w:val="004142F1"/>
    <w:rsid w:val="00414647"/>
    <w:rsid w:val="00414B1F"/>
    <w:rsid w:val="00414D2B"/>
    <w:rsid w:val="00415063"/>
    <w:rsid w:val="004156F9"/>
    <w:rsid w:val="00416EF4"/>
    <w:rsid w:val="00417CFF"/>
    <w:rsid w:val="00425601"/>
    <w:rsid w:val="00431A45"/>
    <w:rsid w:val="004325F4"/>
    <w:rsid w:val="00435E79"/>
    <w:rsid w:val="0044109F"/>
    <w:rsid w:val="004427AA"/>
    <w:rsid w:val="00442E17"/>
    <w:rsid w:val="00450997"/>
    <w:rsid w:val="00452BA2"/>
    <w:rsid w:val="00453444"/>
    <w:rsid w:val="00453893"/>
    <w:rsid w:val="00455AFC"/>
    <w:rsid w:val="00455FBD"/>
    <w:rsid w:val="00456F21"/>
    <w:rsid w:val="00463870"/>
    <w:rsid w:val="004649E5"/>
    <w:rsid w:val="00464C57"/>
    <w:rsid w:val="00467283"/>
    <w:rsid w:val="00471629"/>
    <w:rsid w:val="0047194F"/>
    <w:rsid w:val="00471A86"/>
    <w:rsid w:val="00471C78"/>
    <w:rsid w:val="004731B9"/>
    <w:rsid w:val="00473381"/>
    <w:rsid w:val="0047340D"/>
    <w:rsid w:val="00473D9B"/>
    <w:rsid w:val="00476F7E"/>
    <w:rsid w:val="004776E3"/>
    <w:rsid w:val="00481C0E"/>
    <w:rsid w:val="004821F2"/>
    <w:rsid w:val="00483D31"/>
    <w:rsid w:val="0048552B"/>
    <w:rsid w:val="0048599E"/>
    <w:rsid w:val="00486D33"/>
    <w:rsid w:val="004873C1"/>
    <w:rsid w:val="004877CD"/>
    <w:rsid w:val="0049155B"/>
    <w:rsid w:val="004920E7"/>
    <w:rsid w:val="004931C9"/>
    <w:rsid w:val="004949FD"/>
    <w:rsid w:val="00494CB0"/>
    <w:rsid w:val="00495E22"/>
    <w:rsid w:val="004965EC"/>
    <w:rsid w:val="004978A9"/>
    <w:rsid w:val="00497D57"/>
    <w:rsid w:val="004A1612"/>
    <w:rsid w:val="004A28EA"/>
    <w:rsid w:val="004A4D3B"/>
    <w:rsid w:val="004A682B"/>
    <w:rsid w:val="004A6A85"/>
    <w:rsid w:val="004A6CD0"/>
    <w:rsid w:val="004A738E"/>
    <w:rsid w:val="004B0A4F"/>
    <w:rsid w:val="004B1B38"/>
    <w:rsid w:val="004B22AC"/>
    <w:rsid w:val="004B29AD"/>
    <w:rsid w:val="004B3C56"/>
    <w:rsid w:val="004B3E45"/>
    <w:rsid w:val="004B5C16"/>
    <w:rsid w:val="004B7DB5"/>
    <w:rsid w:val="004C0909"/>
    <w:rsid w:val="004C1AEB"/>
    <w:rsid w:val="004C6D57"/>
    <w:rsid w:val="004D09D4"/>
    <w:rsid w:val="004D129F"/>
    <w:rsid w:val="004D19F1"/>
    <w:rsid w:val="004D19F7"/>
    <w:rsid w:val="004D49FA"/>
    <w:rsid w:val="004D7423"/>
    <w:rsid w:val="004E0B53"/>
    <w:rsid w:val="004E299F"/>
    <w:rsid w:val="004E51F6"/>
    <w:rsid w:val="004E5DE8"/>
    <w:rsid w:val="004E6FD2"/>
    <w:rsid w:val="004F0D9E"/>
    <w:rsid w:val="004F3742"/>
    <w:rsid w:val="005010AB"/>
    <w:rsid w:val="0050653F"/>
    <w:rsid w:val="00510EB8"/>
    <w:rsid w:val="00511270"/>
    <w:rsid w:val="0051623C"/>
    <w:rsid w:val="00520703"/>
    <w:rsid w:val="00520841"/>
    <w:rsid w:val="00520E3A"/>
    <w:rsid w:val="0052172C"/>
    <w:rsid w:val="005249DA"/>
    <w:rsid w:val="005257FD"/>
    <w:rsid w:val="00527ACD"/>
    <w:rsid w:val="00532A6C"/>
    <w:rsid w:val="00535E73"/>
    <w:rsid w:val="005360BF"/>
    <w:rsid w:val="00537D5E"/>
    <w:rsid w:val="0054138C"/>
    <w:rsid w:val="00541DD0"/>
    <w:rsid w:val="00541E2A"/>
    <w:rsid w:val="00542597"/>
    <w:rsid w:val="00542D65"/>
    <w:rsid w:val="005456B4"/>
    <w:rsid w:val="00546C8A"/>
    <w:rsid w:val="00550362"/>
    <w:rsid w:val="005506BB"/>
    <w:rsid w:val="00554D46"/>
    <w:rsid w:val="00555B94"/>
    <w:rsid w:val="00560D43"/>
    <w:rsid w:val="00561988"/>
    <w:rsid w:val="00561D4A"/>
    <w:rsid w:val="005624C5"/>
    <w:rsid w:val="00564115"/>
    <w:rsid w:val="00565D00"/>
    <w:rsid w:val="005661F9"/>
    <w:rsid w:val="00566453"/>
    <w:rsid w:val="00566824"/>
    <w:rsid w:val="00567C1F"/>
    <w:rsid w:val="00570062"/>
    <w:rsid w:val="00570F61"/>
    <w:rsid w:val="005733DF"/>
    <w:rsid w:val="00575FB7"/>
    <w:rsid w:val="00576961"/>
    <w:rsid w:val="00577419"/>
    <w:rsid w:val="005774B4"/>
    <w:rsid w:val="00583441"/>
    <w:rsid w:val="00583567"/>
    <w:rsid w:val="00583786"/>
    <w:rsid w:val="0058393A"/>
    <w:rsid w:val="0058414F"/>
    <w:rsid w:val="00585CF3"/>
    <w:rsid w:val="00585F91"/>
    <w:rsid w:val="0058651C"/>
    <w:rsid w:val="00587DD8"/>
    <w:rsid w:val="0059016C"/>
    <w:rsid w:val="005904BE"/>
    <w:rsid w:val="00590FC9"/>
    <w:rsid w:val="00592EA4"/>
    <w:rsid w:val="005962EC"/>
    <w:rsid w:val="00597270"/>
    <w:rsid w:val="00597379"/>
    <w:rsid w:val="005A2DBF"/>
    <w:rsid w:val="005A3031"/>
    <w:rsid w:val="005A4B92"/>
    <w:rsid w:val="005A597F"/>
    <w:rsid w:val="005A5CAE"/>
    <w:rsid w:val="005A5F06"/>
    <w:rsid w:val="005A79DE"/>
    <w:rsid w:val="005B039F"/>
    <w:rsid w:val="005B130A"/>
    <w:rsid w:val="005B49EE"/>
    <w:rsid w:val="005B5975"/>
    <w:rsid w:val="005B5B60"/>
    <w:rsid w:val="005C202D"/>
    <w:rsid w:val="005C2E54"/>
    <w:rsid w:val="005C325D"/>
    <w:rsid w:val="005D0299"/>
    <w:rsid w:val="005D1B02"/>
    <w:rsid w:val="005D1C5D"/>
    <w:rsid w:val="005D304F"/>
    <w:rsid w:val="005D322E"/>
    <w:rsid w:val="005D40A1"/>
    <w:rsid w:val="005D4614"/>
    <w:rsid w:val="005D5705"/>
    <w:rsid w:val="005D5C0F"/>
    <w:rsid w:val="005D7FEB"/>
    <w:rsid w:val="005E0410"/>
    <w:rsid w:val="005E0911"/>
    <w:rsid w:val="005E280E"/>
    <w:rsid w:val="005E2CCB"/>
    <w:rsid w:val="005E3726"/>
    <w:rsid w:val="005E3E1F"/>
    <w:rsid w:val="005E45DC"/>
    <w:rsid w:val="005F0490"/>
    <w:rsid w:val="005F0F17"/>
    <w:rsid w:val="005F13BD"/>
    <w:rsid w:val="005F1756"/>
    <w:rsid w:val="005F1B04"/>
    <w:rsid w:val="005F1CFA"/>
    <w:rsid w:val="005F3365"/>
    <w:rsid w:val="005F36BD"/>
    <w:rsid w:val="005F49B4"/>
    <w:rsid w:val="005F49D3"/>
    <w:rsid w:val="005F4BEE"/>
    <w:rsid w:val="005F7A3C"/>
    <w:rsid w:val="00600276"/>
    <w:rsid w:val="00601335"/>
    <w:rsid w:val="0060202B"/>
    <w:rsid w:val="0060325C"/>
    <w:rsid w:val="00604791"/>
    <w:rsid w:val="00606D3E"/>
    <w:rsid w:val="00607E90"/>
    <w:rsid w:val="00610A4C"/>
    <w:rsid w:val="00610DD6"/>
    <w:rsid w:val="0061138B"/>
    <w:rsid w:val="00611D20"/>
    <w:rsid w:val="006135EF"/>
    <w:rsid w:val="00615D74"/>
    <w:rsid w:val="00616C40"/>
    <w:rsid w:val="006217BC"/>
    <w:rsid w:val="00621EFF"/>
    <w:rsid w:val="00623FA1"/>
    <w:rsid w:val="0062423C"/>
    <w:rsid w:val="00624B2E"/>
    <w:rsid w:val="00624F3F"/>
    <w:rsid w:val="00624F70"/>
    <w:rsid w:val="006301A2"/>
    <w:rsid w:val="00630332"/>
    <w:rsid w:val="00630DF1"/>
    <w:rsid w:val="00632309"/>
    <w:rsid w:val="00633C0F"/>
    <w:rsid w:val="00634949"/>
    <w:rsid w:val="00637499"/>
    <w:rsid w:val="00637D73"/>
    <w:rsid w:val="00641AFE"/>
    <w:rsid w:val="00642742"/>
    <w:rsid w:val="00642FE8"/>
    <w:rsid w:val="006448E9"/>
    <w:rsid w:val="006451A4"/>
    <w:rsid w:val="00645FC0"/>
    <w:rsid w:val="00647570"/>
    <w:rsid w:val="00647978"/>
    <w:rsid w:val="006507F1"/>
    <w:rsid w:val="006517C8"/>
    <w:rsid w:val="00651BA0"/>
    <w:rsid w:val="006541F9"/>
    <w:rsid w:val="00654252"/>
    <w:rsid w:val="00654715"/>
    <w:rsid w:val="00654872"/>
    <w:rsid w:val="00656F40"/>
    <w:rsid w:val="00657192"/>
    <w:rsid w:val="006576E8"/>
    <w:rsid w:val="00660105"/>
    <w:rsid w:val="00660470"/>
    <w:rsid w:val="006618E8"/>
    <w:rsid w:val="00661E60"/>
    <w:rsid w:val="00663492"/>
    <w:rsid w:val="00664485"/>
    <w:rsid w:val="006648D3"/>
    <w:rsid w:val="00666A25"/>
    <w:rsid w:val="00666C8E"/>
    <w:rsid w:val="00666CBB"/>
    <w:rsid w:val="00670ABB"/>
    <w:rsid w:val="006711B2"/>
    <w:rsid w:val="00671289"/>
    <w:rsid w:val="0067301A"/>
    <w:rsid w:val="00673209"/>
    <w:rsid w:val="00673590"/>
    <w:rsid w:val="00673E6A"/>
    <w:rsid w:val="00676565"/>
    <w:rsid w:val="006770E6"/>
    <w:rsid w:val="00677A7B"/>
    <w:rsid w:val="00677BD7"/>
    <w:rsid w:val="00680532"/>
    <w:rsid w:val="00682BC4"/>
    <w:rsid w:val="00683D9C"/>
    <w:rsid w:val="00683FF7"/>
    <w:rsid w:val="006858BE"/>
    <w:rsid w:val="006859F7"/>
    <w:rsid w:val="00685A12"/>
    <w:rsid w:val="00685C9F"/>
    <w:rsid w:val="00686181"/>
    <w:rsid w:val="00687B38"/>
    <w:rsid w:val="006922CA"/>
    <w:rsid w:val="00692974"/>
    <w:rsid w:val="00692F1F"/>
    <w:rsid w:val="00693236"/>
    <w:rsid w:val="006947D9"/>
    <w:rsid w:val="00695588"/>
    <w:rsid w:val="00695AE4"/>
    <w:rsid w:val="00697692"/>
    <w:rsid w:val="00697B5C"/>
    <w:rsid w:val="006A1A69"/>
    <w:rsid w:val="006A1C8D"/>
    <w:rsid w:val="006A2C18"/>
    <w:rsid w:val="006A4932"/>
    <w:rsid w:val="006A4C04"/>
    <w:rsid w:val="006A72AD"/>
    <w:rsid w:val="006B1994"/>
    <w:rsid w:val="006B424A"/>
    <w:rsid w:val="006B45A3"/>
    <w:rsid w:val="006B4AE8"/>
    <w:rsid w:val="006B4F68"/>
    <w:rsid w:val="006B6533"/>
    <w:rsid w:val="006B6BEC"/>
    <w:rsid w:val="006B7C7C"/>
    <w:rsid w:val="006C0241"/>
    <w:rsid w:val="006C0886"/>
    <w:rsid w:val="006C2D1D"/>
    <w:rsid w:val="006C49E1"/>
    <w:rsid w:val="006C4C24"/>
    <w:rsid w:val="006C6D8E"/>
    <w:rsid w:val="006C7558"/>
    <w:rsid w:val="006D0AF3"/>
    <w:rsid w:val="006D0B1A"/>
    <w:rsid w:val="006D1060"/>
    <w:rsid w:val="006D413A"/>
    <w:rsid w:val="006D51AF"/>
    <w:rsid w:val="006D5D08"/>
    <w:rsid w:val="006D63C2"/>
    <w:rsid w:val="006D6DAE"/>
    <w:rsid w:val="006E5DF6"/>
    <w:rsid w:val="006E76E1"/>
    <w:rsid w:val="006E7B5C"/>
    <w:rsid w:val="006F02CD"/>
    <w:rsid w:val="006F0D9F"/>
    <w:rsid w:val="006F16EA"/>
    <w:rsid w:val="006F2A77"/>
    <w:rsid w:val="006F2EF0"/>
    <w:rsid w:val="006F362C"/>
    <w:rsid w:val="006F5FE9"/>
    <w:rsid w:val="006F70DE"/>
    <w:rsid w:val="007007C8"/>
    <w:rsid w:val="007014FF"/>
    <w:rsid w:val="00703B42"/>
    <w:rsid w:val="0070496E"/>
    <w:rsid w:val="00705896"/>
    <w:rsid w:val="00705946"/>
    <w:rsid w:val="00705C6C"/>
    <w:rsid w:val="00706405"/>
    <w:rsid w:val="0071163A"/>
    <w:rsid w:val="007120A8"/>
    <w:rsid w:val="00712199"/>
    <w:rsid w:val="00713411"/>
    <w:rsid w:val="0071416F"/>
    <w:rsid w:val="007144E0"/>
    <w:rsid w:val="007150B5"/>
    <w:rsid w:val="00715E4D"/>
    <w:rsid w:val="00716781"/>
    <w:rsid w:val="00716BB3"/>
    <w:rsid w:val="00717E50"/>
    <w:rsid w:val="0072481A"/>
    <w:rsid w:val="00724DF2"/>
    <w:rsid w:val="00727FD9"/>
    <w:rsid w:val="007310DC"/>
    <w:rsid w:val="00734024"/>
    <w:rsid w:val="007344B7"/>
    <w:rsid w:val="007362F9"/>
    <w:rsid w:val="00740CD7"/>
    <w:rsid w:val="00741BB1"/>
    <w:rsid w:val="007425E7"/>
    <w:rsid w:val="00742F2C"/>
    <w:rsid w:val="00743AF2"/>
    <w:rsid w:val="00744036"/>
    <w:rsid w:val="00745F64"/>
    <w:rsid w:val="00746BF1"/>
    <w:rsid w:val="00750DB9"/>
    <w:rsid w:val="007522AB"/>
    <w:rsid w:val="0075346F"/>
    <w:rsid w:val="007538AA"/>
    <w:rsid w:val="00756029"/>
    <w:rsid w:val="00756258"/>
    <w:rsid w:val="00760158"/>
    <w:rsid w:val="007602D3"/>
    <w:rsid w:val="00761254"/>
    <w:rsid w:val="00761824"/>
    <w:rsid w:val="00761EE4"/>
    <w:rsid w:val="007627BA"/>
    <w:rsid w:val="00762BCC"/>
    <w:rsid w:val="00763313"/>
    <w:rsid w:val="0076369A"/>
    <w:rsid w:val="00763B1E"/>
    <w:rsid w:val="00763F0F"/>
    <w:rsid w:val="00764148"/>
    <w:rsid w:val="00764DC1"/>
    <w:rsid w:val="00765894"/>
    <w:rsid w:val="00765E8C"/>
    <w:rsid w:val="00766C7C"/>
    <w:rsid w:val="0076787B"/>
    <w:rsid w:val="0077163D"/>
    <w:rsid w:val="00773FE7"/>
    <w:rsid w:val="00777BF4"/>
    <w:rsid w:val="0078024C"/>
    <w:rsid w:val="007805E6"/>
    <w:rsid w:val="0078108A"/>
    <w:rsid w:val="0078329E"/>
    <w:rsid w:val="007859A3"/>
    <w:rsid w:val="00787D54"/>
    <w:rsid w:val="00792597"/>
    <w:rsid w:val="007939DE"/>
    <w:rsid w:val="007944B9"/>
    <w:rsid w:val="007A2108"/>
    <w:rsid w:val="007A4F67"/>
    <w:rsid w:val="007A5A12"/>
    <w:rsid w:val="007A642B"/>
    <w:rsid w:val="007A70EC"/>
    <w:rsid w:val="007B010D"/>
    <w:rsid w:val="007B096F"/>
    <w:rsid w:val="007B1869"/>
    <w:rsid w:val="007B2D4D"/>
    <w:rsid w:val="007B3016"/>
    <w:rsid w:val="007B5629"/>
    <w:rsid w:val="007C1823"/>
    <w:rsid w:val="007C280D"/>
    <w:rsid w:val="007C58DB"/>
    <w:rsid w:val="007C6C36"/>
    <w:rsid w:val="007C7EC6"/>
    <w:rsid w:val="007D01C9"/>
    <w:rsid w:val="007D026F"/>
    <w:rsid w:val="007D14EF"/>
    <w:rsid w:val="007D1EF1"/>
    <w:rsid w:val="007D249B"/>
    <w:rsid w:val="007D2AD9"/>
    <w:rsid w:val="007D2C08"/>
    <w:rsid w:val="007D3D9B"/>
    <w:rsid w:val="007D6141"/>
    <w:rsid w:val="007E1DA4"/>
    <w:rsid w:val="007E284F"/>
    <w:rsid w:val="007E2923"/>
    <w:rsid w:val="007E2FF7"/>
    <w:rsid w:val="007E4138"/>
    <w:rsid w:val="007E4D16"/>
    <w:rsid w:val="007E4FD2"/>
    <w:rsid w:val="007E53AB"/>
    <w:rsid w:val="007F1D60"/>
    <w:rsid w:val="007F3463"/>
    <w:rsid w:val="007F38A1"/>
    <w:rsid w:val="007F3B3F"/>
    <w:rsid w:val="007F5E54"/>
    <w:rsid w:val="007F69FF"/>
    <w:rsid w:val="007F7318"/>
    <w:rsid w:val="0080131B"/>
    <w:rsid w:val="00802EBA"/>
    <w:rsid w:val="0080303A"/>
    <w:rsid w:val="00806A57"/>
    <w:rsid w:val="00806BA9"/>
    <w:rsid w:val="00807644"/>
    <w:rsid w:val="008147BF"/>
    <w:rsid w:val="00814E73"/>
    <w:rsid w:val="00815634"/>
    <w:rsid w:val="008160EF"/>
    <w:rsid w:val="00817B77"/>
    <w:rsid w:val="0082078D"/>
    <w:rsid w:val="00820D2A"/>
    <w:rsid w:val="00821659"/>
    <w:rsid w:val="0082235C"/>
    <w:rsid w:val="00822A20"/>
    <w:rsid w:val="008234F4"/>
    <w:rsid w:val="008252AF"/>
    <w:rsid w:val="00825EFC"/>
    <w:rsid w:val="0082776D"/>
    <w:rsid w:val="00827CD1"/>
    <w:rsid w:val="008336B8"/>
    <w:rsid w:val="008337C0"/>
    <w:rsid w:val="00834BA4"/>
    <w:rsid w:val="008353C8"/>
    <w:rsid w:val="008367BA"/>
    <w:rsid w:val="008412FB"/>
    <w:rsid w:val="00842772"/>
    <w:rsid w:val="008448A5"/>
    <w:rsid w:val="0084594A"/>
    <w:rsid w:val="00847AB1"/>
    <w:rsid w:val="00847E7C"/>
    <w:rsid w:val="00850DE9"/>
    <w:rsid w:val="00851E39"/>
    <w:rsid w:val="00853557"/>
    <w:rsid w:val="00854DDC"/>
    <w:rsid w:val="00855137"/>
    <w:rsid w:val="00856574"/>
    <w:rsid w:val="00860DCC"/>
    <w:rsid w:val="00861C7E"/>
    <w:rsid w:val="0086471D"/>
    <w:rsid w:val="00865814"/>
    <w:rsid w:val="00866070"/>
    <w:rsid w:val="00873599"/>
    <w:rsid w:val="00874B2C"/>
    <w:rsid w:val="008750C0"/>
    <w:rsid w:val="0087539F"/>
    <w:rsid w:val="00875D0D"/>
    <w:rsid w:val="00876091"/>
    <w:rsid w:val="00876B83"/>
    <w:rsid w:val="00882272"/>
    <w:rsid w:val="00883F55"/>
    <w:rsid w:val="00884E35"/>
    <w:rsid w:val="00884F91"/>
    <w:rsid w:val="00886381"/>
    <w:rsid w:val="00886850"/>
    <w:rsid w:val="00891197"/>
    <w:rsid w:val="008911DE"/>
    <w:rsid w:val="00895434"/>
    <w:rsid w:val="0089626F"/>
    <w:rsid w:val="008968BD"/>
    <w:rsid w:val="00896AB3"/>
    <w:rsid w:val="008A12EA"/>
    <w:rsid w:val="008A2C47"/>
    <w:rsid w:val="008A30DE"/>
    <w:rsid w:val="008A3746"/>
    <w:rsid w:val="008A40C7"/>
    <w:rsid w:val="008A4A41"/>
    <w:rsid w:val="008A5955"/>
    <w:rsid w:val="008A61E4"/>
    <w:rsid w:val="008A6C8C"/>
    <w:rsid w:val="008B13AE"/>
    <w:rsid w:val="008B2B40"/>
    <w:rsid w:val="008B4AEB"/>
    <w:rsid w:val="008B635F"/>
    <w:rsid w:val="008B6EED"/>
    <w:rsid w:val="008B728E"/>
    <w:rsid w:val="008B7F15"/>
    <w:rsid w:val="008C209A"/>
    <w:rsid w:val="008C22BF"/>
    <w:rsid w:val="008C23EC"/>
    <w:rsid w:val="008C352C"/>
    <w:rsid w:val="008C3BA2"/>
    <w:rsid w:val="008C3D05"/>
    <w:rsid w:val="008D282A"/>
    <w:rsid w:val="008D3234"/>
    <w:rsid w:val="008D3AF8"/>
    <w:rsid w:val="008D467D"/>
    <w:rsid w:val="008D483A"/>
    <w:rsid w:val="008D4AC7"/>
    <w:rsid w:val="008D4D3B"/>
    <w:rsid w:val="008D79DA"/>
    <w:rsid w:val="008E26FD"/>
    <w:rsid w:val="008E3D5A"/>
    <w:rsid w:val="008E58EE"/>
    <w:rsid w:val="008E6B67"/>
    <w:rsid w:val="008F1656"/>
    <w:rsid w:val="008F1AF8"/>
    <w:rsid w:val="008F2723"/>
    <w:rsid w:val="008F2759"/>
    <w:rsid w:val="008F2EA7"/>
    <w:rsid w:val="008F6141"/>
    <w:rsid w:val="009004F2"/>
    <w:rsid w:val="00900730"/>
    <w:rsid w:val="00901822"/>
    <w:rsid w:val="00905177"/>
    <w:rsid w:val="009072EF"/>
    <w:rsid w:val="00910FA9"/>
    <w:rsid w:val="009110A3"/>
    <w:rsid w:val="00913B73"/>
    <w:rsid w:val="009146E4"/>
    <w:rsid w:val="00916784"/>
    <w:rsid w:val="00921614"/>
    <w:rsid w:val="00921EF7"/>
    <w:rsid w:val="009222BF"/>
    <w:rsid w:val="00923873"/>
    <w:rsid w:val="009242BA"/>
    <w:rsid w:val="009274FB"/>
    <w:rsid w:val="009276C7"/>
    <w:rsid w:val="00931998"/>
    <w:rsid w:val="00933C0D"/>
    <w:rsid w:val="009350EE"/>
    <w:rsid w:val="00935DD0"/>
    <w:rsid w:val="00936454"/>
    <w:rsid w:val="00936FDA"/>
    <w:rsid w:val="00937266"/>
    <w:rsid w:val="00937A89"/>
    <w:rsid w:val="00941490"/>
    <w:rsid w:val="0094175E"/>
    <w:rsid w:val="00942317"/>
    <w:rsid w:val="009431AB"/>
    <w:rsid w:val="00944659"/>
    <w:rsid w:val="00945AC4"/>
    <w:rsid w:val="009466CA"/>
    <w:rsid w:val="00953B4B"/>
    <w:rsid w:val="00953E24"/>
    <w:rsid w:val="0095700F"/>
    <w:rsid w:val="00957035"/>
    <w:rsid w:val="009627F9"/>
    <w:rsid w:val="00963478"/>
    <w:rsid w:val="00963720"/>
    <w:rsid w:val="009640C4"/>
    <w:rsid w:val="009641B3"/>
    <w:rsid w:val="00965FC7"/>
    <w:rsid w:val="00966502"/>
    <w:rsid w:val="0096658A"/>
    <w:rsid w:val="0096711F"/>
    <w:rsid w:val="00971A74"/>
    <w:rsid w:val="00972FCC"/>
    <w:rsid w:val="009733DF"/>
    <w:rsid w:val="00973D9E"/>
    <w:rsid w:val="00975274"/>
    <w:rsid w:val="00975BEB"/>
    <w:rsid w:val="00977910"/>
    <w:rsid w:val="00981427"/>
    <w:rsid w:val="0098224F"/>
    <w:rsid w:val="00982609"/>
    <w:rsid w:val="009842BB"/>
    <w:rsid w:val="00985122"/>
    <w:rsid w:val="0099056F"/>
    <w:rsid w:val="00991A7E"/>
    <w:rsid w:val="009923FB"/>
    <w:rsid w:val="009934FB"/>
    <w:rsid w:val="00994358"/>
    <w:rsid w:val="0099581C"/>
    <w:rsid w:val="00997D6A"/>
    <w:rsid w:val="009A0B6D"/>
    <w:rsid w:val="009A1EA7"/>
    <w:rsid w:val="009A46E2"/>
    <w:rsid w:val="009A4D62"/>
    <w:rsid w:val="009B1179"/>
    <w:rsid w:val="009B3206"/>
    <w:rsid w:val="009B6294"/>
    <w:rsid w:val="009B7401"/>
    <w:rsid w:val="009B7951"/>
    <w:rsid w:val="009C173B"/>
    <w:rsid w:val="009C1BFE"/>
    <w:rsid w:val="009C4EC4"/>
    <w:rsid w:val="009C6427"/>
    <w:rsid w:val="009D0F65"/>
    <w:rsid w:val="009D1108"/>
    <w:rsid w:val="009D418D"/>
    <w:rsid w:val="009D6EB5"/>
    <w:rsid w:val="009D75BF"/>
    <w:rsid w:val="009D77DF"/>
    <w:rsid w:val="009E01A1"/>
    <w:rsid w:val="009E1811"/>
    <w:rsid w:val="009E3C4F"/>
    <w:rsid w:val="009E6A42"/>
    <w:rsid w:val="009E73A0"/>
    <w:rsid w:val="009F0440"/>
    <w:rsid w:val="009F3530"/>
    <w:rsid w:val="009F5C6B"/>
    <w:rsid w:val="009F7779"/>
    <w:rsid w:val="00A01858"/>
    <w:rsid w:val="00A03C04"/>
    <w:rsid w:val="00A03DA2"/>
    <w:rsid w:val="00A03FDA"/>
    <w:rsid w:val="00A04C3E"/>
    <w:rsid w:val="00A04F3E"/>
    <w:rsid w:val="00A123AA"/>
    <w:rsid w:val="00A12526"/>
    <w:rsid w:val="00A131A6"/>
    <w:rsid w:val="00A15921"/>
    <w:rsid w:val="00A15BDF"/>
    <w:rsid w:val="00A1663C"/>
    <w:rsid w:val="00A207F1"/>
    <w:rsid w:val="00A20AF8"/>
    <w:rsid w:val="00A21608"/>
    <w:rsid w:val="00A21B31"/>
    <w:rsid w:val="00A23295"/>
    <w:rsid w:val="00A24842"/>
    <w:rsid w:val="00A2680A"/>
    <w:rsid w:val="00A269AD"/>
    <w:rsid w:val="00A275FD"/>
    <w:rsid w:val="00A304DC"/>
    <w:rsid w:val="00A326DE"/>
    <w:rsid w:val="00A33388"/>
    <w:rsid w:val="00A35A1C"/>
    <w:rsid w:val="00A36D57"/>
    <w:rsid w:val="00A41177"/>
    <w:rsid w:val="00A435D7"/>
    <w:rsid w:val="00A438C9"/>
    <w:rsid w:val="00A43C2C"/>
    <w:rsid w:val="00A45541"/>
    <w:rsid w:val="00A51DC9"/>
    <w:rsid w:val="00A6187B"/>
    <w:rsid w:val="00A619AD"/>
    <w:rsid w:val="00A62EAC"/>
    <w:rsid w:val="00A62FC0"/>
    <w:rsid w:val="00A66202"/>
    <w:rsid w:val="00A663AD"/>
    <w:rsid w:val="00A66DE4"/>
    <w:rsid w:val="00A67176"/>
    <w:rsid w:val="00A67513"/>
    <w:rsid w:val="00A67B66"/>
    <w:rsid w:val="00A70166"/>
    <w:rsid w:val="00A70AD4"/>
    <w:rsid w:val="00A71DA8"/>
    <w:rsid w:val="00A7710E"/>
    <w:rsid w:val="00A77D23"/>
    <w:rsid w:val="00A80603"/>
    <w:rsid w:val="00A8390E"/>
    <w:rsid w:val="00A863E3"/>
    <w:rsid w:val="00A873F3"/>
    <w:rsid w:val="00A92334"/>
    <w:rsid w:val="00A925C9"/>
    <w:rsid w:val="00A9352F"/>
    <w:rsid w:val="00A958E6"/>
    <w:rsid w:val="00A979DA"/>
    <w:rsid w:val="00AA162A"/>
    <w:rsid w:val="00AA1792"/>
    <w:rsid w:val="00AA23AA"/>
    <w:rsid w:val="00AA2686"/>
    <w:rsid w:val="00AA4E61"/>
    <w:rsid w:val="00AA54BD"/>
    <w:rsid w:val="00AA69FD"/>
    <w:rsid w:val="00AA7DF1"/>
    <w:rsid w:val="00AB04F2"/>
    <w:rsid w:val="00AB0F1A"/>
    <w:rsid w:val="00AB1A5A"/>
    <w:rsid w:val="00AB2129"/>
    <w:rsid w:val="00AB4A37"/>
    <w:rsid w:val="00AB4F17"/>
    <w:rsid w:val="00AB53E0"/>
    <w:rsid w:val="00AB6944"/>
    <w:rsid w:val="00AC28A4"/>
    <w:rsid w:val="00AC3196"/>
    <w:rsid w:val="00AC3797"/>
    <w:rsid w:val="00AC61B7"/>
    <w:rsid w:val="00AC75C1"/>
    <w:rsid w:val="00AD2691"/>
    <w:rsid w:val="00AD3DB4"/>
    <w:rsid w:val="00AD5E4D"/>
    <w:rsid w:val="00AD6D71"/>
    <w:rsid w:val="00AE0C9B"/>
    <w:rsid w:val="00AE1D62"/>
    <w:rsid w:val="00AE2FF0"/>
    <w:rsid w:val="00AE3B79"/>
    <w:rsid w:val="00AE3FDB"/>
    <w:rsid w:val="00AE4D96"/>
    <w:rsid w:val="00AE6E46"/>
    <w:rsid w:val="00AE71CC"/>
    <w:rsid w:val="00AE761C"/>
    <w:rsid w:val="00AF120C"/>
    <w:rsid w:val="00AF1915"/>
    <w:rsid w:val="00AF233E"/>
    <w:rsid w:val="00AF2AF0"/>
    <w:rsid w:val="00AF3172"/>
    <w:rsid w:val="00AF4258"/>
    <w:rsid w:val="00AF528D"/>
    <w:rsid w:val="00AF544E"/>
    <w:rsid w:val="00AF661B"/>
    <w:rsid w:val="00AF6B8B"/>
    <w:rsid w:val="00B01562"/>
    <w:rsid w:val="00B016E3"/>
    <w:rsid w:val="00B02423"/>
    <w:rsid w:val="00B03AB5"/>
    <w:rsid w:val="00B04CCD"/>
    <w:rsid w:val="00B1008E"/>
    <w:rsid w:val="00B10BCB"/>
    <w:rsid w:val="00B11099"/>
    <w:rsid w:val="00B12B37"/>
    <w:rsid w:val="00B13510"/>
    <w:rsid w:val="00B15442"/>
    <w:rsid w:val="00B165B0"/>
    <w:rsid w:val="00B204ED"/>
    <w:rsid w:val="00B225C2"/>
    <w:rsid w:val="00B22C2A"/>
    <w:rsid w:val="00B25850"/>
    <w:rsid w:val="00B258A6"/>
    <w:rsid w:val="00B30CB3"/>
    <w:rsid w:val="00B30FD2"/>
    <w:rsid w:val="00B31E25"/>
    <w:rsid w:val="00B33641"/>
    <w:rsid w:val="00B34B3E"/>
    <w:rsid w:val="00B37837"/>
    <w:rsid w:val="00B40681"/>
    <w:rsid w:val="00B40866"/>
    <w:rsid w:val="00B4383D"/>
    <w:rsid w:val="00B43F8A"/>
    <w:rsid w:val="00B45059"/>
    <w:rsid w:val="00B45895"/>
    <w:rsid w:val="00B45D71"/>
    <w:rsid w:val="00B47EAA"/>
    <w:rsid w:val="00B51A36"/>
    <w:rsid w:val="00B51FDF"/>
    <w:rsid w:val="00B524E2"/>
    <w:rsid w:val="00B5268C"/>
    <w:rsid w:val="00B532D1"/>
    <w:rsid w:val="00B53FAF"/>
    <w:rsid w:val="00B54FC7"/>
    <w:rsid w:val="00B5666B"/>
    <w:rsid w:val="00B60643"/>
    <w:rsid w:val="00B62477"/>
    <w:rsid w:val="00B637FD"/>
    <w:rsid w:val="00B63896"/>
    <w:rsid w:val="00B63906"/>
    <w:rsid w:val="00B63965"/>
    <w:rsid w:val="00B644BF"/>
    <w:rsid w:val="00B659F2"/>
    <w:rsid w:val="00B665AD"/>
    <w:rsid w:val="00B6781A"/>
    <w:rsid w:val="00B70BC4"/>
    <w:rsid w:val="00B71CC3"/>
    <w:rsid w:val="00B723A3"/>
    <w:rsid w:val="00B72A7B"/>
    <w:rsid w:val="00B73961"/>
    <w:rsid w:val="00B74F0E"/>
    <w:rsid w:val="00B754A0"/>
    <w:rsid w:val="00B75545"/>
    <w:rsid w:val="00B80366"/>
    <w:rsid w:val="00B81496"/>
    <w:rsid w:val="00B81934"/>
    <w:rsid w:val="00B81B17"/>
    <w:rsid w:val="00B82BC6"/>
    <w:rsid w:val="00B838FE"/>
    <w:rsid w:val="00B84354"/>
    <w:rsid w:val="00B848C3"/>
    <w:rsid w:val="00B84E82"/>
    <w:rsid w:val="00B856BB"/>
    <w:rsid w:val="00B8626A"/>
    <w:rsid w:val="00B86BE5"/>
    <w:rsid w:val="00B9057B"/>
    <w:rsid w:val="00B91B37"/>
    <w:rsid w:val="00B94270"/>
    <w:rsid w:val="00B944A2"/>
    <w:rsid w:val="00BA037C"/>
    <w:rsid w:val="00BA131E"/>
    <w:rsid w:val="00BA19D5"/>
    <w:rsid w:val="00BA2E21"/>
    <w:rsid w:val="00BA41C6"/>
    <w:rsid w:val="00BA6FFA"/>
    <w:rsid w:val="00BB2054"/>
    <w:rsid w:val="00BB2090"/>
    <w:rsid w:val="00BB220B"/>
    <w:rsid w:val="00BB3819"/>
    <w:rsid w:val="00BB66C2"/>
    <w:rsid w:val="00BB7C79"/>
    <w:rsid w:val="00BC2C61"/>
    <w:rsid w:val="00BC3E48"/>
    <w:rsid w:val="00BC4FA7"/>
    <w:rsid w:val="00BD0815"/>
    <w:rsid w:val="00BD0CC8"/>
    <w:rsid w:val="00BD10F9"/>
    <w:rsid w:val="00BD1F1C"/>
    <w:rsid w:val="00BD2697"/>
    <w:rsid w:val="00BD593C"/>
    <w:rsid w:val="00BD5B99"/>
    <w:rsid w:val="00BD6973"/>
    <w:rsid w:val="00BE0544"/>
    <w:rsid w:val="00BE1EF3"/>
    <w:rsid w:val="00BE5338"/>
    <w:rsid w:val="00BE5756"/>
    <w:rsid w:val="00BE747B"/>
    <w:rsid w:val="00BF6C16"/>
    <w:rsid w:val="00C00ED9"/>
    <w:rsid w:val="00C01728"/>
    <w:rsid w:val="00C01A06"/>
    <w:rsid w:val="00C01B4B"/>
    <w:rsid w:val="00C01BFC"/>
    <w:rsid w:val="00C01C87"/>
    <w:rsid w:val="00C022AA"/>
    <w:rsid w:val="00C02CB5"/>
    <w:rsid w:val="00C02DE6"/>
    <w:rsid w:val="00C036E6"/>
    <w:rsid w:val="00C053A7"/>
    <w:rsid w:val="00C07637"/>
    <w:rsid w:val="00C07807"/>
    <w:rsid w:val="00C100A6"/>
    <w:rsid w:val="00C142C9"/>
    <w:rsid w:val="00C14B26"/>
    <w:rsid w:val="00C17EB5"/>
    <w:rsid w:val="00C201D3"/>
    <w:rsid w:val="00C20386"/>
    <w:rsid w:val="00C20549"/>
    <w:rsid w:val="00C220A2"/>
    <w:rsid w:val="00C222CA"/>
    <w:rsid w:val="00C232E4"/>
    <w:rsid w:val="00C23784"/>
    <w:rsid w:val="00C25D72"/>
    <w:rsid w:val="00C2739E"/>
    <w:rsid w:val="00C30B62"/>
    <w:rsid w:val="00C315F3"/>
    <w:rsid w:val="00C3301E"/>
    <w:rsid w:val="00C337A6"/>
    <w:rsid w:val="00C37369"/>
    <w:rsid w:val="00C4068A"/>
    <w:rsid w:val="00C408E3"/>
    <w:rsid w:val="00C42615"/>
    <w:rsid w:val="00C42DDF"/>
    <w:rsid w:val="00C43F43"/>
    <w:rsid w:val="00C44B31"/>
    <w:rsid w:val="00C44DB4"/>
    <w:rsid w:val="00C453F5"/>
    <w:rsid w:val="00C454AB"/>
    <w:rsid w:val="00C5175E"/>
    <w:rsid w:val="00C52E32"/>
    <w:rsid w:val="00C54281"/>
    <w:rsid w:val="00C55EF9"/>
    <w:rsid w:val="00C55F76"/>
    <w:rsid w:val="00C56F16"/>
    <w:rsid w:val="00C5735C"/>
    <w:rsid w:val="00C57F92"/>
    <w:rsid w:val="00C606C1"/>
    <w:rsid w:val="00C620E6"/>
    <w:rsid w:val="00C624A8"/>
    <w:rsid w:val="00C63F15"/>
    <w:rsid w:val="00C65153"/>
    <w:rsid w:val="00C65829"/>
    <w:rsid w:val="00C666E6"/>
    <w:rsid w:val="00C67B16"/>
    <w:rsid w:val="00C71FA9"/>
    <w:rsid w:val="00C723FE"/>
    <w:rsid w:val="00C7249E"/>
    <w:rsid w:val="00C7556F"/>
    <w:rsid w:val="00C806AA"/>
    <w:rsid w:val="00C816EA"/>
    <w:rsid w:val="00C836AE"/>
    <w:rsid w:val="00C83B20"/>
    <w:rsid w:val="00C83CB9"/>
    <w:rsid w:val="00C84C54"/>
    <w:rsid w:val="00C85913"/>
    <w:rsid w:val="00C91091"/>
    <w:rsid w:val="00C9165C"/>
    <w:rsid w:val="00C936A3"/>
    <w:rsid w:val="00C96F18"/>
    <w:rsid w:val="00CA0E70"/>
    <w:rsid w:val="00CA12E1"/>
    <w:rsid w:val="00CA21E7"/>
    <w:rsid w:val="00CA2531"/>
    <w:rsid w:val="00CA28AF"/>
    <w:rsid w:val="00CA3F04"/>
    <w:rsid w:val="00CA6338"/>
    <w:rsid w:val="00CB025B"/>
    <w:rsid w:val="00CB04D1"/>
    <w:rsid w:val="00CB0D4C"/>
    <w:rsid w:val="00CB1352"/>
    <w:rsid w:val="00CB29AD"/>
    <w:rsid w:val="00CB5B4D"/>
    <w:rsid w:val="00CB6D49"/>
    <w:rsid w:val="00CB6D7C"/>
    <w:rsid w:val="00CB79DD"/>
    <w:rsid w:val="00CC0CC1"/>
    <w:rsid w:val="00CC17B7"/>
    <w:rsid w:val="00CC3156"/>
    <w:rsid w:val="00CC4EE6"/>
    <w:rsid w:val="00CC6178"/>
    <w:rsid w:val="00CC621A"/>
    <w:rsid w:val="00CC6D5A"/>
    <w:rsid w:val="00CD0ED5"/>
    <w:rsid w:val="00CD18CE"/>
    <w:rsid w:val="00CD18E5"/>
    <w:rsid w:val="00CD2E76"/>
    <w:rsid w:val="00CD3BD9"/>
    <w:rsid w:val="00CE27E0"/>
    <w:rsid w:val="00CE326C"/>
    <w:rsid w:val="00CE3294"/>
    <w:rsid w:val="00CE3530"/>
    <w:rsid w:val="00CE4EC9"/>
    <w:rsid w:val="00CE52DF"/>
    <w:rsid w:val="00CF1154"/>
    <w:rsid w:val="00CF1366"/>
    <w:rsid w:val="00CF29D1"/>
    <w:rsid w:val="00CF349B"/>
    <w:rsid w:val="00CF73DC"/>
    <w:rsid w:val="00D02B4D"/>
    <w:rsid w:val="00D04AB0"/>
    <w:rsid w:val="00D05DAE"/>
    <w:rsid w:val="00D07BA8"/>
    <w:rsid w:val="00D10587"/>
    <w:rsid w:val="00D106FF"/>
    <w:rsid w:val="00D15FDA"/>
    <w:rsid w:val="00D171C7"/>
    <w:rsid w:val="00D20D78"/>
    <w:rsid w:val="00D21460"/>
    <w:rsid w:val="00D22B37"/>
    <w:rsid w:val="00D23329"/>
    <w:rsid w:val="00D2533D"/>
    <w:rsid w:val="00D30057"/>
    <w:rsid w:val="00D30663"/>
    <w:rsid w:val="00D31996"/>
    <w:rsid w:val="00D3576D"/>
    <w:rsid w:val="00D35BF7"/>
    <w:rsid w:val="00D37127"/>
    <w:rsid w:val="00D377B2"/>
    <w:rsid w:val="00D41057"/>
    <w:rsid w:val="00D41075"/>
    <w:rsid w:val="00D41185"/>
    <w:rsid w:val="00D4127A"/>
    <w:rsid w:val="00D4176E"/>
    <w:rsid w:val="00D41EB1"/>
    <w:rsid w:val="00D42331"/>
    <w:rsid w:val="00D42E08"/>
    <w:rsid w:val="00D44936"/>
    <w:rsid w:val="00D4693C"/>
    <w:rsid w:val="00D4767A"/>
    <w:rsid w:val="00D567DB"/>
    <w:rsid w:val="00D574BD"/>
    <w:rsid w:val="00D5751D"/>
    <w:rsid w:val="00D5756F"/>
    <w:rsid w:val="00D61A61"/>
    <w:rsid w:val="00D64208"/>
    <w:rsid w:val="00D66745"/>
    <w:rsid w:val="00D67711"/>
    <w:rsid w:val="00D677AD"/>
    <w:rsid w:val="00D717D7"/>
    <w:rsid w:val="00D71D3A"/>
    <w:rsid w:val="00D72441"/>
    <w:rsid w:val="00D73605"/>
    <w:rsid w:val="00D7428C"/>
    <w:rsid w:val="00D74F24"/>
    <w:rsid w:val="00D75AFC"/>
    <w:rsid w:val="00D75D3F"/>
    <w:rsid w:val="00D80B45"/>
    <w:rsid w:val="00D90F54"/>
    <w:rsid w:val="00D91504"/>
    <w:rsid w:val="00D91C75"/>
    <w:rsid w:val="00D92F1D"/>
    <w:rsid w:val="00D93625"/>
    <w:rsid w:val="00D93E26"/>
    <w:rsid w:val="00D94558"/>
    <w:rsid w:val="00D94CE4"/>
    <w:rsid w:val="00D94CE7"/>
    <w:rsid w:val="00D95400"/>
    <w:rsid w:val="00DA29E0"/>
    <w:rsid w:val="00DA3DBF"/>
    <w:rsid w:val="00DA5293"/>
    <w:rsid w:val="00DA69DC"/>
    <w:rsid w:val="00DA7AB0"/>
    <w:rsid w:val="00DB161C"/>
    <w:rsid w:val="00DB1710"/>
    <w:rsid w:val="00DB2BD3"/>
    <w:rsid w:val="00DB2D01"/>
    <w:rsid w:val="00DB490F"/>
    <w:rsid w:val="00DB5B51"/>
    <w:rsid w:val="00DB639E"/>
    <w:rsid w:val="00DB6ECA"/>
    <w:rsid w:val="00DC05E6"/>
    <w:rsid w:val="00DC08EB"/>
    <w:rsid w:val="00DC0CB1"/>
    <w:rsid w:val="00DC0F1F"/>
    <w:rsid w:val="00DC2532"/>
    <w:rsid w:val="00DC6495"/>
    <w:rsid w:val="00DD0F6D"/>
    <w:rsid w:val="00DD12B5"/>
    <w:rsid w:val="00DD140F"/>
    <w:rsid w:val="00DD1A14"/>
    <w:rsid w:val="00DD2B5E"/>
    <w:rsid w:val="00DD6426"/>
    <w:rsid w:val="00DE06ED"/>
    <w:rsid w:val="00DE0AC6"/>
    <w:rsid w:val="00DE118E"/>
    <w:rsid w:val="00DE26B3"/>
    <w:rsid w:val="00DE3AA5"/>
    <w:rsid w:val="00DE3B73"/>
    <w:rsid w:val="00DF1926"/>
    <w:rsid w:val="00DF19E7"/>
    <w:rsid w:val="00DF2197"/>
    <w:rsid w:val="00DF2564"/>
    <w:rsid w:val="00DF2743"/>
    <w:rsid w:val="00DF3DE6"/>
    <w:rsid w:val="00DF4370"/>
    <w:rsid w:val="00DF4B6D"/>
    <w:rsid w:val="00DF6BEB"/>
    <w:rsid w:val="00E01262"/>
    <w:rsid w:val="00E04584"/>
    <w:rsid w:val="00E04824"/>
    <w:rsid w:val="00E079C4"/>
    <w:rsid w:val="00E1073E"/>
    <w:rsid w:val="00E11025"/>
    <w:rsid w:val="00E12853"/>
    <w:rsid w:val="00E12F9B"/>
    <w:rsid w:val="00E14835"/>
    <w:rsid w:val="00E14D49"/>
    <w:rsid w:val="00E155B0"/>
    <w:rsid w:val="00E1565E"/>
    <w:rsid w:val="00E17317"/>
    <w:rsid w:val="00E174B5"/>
    <w:rsid w:val="00E178A7"/>
    <w:rsid w:val="00E17D6B"/>
    <w:rsid w:val="00E25E1A"/>
    <w:rsid w:val="00E26C19"/>
    <w:rsid w:val="00E275EC"/>
    <w:rsid w:val="00E27C49"/>
    <w:rsid w:val="00E30FFD"/>
    <w:rsid w:val="00E33FAB"/>
    <w:rsid w:val="00E35E21"/>
    <w:rsid w:val="00E37794"/>
    <w:rsid w:val="00E37AF6"/>
    <w:rsid w:val="00E4106F"/>
    <w:rsid w:val="00E416D4"/>
    <w:rsid w:val="00E43460"/>
    <w:rsid w:val="00E44980"/>
    <w:rsid w:val="00E4577B"/>
    <w:rsid w:val="00E46711"/>
    <w:rsid w:val="00E5226C"/>
    <w:rsid w:val="00E523C7"/>
    <w:rsid w:val="00E52AB1"/>
    <w:rsid w:val="00E53EE1"/>
    <w:rsid w:val="00E54293"/>
    <w:rsid w:val="00E5589E"/>
    <w:rsid w:val="00E605F2"/>
    <w:rsid w:val="00E62117"/>
    <w:rsid w:val="00E62EBB"/>
    <w:rsid w:val="00E632CF"/>
    <w:rsid w:val="00E65CD2"/>
    <w:rsid w:val="00E65DD8"/>
    <w:rsid w:val="00E675FA"/>
    <w:rsid w:val="00E679B8"/>
    <w:rsid w:val="00E67B10"/>
    <w:rsid w:val="00E75174"/>
    <w:rsid w:val="00E75DAD"/>
    <w:rsid w:val="00E826DD"/>
    <w:rsid w:val="00E82E3D"/>
    <w:rsid w:val="00E83BEF"/>
    <w:rsid w:val="00E84C5D"/>
    <w:rsid w:val="00E86143"/>
    <w:rsid w:val="00E86C74"/>
    <w:rsid w:val="00E920B0"/>
    <w:rsid w:val="00E921C3"/>
    <w:rsid w:val="00E9254B"/>
    <w:rsid w:val="00E931C9"/>
    <w:rsid w:val="00E9457C"/>
    <w:rsid w:val="00E96226"/>
    <w:rsid w:val="00E96356"/>
    <w:rsid w:val="00E976D7"/>
    <w:rsid w:val="00EA3AC8"/>
    <w:rsid w:val="00EA4811"/>
    <w:rsid w:val="00EA5E0B"/>
    <w:rsid w:val="00EA6A24"/>
    <w:rsid w:val="00EA6FE1"/>
    <w:rsid w:val="00EB0FFD"/>
    <w:rsid w:val="00EB3716"/>
    <w:rsid w:val="00EB47B1"/>
    <w:rsid w:val="00EB4D4A"/>
    <w:rsid w:val="00EB4EA1"/>
    <w:rsid w:val="00EB5C1A"/>
    <w:rsid w:val="00EB65EB"/>
    <w:rsid w:val="00EB6A78"/>
    <w:rsid w:val="00EB7EF9"/>
    <w:rsid w:val="00EC0C4E"/>
    <w:rsid w:val="00EC1ECC"/>
    <w:rsid w:val="00EC2229"/>
    <w:rsid w:val="00EC29CA"/>
    <w:rsid w:val="00EC3044"/>
    <w:rsid w:val="00EC39E0"/>
    <w:rsid w:val="00EC7AFC"/>
    <w:rsid w:val="00ED10D5"/>
    <w:rsid w:val="00ED175E"/>
    <w:rsid w:val="00ED250E"/>
    <w:rsid w:val="00ED2FBA"/>
    <w:rsid w:val="00ED3068"/>
    <w:rsid w:val="00ED45E7"/>
    <w:rsid w:val="00ED5C14"/>
    <w:rsid w:val="00ED6834"/>
    <w:rsid w:val="00ED7A09"/>
    <w:rsid w:val="00EE2956"/>
    <w:rsid w:val="00EE39E3"/>
    <w:rsid w:val="00EE3F29"/>
    <w:rsid w:val="00EE5B3D"/>
    <w:rsid w:val="00EF058C"/>
    <w:rsid w:val="00EF096D"/>
    <w:rsid w:val="00EF1E32"/>
    <w:rsid w:val="00EF6006"/>
    <w:rsid w:val="00EF6B03"/>
    <w:rsid w:val="00EF7075"/>
    <w:rsid w:val="00F05639"/>
    <w:rsid w:val="00F07028"/>
    <w:rsid w:val="00F10055"/>
    <w:rsid w:val="00F10B2B"/>
    <w:rsid w:val="00F10C08"/>
    <w:rsid w:val="00F11C62"/>
    <w:rsid w:val="00F12F60"/>
    <w:rsid w:val="00F1427F"/>
    <w:rsid w:val="00F14A8B"/>
    <w:rsid w:val="00F21BA2"/>
    <w:rsid w:val="00F23B81"/>
    <w:rsid w:val="00F23E2E"/>
    <w:rsid w:val="00F24837"/>
    <w:rsid w:val="00F30286"/>
    <w:rsid w:val="00F3036B"/>
    <w:rsid w:val="00F3075E"/>
    <w:rsid w:val="00F31E4C"/>
    <w:rsid w:val="00F3216C"/>
    <w:rsid w:val="00F34B55"/>
    <w:rsid w:val="00F3598B"/>
    <w:rsid w:val="00F35B94"/>
    <w:rsid w:val="00F42236"/>
    <w:rsid w:val="00F4495B"/>
    <w:rsid w:val="00F456E4"/>
    <w:rsid w:val="00F45CF7"/>
    <w:rsid w:val="00F511BC"/>
    <w:rsid w:val="00F525FE"/>
    <w:rsid w:val="00F5290C"/>
    <w:rsid w:val="00F53E43"/>
    <w:rsid w:val="00F576D0"/>
    <w:rsid w:val="00F57B45"/>
    <w:rsid w:val="00F60BCF"/>
    <w:rsid w:val="00F60D9E"/>
    <w:rsid w:val="00F6106A"/>
    <w:rsid w:val="00F650CD"/>
    <w:rsid w:val="00F70B01"/>
    <w:rsid w:val="00F70EFE"/>
    <w:rsid w:val="00F72104"/>
    <w:rsid w:val="00F72DAE"/>
    <w:rsid w:val="00F745E6"/>
    <w:rsid w:val="00F777E4"/>
    <w:rsid w:val="00F800B9"/>
    <w:rsid w:val="00F80D15"/>
    <w:rsid w:val="00F80F65"/>
    <w:rsid w:val="00F82102"/>
    <w:rsid w:val="00F83AE9"/>
    <w:rsid w:val="00F8577C"/>
    <w:rsid w:val="00F8638E"/>
    <w:rsid w:val="00F8678F"/>
    <w:rsid w:val="00F86A38"/>
    <w:rsid w:val="00F90D10"/>
    <w:rsid w:val="00F91C68"/>
    <w:rsid w:val="00F93613"/>
    <w:rsid w:val="00F96E5D"/>
    <w:rsid w:val="00FA27DA"/>
    <w:rsid w:val="00FA2F2B"/>
    <w:rsid w:val="00FA387A"/>
    <w:rsid w:val="00FA3CC4"/>
    <w:rsid w:val="00FA5B55"/>
    <w:rsid w:val="00FA6CB0"/>
    <w:rsid w:val="00FA7BFD"/>
    <w:rsid w:val="00FA7D26"/>
    <w:rsid w:val="00FB0102"/>
    <w:rsid w:val="00FB0676"/>
    <w:rsid w:val="00FB0AE1"/>
    <w:rsid w:val="00FB1060"/>
    <w:rsid w:val="00FB18EE"/>
    <w:rsid w:val="00FB1E08"/>
    <w:rsid w:val="00FB31F4"/>
    <w:rsid w:val="00FB47D3"/>
    <w:rsid w:val="00FB4903"/>
    <w:rsid w:val="00FB4B78"/>
    <w:rsid w:val="00FB52BE"/>
    <w:rsid w:val="00FB65BB"/>
    <w:rsid w:val="00FC2D69"/>
    <w:rsid w:val="00FC32D1"/>
    <w:rsid w:val="00FC508D"/>
    <w:rsid w:val="00FC553F"/>
    <w:rsid w:val="00FC5915"/>
    <w:rsid w:val="00FC6F5F"/>
    <w:rsid w:val="00FD086E"/>
    <w:rsid w:val="00FD19B8"/>
    <w:rsid w:val="00FD2145"/>
    <w:rsid w:val="00FD2512"/>
    <w:rsid w:val="00FD3BE6"/>
    <w:rsid w:val="00FD67F1"/>
    <w:rsid w:val="00FE1F98"/>
    <w:rsid w:val="00FE24AC"/>
    <w:rsid w:val="00FE24D2"/>
    <w:rsid w:val="00FE3A10"/>
    <w:rsid w:val="00FE51ED"/>
    <w:rsid w:val="00FE53D4"/>
    <w:rsid w:val="00FE5525"/>
    <w:rsid w:val="00FE6B35"/>
    <w:rsid w:val="00FE7386"/>
    <w:rsid w:val="00FE7542"/>
    <w:rsid w:val="00FF00E2"/>
    <w:rsid w:val="00FF0626"/>
    <w:rsid w:val="00FF4F8B"/>
    <w:rsid w:val="00FF5E3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070F6D6-341C-452B-A92D-54D2059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basedOn w:val="Normal"/>
    <w:link w:val="FootnoteTextChar2"/>
    <w:rsid w:val="006F0D9F"/>
  </w:style>
  <w:style w:type="character" w:styleId="FootnoteReference">
    <w:name w:val="footnote reference"/>
    <w:aliases w:val="(NECG) Footnote Reference,Appel note de bas de p,FR,Footnote Reference/,Style 12,Style 124,Style 13,Style 17,Style 3,Style 4,Style 6,Style 7,fr,o"/>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 Char Char4 Char Char,Footnote Text Char4 Char1 Char Char,Footnote Text Char4 Char1 Char Char Char Char Char,Footnote Text Char7 Char Char,Footnote Text Char7 Char Char Char Char Char,f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 Char Char Char,Footnote Text Char Char Char Char Char Char Char Char,Footnote Text Char1 Char Char,Footnote Text Char1 Char1 Char Char1 Char Char,Footnote Text Char2 Char Char1 Char Char,Footnote Text Char3"/>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paragraph" w:styleId="EndnoteText">
    <w:name w:val="endnote text"/>
    <w:basedOn w:val="Normal"/>
    <w:link w:val="EndnoteTextChar"/>
    <w:semiHidden/>
    <w:unhideWhenUsed/>
    <w:rsid w:val="006507F1"/>
  </w:style>
  <w:style w:type="character" w:customStyle="1" w:styleId="EndnoteTextChar">
    <w:name w:val="Endnote Text Char"/>
    <w:basedOn w:val="DefaultParagraphFont"/>
    <w:link w:val="EndnoteText"/>
    <w:semiHidden/>
    <w:rsid w:val="006507F1"/>
  </w:style>
  <w:style w:type="character" w:styleId="EndnoteReference">
    <w:name w:val="endnote reference"/>
    <w:basedOn w:val="DefaultParagraphFont"/>
    <w:semiHidden/>
    <w:unhideWhenUsed/>
    <w:rsid w:val="006507F1"/>
    <w:rPr>
      <w:vertAlign w:val="superscript"/>
    </w:rPr>
  </w:style>
  <w:style w:type="character" w:customStyle="1" w:styleId="cosearchterm">
    <w:name w:val="co_searchterm"/>
    <w:basedOn w:val="DefaultParagraphFont"/>
    <w:rsid w:val="008F2759"/>
  </w:style>
  <w:style w:type="character" w:styleId="Emphasis">
    <w:name w:val="Emphasis"/>
    <w:basedOn w:val="DefaultParagraphFont"/>
    <w:uiPriority w:val="20"/>
    <w:qFormat/>
    <w:rsid w:val="002D2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