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w:t>
      </w:r>
      <w:r w:rsidR="00DD7E3B">
        <w:rPr>
          <w:b/>
          <w:sz w:val="24"/>
        </w:rPr>
        <w:t>686</w:t>
      </w:r>
    </w:p>
    <w:p w:rsidR="00013A8B" w:rsidRPr="00B20363" w:rsidP="00013A8B">
      <w:pPr>
        <w:spacing w:before="60"/>
        <w:jc w:val="right"/>
        <w:rPr>
          <w:b/>
          <w:sz w:val="24"/>
        </w:rPr>
      </w:pPr>
      <w:r>
        <w:rPr>
          <w:b/>
          <w:sz w:val="24"/>
        </w:rPr>
        <w:t xml:space="preserve">Released:  </w:t>
      </w:r>
      <w:r w:rsidR="00093FE1">
        <w:rPr>
          <w:b/>
          <w:sz w:val="24"/>
        </w:rPr>
        <w:t>July 22,</w:t>
      </w:r>
      <w:r w:rsidR="00083A6F">
        <w:rPr>
          <w:b/>
          <w:sz w:val="24"/>
        </w:rPr>
        <w:t xml:space="preserve"> 2019</w:t>
      </w:r>
    </w:p>
    <w:p w:rsidR="00013A8B" w:rsidP="00013A8B">
      <w:pPr>
        <w:jc w:val="right"/>
        <w:rPr>
          <w:sz w:val="24"/>
        </w:rPr>
      </w:pPr>
    </w:p>
    <w:p w:rsidR="00013A8B" w:rsidRPr="00083A6F" w:rsidP="00013A8B">
      <w:pPr>
        <w:spacing w:after="240"/>
        <w:jc w:val="center"/>
        <w:rPr>
          <w:rFonts w:ascii="Times New Roman Bold" w:hAnsi="Times New Roman Bold"/>
          <w:b/>
          <w:caps/>
          <w:szCs w:val="22"/>
        </w:rPr>
      </w:pPr>
      <w:bookmarkStart w:id="0" w:name="_Hlk14685793"/>
      <w:r w:rsidRPr="00083A6F">
        <w:rPr>
          <w:rFonts w:ascii="Times New Roman Bold" w:hAnsi="Times New Roman Bold"/>
          <w:b/>
          <w:caps/>
          <w:szCs w:val="22"/>
        </w:rPr>
        <w:t>WIRELINE COMPETITION BUREAU ANNOUNCES COUNTIES WHERE CONDITIONAL FORBEARANCE FROM THE LIFELINE VOICE OBLIGATION APPLIES</w:t>
      </w:r>
    </w:p>
    <w:bookmarkEnd w:id="0"/>
    <w:p w:rsidR="00013A8B" w:rsidRPr="00083A6F" w:rsidP="00013A8B">
      <w:pPr>
        <w:jc w:val="center"/>
        <w:rPr>
          <w:b/>
          <w:szCs w:val="22"/>
        </w:rPr>
      </w:pPr>
      <w:r w:rsidRPr="00083A6F">
        <w:rPr>
          <w:b/>
          <w:szCs w:val="22"/>
        </w:rPr>
        <w:t>WC Docket No. 11-42</w:t>
      </w:r>
    </w:p>
    <w:p w:rsidR="00036E4D" w:rsidP="00F96F63">
      <w:pPr>
        <w:rPr>
          <w:sz w:val="24"/>
        </w:rPr>
      </w:pPr>
    </w:p>
    <w:p w:rsidR="00036E4D" w:rsidP="00036E4D">
      <w:pPr>
        <w:spacing w:after="120"/>
        <w:ind w:firstLine="720"/>
        <w:rPr>
          <w:szCs w:val="22"/>
        </w:rPr>
      </w:pPr>
      <w:r>
        <w:rPr>
          <w:szCs w:val="22"/>
        </w:rPr>
        <w:t xml:space="preserve">By this Public Notice, the </w:t>
      </w:r>
      <w:bookmarkStart w:id="1" w:name="_Hlk14685923"/>
      <w:r w:rsidRPr="002B7512">
        <w:t>Wireline</w:t>
      </w:r>
      <w:r>
        <w:rPr>
          <w:szCs w:val="22"/>
        </w:rPr>
        <w:t xml:space="preserve"> Competition Bureau (Bureau) announces the counties in which conditional forbearance from the obligation to offer Lifeline-supported voice service applies, pursuant to the Commission’s </w:t>
      </w:r>
      <w:r>
        <w:rPr>
          <w:i/>
          <w:szCs w:val="22"/>
        </w:rPr>
        <w:t>2016 Lifeline Order</w:t>
      </w:r>
      <w:r>
        <w:rPr>
          <w:szCs w:val="22"/>
        </w:rPr>
        <w:t>.</w:t>
      </w:r>
      <w:bookmarkEnd w:id="1"/>
      <w:r>
        <w:rPr>
          <w:rStyle w:val="FootnoteReference"/>
          <w:szCs w:val="22"/>
        </w:rPr>
        <w:footnoteReference w:id="3"/>
      </w:r>
      <w:r>
        <w:rPr>
          <w:szCs w:val="22"/>
        </w:rPr>
        <w:t xml:space="preserve">  This forbearance applies only to the Lifeline voice obligation of eligible telecommunications carriers (ETCs) that are designated for purposes of receiving both high-cost and Lifeline support (high-cost/Lifeline ETCs), and not to Lifeline-only ETCs.</w:t>
      </w:r>
      <w:r>
        <w:rPr>
          <w:rStyle w:val="FootnoteReference"/>
          <w:szCs w:val="22"/>
        </w:rPr>
        <w:footnoteReference w:id="4"/>
      </w:r>
      <w:r>
        <w:rPr>
          <w:szCs w:val="22"/>
        </w:rPr>
        <w:t xml:space="preserve">  The Appendix lists the counties where the Commission’s conditional forbearance from high-cost/Lifeline ETCs’ Lifeline voice obligation will apply effective on September 21, 2019.</w:t>
      </w:r>
    </w:p>
    <w:p w:rsidR="00036E4D" w:rsidP="00036E4D">
      <w:pPr>
        <w:spacing w:after="120"/>
        <w:ind w:firstLine="720"/>
      </w:pPr>
      <w:r>
        <w:rPr>
          <w:szCs w:val="22"/>
        </w:rPr>
        <w:t xml:space="preserve">The </w:t>
      </w:r>
      <w:r>
        <w:rPr>
          <w:i/>
          <w:szCs w:val="22"/>
        </w:rPr>
        <w:t>2016 Lifeline Order</w:t>
      </w:r>
      <w:r>
        <w:rPr>
          <w:szCs w:val="22"/>
        </w:rPr>
        <w:t xml:space="preserve"> </w:t>
      </w:r>
      <w:r w:rsidRPr="002B7512">
        <w:t>established</w:t>
      </w:r>
      <w:r>
        <w:rPr>
          <w:szCs w:val="22"/>
        </w:rPr>
        <w:t xml:space="preserve"> conditional </w:t>
      </w:r>
      <w:r>
        <w:t>forbearance from Lifeline voice obligations in targeted areas where certain competitive conditions are met</w:t>
      </w:r>
      <w:r>
        <w:rPr>
          <w:szCs w:val="22"/>
        </w:rPr>
        <w:t>.</w:t>
      </w:r>
      <w:r>
        <w:rPr>
          <w:rStyle w:val="FootnoteReference"/>
          <w:szCs w:val="22"/>
        </w:rPr>
        <w:footnoteReference w:id="5"/>
      </w:r>
      <w:r>
        <w:rPr>
          <w:szCs w:val="22"/>
        </w:rPr>
        <w:t xml:space="preserve">  To accomplish this forbearance, the Commission directed the Bureau to release a yearly public notice announcing the counties in which the competitive conditions are met.</w:t>
      </w:r>
      <w:r>
        <w:rPr>
          <w:rStyle w:val="FootnoteReference"/>
          <w:szCs w:val="22"/>
        </w:rPr>
        <w:footnoteReference w:id="6"/>
      </w:r>
      <w:r>
        <w:rPr>
          <w:szCs w:val="22"/>
        </w:rPr>
        <w:t xml:space="preserve">  </w:t>
      </w:r>
      <w:r>
        <w:t xml:space="preserve">In particular, the Commission granted forbearance from high-cost/Lifeline ETCs’ obligation to offer and advertise Lifeline voice service in counties where the following conditions are met: (1) 51% of Lifeline subscribers in the county are obtaining broadband Internet access service; (2) there are at least three other providers of Lifeline broadband Internet access service that each serve at least </w:t>
      </w:r>
      <w:r w:rsidR="00070DB2">
        <w:t>5</w:t>
      </w:r>
      <w:r>
        <w:t>% of the Lifeline broadband subscribers in that county; and (3) the ETC does not actually receive federal high-cost universal service support.</w:t>
      </w:r>
      <w:r>
        <w:rPr>
          <w:rStyle w:val="FootnoteReference"/>
        </w:rPr>
        <w:footnoteReference w:id="7"/>
      </w:r>
      <w:r>
        <w:t xml:space="preserve">  </w:t>
      </w:r>
    </w:p>
    <w:p w:rsidR="00036E4D" w:rsidP="00036E4D">
      <w:pPr>
        <w:spacing w:after="120"/>
        <w:ind w:firstLine="720"/>
      </w:pPr>
      <w:r>
        <w:t>The counties listed in the Appendix meet the two competitive conditions;</w:t>
      </w:r>
      <w:r>
        <w:rPr>
          <w:rStyle w:val="FootnoteReference"/>
        </w:rPr>
        <w:footnoteReference w:id="8"/>
      </w:r>
      <w:r>
        <w:t xml:space="preserve"> and for ETCs that are receiving high-cost support in these counties, the forbearance applies only in areas within the county </w:t>
      </w:r>
      <w:r>
        <w:t>where the ETC does not receive high-cost support.</w:t>
      </w:r>
      <w:r>
        <w:rPr>
          <w:rStyle w:val="FootnoteReference"/>
        </w:rPr>
        <w:footnoteReference w:id="9"/>
      </w:r>
      <w:r>
        <w:t xml:space="preserve">  We note that this forbearance does not grant relief from the Lifeline voice obligation as to those Lifeline subscribers that the high-cost/Lifeline ETC serves as of the date of this Public Notice.</w:t>
      </w:r>
      <w:r>
        <w:rPr>
          <w:rStyle w:val="FootnoteReference"/>
        </w:rPr>
        <w:footnoteReference w:id="10"/>
      </w:r>
      <w:r>
        <w:t xml:space="preserve">  Additionally, this forbearance does not preclude ETCs from electing to provide and receive reimbursement for Lifeline-discounted voice service.</w:t>
      </w:r>
      <w:r>
        <w:rPr>
          <w:rStyle w:val="FootnoteReference"/>
        </w:rPr>
        <w:footnoteReference w:id="11"/>
      </w:r>
    </w:p>
    <w:p w:rsidR="00036E4D" w:rsidP="00036E4D">
      <w:pPr>
        <w:spacing w:after="120"/>
        <w:ind w:firstLine="720"/>
      </w:pPr>
      <w:r>
        <w:t>This forbearance will apply in the counties identified in the Appendix of this Public Notice, to the extent that ETCs are not receiving federal high-cost universal service support in those areas, until 60 days after the Bureau issues a Public Notice in 2020 updating the list of counties in which the Commission’s conditional forbearance applies.</w:t>
      </w:r>
      <w:r>
        <w:rPr>
          <w:rStyle w:val="FootnoteReference"/>
        </w:rPr>
        <w:footnoteReference w:id="12"/>
      </w:r>
      <w:r>
        <w:t xml:space="preserve"> </w:t>
      </w:r>
    </w:p>
    <w:p w:rsidR="00036E4D" w:rsidP="00036E4D">
      <w:pPr>
        <w:spacing w:after="120"/>
        <w:ind w:firstLine="720"/>
        <w:rPr>
          <w:szCs w:val="22"/>
        </w:rPr>
      </w:pPr>
      <w:r>
        <w:rPr>
          <w:szCs w:val="22"/>
        </w:rPr>
        <w:t xml:space="preserve">For further information, please contact Nathan Eagan, Telecommunications Access Policy Division, Wireline Competition Bureau, at (202) 418-0991, or at </w:t>
      </w:r>
      <w:hyperlink r:id="rId5" w:history="1">
        <w:r w:rsidRPr="0017243B">
          <w:rPr>
            <w:rStyle w:val="Hyperlink"/>
            <w:szCs w:val="22"/>
          </w:rPr>
          <w:t>nathan.eagan@fcc.gov</w:t>
        </w:r>
      </w:hyperlink>
      <w:r>
        <w:rPr>
          <w:szCs w:val="22"/>
        </w:rPr>
        <w:t xml:space="preserve">. </w:t>
      </w:r>
    </w:p>
    <w:p w:rsidR="00036E4D" w:rsidP="00036E4D">
      <w:pPr>
        <w:spacing w:before="120" w:after="240"/>
        <w:jc w:val="center"/>
        <w:rPr>
          <w:b/>
          <w:szCs w:val="22"/>
        </w:rPr>
      </w:pPr>
      <w:r>
        <w:rPr>
          <w:b/>
          <w:szCs w:val="22"/>
        </w:rPr>
        <w:t>– FCC –</w:t>
      </w:r>
    </w:p>
    <w:p w:rsidR="00036E4D" w:rsidRPr="00036E4D" w:rsidP="00036E4D">
      <w:pPr>
        <w:jc w:val="center"/>
        <w:rPr>
          <w:b/>
          <w:sz w:val="24"/>
        </w:rPr>
      </w:pPr>
      <w:r>
        <w:rPr>
          <w:sz w:val="24"/>
        </w:rPr>
        <w:br w:type="page"/>
      </w:r>
      <w:r w:rsidRPr="00036E4D">
        <w:rPr>
          <w:b/>
          <w:sz w:val="24"/>
        </w:rPr>
        <w:t>Appendix</w:t>
      </w:r>
    </w:p>
    <w:p w:rsidR="00093FE1" w:rsidP="00036E4D">
      <w:pPr>
        <w:jc w:val="center"/>
        <w:rPr>
          <w:b/>
          <w:sz w:val="24"/>
        </w:rPr>
      </w:pPr>
      <w:r w:rsidRPr="00036E4D">
        <w:rPr>
          <w:b/>
          <w:sz w:val="24"/>
        </w:rPr>
        <w:t>Counties and County Equivalents, by State, Where Conditional Forbearance of Lifeline Voice Obligation Applies</w:t>
      </w:r>
    </w:p>
    <w:p w:rsidR="00093FE1" w:rsidP="00036E4D">
      <w:pPr>
        <w:jc w:val="center"/>
        <w:rPr>
          <w:b/>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036E4D" w:rsidRPr="007F3093" w:rsidP="00036E4D">
      <w:pPr>
        <w:spacing w:before="120" w:after="240"/>
        <w:rPr>
          <w:sz w:val="24"/>
        </w:rPr>
        <w:sectPr>
          <w:type w:val="continuous"/>
          <w:pgSz w:w="12240" w:h="15840" w:code="1"/>
          <w:pgMar w:top="720" w:right="1440" w:bottom="1440" w:left="1440" w:header="720" w:footer="1440" w:gutter="0"/>
          <w:cols w:num="3" w:space="288"/>
          <w:titlePg/>
        </w:sectPr>
      </w:pPr>
    </w:p>
    <w:tbl>
      <w:tblPr>
        <w:tblW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030"/>
      </w:tblGrid>
      <w:tr w:rsidTr="00093FE1">
        <w:tblPrEx>
          <w:tblW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938" w:type="dxa"/>
            <w:shd w:val="clear" w:color="auto" w:fill="auto"/>
            <w:noWrap/>
            <w:hideMark/>
          </w:tcPr>
          <w:p w:rsidR="00036E4D" w:rsidRPr="00CE02A6" w:rsidP="00CE02A6">
            <w:pPr>
              <w:widowControl/>
              <w:rPr>
                <w:b/>
                <w:bCs/>
                <w:snapToGrid/>
                <w:color w:val="000000"/>
                <w:kern w:val="0"/>
                <w:szCs w:val="22"/>
              </w:rPr>
            </w:pPr>
            <w:bookmarkStart w:id="3" w:name="_Hlk12271059"/>
            <w:r w:rsidRPr="00CE02A6">
              <w:rPr>
                <w:b/>
                <w:bCs/>
                <w:snapToGrid/>
                <w:color w:val="000000"/>
                <w:kern w:val="0"/>
                <w:szCs w:val="22"/>
              </w:rPr>
              <w:t>STATE</w:t>
            </w:r>
          </w:p>
        </w:tc>
        <w:tc>
          <w:tcPr>
            <w:tcW w:w="2030" w:type="dxa"/>
            <w:shd w:val="clear" w:color="auto" w:fill="auto"/>
            <w:noWrap/>
            <w:hideMark/>
          </w:tcPr>
          <w:p w:rsidR="00036E4D" w:rsidRPr="00CE02A6" w:rsidP="00CE02A6">
            <w:pPr>
              <w:widowControl/>
              <w:rPr>
                <w:b/>
                <w:bCs/>
                <w:snapToGrid/>
                <w:color w:val="000000"/>
                <w:kern w:val="0"/>
                <w:szCs w:val="22"/>
              </w:rPr>
            </w:pPr>
            <w:r w:rsidRPr="00CE02A6">
              <w:rPr>
                <w:b/>
                <w:bCs/>
                <w:snapToGrid/>
                <w:color w:val="000000"/>
                <w:kern w:val="0"/>
                <w:szCs w:val="22"/>
              </w:rPr>
              <w:t>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AL</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ESCAMBIA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AZ</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MOHAVE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AZ</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PIMA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AZ</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PINAL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AZ</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SANTA CRUZ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AZ</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YUMA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BENTON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CLARK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CLEVELAND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COLUMBIA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CONWAY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CRAIGHEAD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CRITTENDEN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CROSS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FAULKNER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GARLAND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GREENE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HEMPSTEAD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HOT SPRING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JOHNSON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LITTLE RIVER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LONOKE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MILLER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MISSISSIPPI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MONROE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NEVADA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OUACHITA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PHILLIPS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POINSETT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POPE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PRAIRIE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PULASKI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 FRANCIS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SALINE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UNION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WASHINGTON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WHITE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ALAMEDA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BUTTE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CONTRA COSTA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FRESNO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GLENN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HUMBOLDT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IMPERIAL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KERN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KINGS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LOS ANGELES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MADERA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MERCED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NAPA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ORANGE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PLACER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RIVERSIDE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SACRAMENTO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BENITO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BERNARDINO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DIEGO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JOAQUIN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SOLANO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STANISLAUS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SUTTER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TEHAMA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TULARE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VENTURA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YOLO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YUBA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BOULDER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EAGLE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EL PASO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WELD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BALDWIN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BIBB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BROOKS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BURKE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CHARLTON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CLARKE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CRISP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DEKALB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DOUGHERTY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FLOYD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FULTON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GLYNN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GORDON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JONES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LOWNDES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MCINTOSH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OCONEE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PEACH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RICHMOND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TIFT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TURNER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WALKER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WORTH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FREMONT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ONEIDA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IL</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ALEXANDER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IL</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FAYETTE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FULTON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ATCHISON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BUTLER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CHEROKEE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COWLEY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DOUGLAS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HARVEY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LEAVENWORTH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RENO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SEDGWICK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SHAWNEE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SUMNER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WYANDOTTE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CALDWELL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CAMPBELL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CHRISTIAN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CLARK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DAVIESS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HENDERSON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HOPKINS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JEFFERSON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LOGAN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MCCRACKEN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MADISON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OLDHAM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SHELBY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SIMPSON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TODD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TRIMBLE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KY</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WARREN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ASCENSION PARISH</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ME</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ANDROSCOGGIN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BALTIMORE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CHARLES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DORCHESTER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HARFORD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HOWARD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BALTIMORE CITY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ANTRIM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ARENAC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BERRIEN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GLADWIN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GRATIOT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HILLSDALE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OTSEGO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SAGINAW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WAYNE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BECKER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CARLTON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CHISAGO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DAKOTA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FREEBORN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HENNEPIN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ISANTI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ITASCA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KANABEC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LYON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MARTIN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MILLE LACS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NICOLLET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POLK COUNTY</w:t>
            </w:r>
            <w:bookmarkStart w:id="4" w:name="_GoBack"/>
            <w:bookmarkEnd w:id="4"/>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RAMSEY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 LOUIS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STEARNS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WABASHA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MN</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WASHINGTON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MS</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WINSTON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BOONE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JASPER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MISSISSIPPI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NEW MADRID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 LOUIS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SCOTT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 LOUIS CITY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NYE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NM</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CIBOLA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NM</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LOS ALAMOS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BOTTINEAU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OH</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CUYAHOGA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OH</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LORAIN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OH</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TRUMBULL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ADAIR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ATOKA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BECKHAM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BRYAN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CANADIAN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CARTER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CHOCTAW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CLEVELAND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COAL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CRAIG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CREEK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CUSTER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DELAWARE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GARVIN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GRADY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HUGHES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KAY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LATIMER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LE FLORE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LINCOLN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LOVE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MCCURTAIN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MAYES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MUSKOGEE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NOBLE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OKMULGEE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OTTAWA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PAYNE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PITTSBURG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POTTAWATOMIE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 xml:space="preserve">PUSHMATAHA </w:t>
            </w:r>
            <w:r w:rsidRPr="00CE02A6">
              <w:rPr>
                <w:snapToGrid/>
                <w:color w:val="000000"/>
                <w:kern w:val="0"/>
                <w:sz w:val="18"/>
                <w:szCs w:val="18"/>
              </w:rPr>
              <w:t>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ROGER MILLS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SEMINOLE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STEPHENS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TULSA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OK</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WAGONER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BAKER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ALLEGHENY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BEAVER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BERKS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BUCKS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CAMBRIA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MONTGOMERY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PHILADELPHIA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PIKE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VENANGO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WARREN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WASHINGTON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WESTMORELAND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BRISTOL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KENT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NEWPORT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PROVIDENCE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WASHINGTON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CHARLESTON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CLARENDON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FAIRFIELD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FLORENCE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MARION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NEWBERRY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ORANGEBURG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RICHLAND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LYMAN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SD</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MCCOOK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ANDERSON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ANGELINA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ARANSAS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ATASCOSA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AUSTIN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BANDERA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BASTROP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BEXAR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BLANCO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BOSQUE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BRAZORIA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BRAZOS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BROOKS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BROWN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BURLESON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BURNET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CALDWELL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CALHOUN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CAMERON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CAMP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CASS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CHAMBERS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CHEROKEE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CHILDRESS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CLAY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COLEMAN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COLLIN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COLORADO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COMAL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COMANCHE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COOKE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CORYELL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DALLAS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DEAF SMITH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DENTON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DEWITT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DIMMIT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DUVAL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EASTLAND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ECTOR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ELLIS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EL PASO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ERATH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FALLS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FANNIN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FAYETTE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FLOYD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FORT BEND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FRANKLIN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FREESTONE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FRIO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GALVESTON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GILLESPIE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GOLIAD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GONZALES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GRAY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GRAYSON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GREGG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GRIMES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GUADALUPE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HARDEMAN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HARDIN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HARRIS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HARRISON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HAYS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HIDALGO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HILL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HOOD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HOPKINS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HOWARD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HUNT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HUTCHINSON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JASPER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JEFFERSON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JIM WELLS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JOHNSON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JONES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KARNES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KAUFMAN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KENDALL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KLEBERG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LAMAR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LAMPASAS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 SALLE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LAVACA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LIBERTY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LIVE OAK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LLANO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LUBBOCK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MCLENNAN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MADISON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MARION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MATAGORDA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MAVERICK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MEDINA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MIDLAND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MILAM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MITCHELL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MONTAGUE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MONTGOMERY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NACOGDOCHES COUNTY</w:t>
            </w:r>
          </w:p>
          <w:p w:rsidR="00036E4D" w:rsidRPr="00CE02A6" w:rsidP="00CE02A6">
            <w:pPr>
              <w:widowControl/>
              <w:rPr>
                <w:snapToGrid/>
                <w:color w:val="000000"/>
                <w:kern w:val="0"/>
                <w:sz w:val="18"/>
                <w:szCs w:val="18"/>
              </w:rPr>
            </w:pP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NAVARRO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NOLAN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NUECES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ORANGE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PALO PINTO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PANOLA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PARKER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PECOS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POLK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POTTER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RAINS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RANDALL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REAGAN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REFUGIO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ROBERTSON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ROCKWALL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RUNNELS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RUSK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JACINTO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PATRICIO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SCURRY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SMITH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STARR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TARRANT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TAYLOR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TITUS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TOM GREEN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TRAVIS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TYLER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UVALDE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VAL VERDE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VAN ZANDT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VICTORIA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WALKER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WALLER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WARD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WASHINGTON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WEBB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WHARTON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WICHITA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WILBARGER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WILLACY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WILLIAMSON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WILSON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WISE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WOOD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ZAPATA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TX</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ZAVALA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JUAN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WA</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YAKIMA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BOONE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FAYETTE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JACKSON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MASON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MERCER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RALEIGH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ROANE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WV</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SUMMERS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WI</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MENOMINEE COUNTY</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AGUADA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AGUAS BUENAS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ANASCO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ARECIBO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BARCELONETA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BARRANQUITAS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BAYAMON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CATANO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CIALES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COMERIO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COROZAL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CULEBRA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DORADO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FLORIDA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GUAYANILLA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GUAYNABO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HATILLO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HORMIGUEROS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HUMACAO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ISABELA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JAYUYA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JUANA DIAZ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JUNCOS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LARES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LAS MARIAS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LAS PIEDRAS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MARICAO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MOCA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MOROVIS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NAGUABO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NARANJITO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PONCE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RINCON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SABANA GRANDE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SALINAS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GERMAN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 JUAN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 xml:space="preserve">SAN SEBASTIAN </w:t>
            </w:r>
            <w:r w:rsidRPr="00CE02A6">
              <w:rPr>
                <w:snapToGrid/>
                <w:color w:val="000000"/>
                <w:kern w:val="0"/>
                <w:sz w:val="18"/>
                <w:szCs w:val="18"/>
              </w:rPr>
              <w:t>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SANTA ISABEL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TOA ALTA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TOA BAJA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VEGA ALTA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VEGA BAJA MUNICIPIO</w:t>
            </w:r>
          </w:p>
        </w:tc>
      </w:tr>
      <w:tr w:rsidTr="00093FE1">
        <w:tblPrEx>
          <w:tblW w:w="2968" w:type="dxa"/>
          <w:tblLook w:val="04A0"/>
        </w:tblPrEx>
        <w:trPr>
          <w:trHeight w:val="300"/>
        </w:trPr>
        <w:tc>
          <w:tcPr>
            <w:tcW w:w="938"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PR</w:t>
            </w:r>
          </w:p>
        </w:tc>
        <w:tc>
          <w:tcPr>
            <w:tcW w:w="2030" w:type="dxa"/>
            <w:shd w:val="clear" w:color="auto" w:fill="auto"/>
            <w:noWrap/>
            <w:hideMark/>
          </w:tcPr>
          <w:p w:rsidR="00036E4D" w:rsidRPr="00CE02A6" w:rsidP="00CE02A6">
            <w:pPr>
              <w:widowControl/>
              <w:rPr>
                <w:snapToGrid/>
                <w:color w:val="000000"/>
                <w:kern w:val="0"/>
                <w:sz w:val="18"/>
                <w:szCs w:val="18"/>
              </w:rPr>
            </w:pPr>
            <w:r w:rsidRPr="00CE02A6">
              <w:rPr>
                <w:snapToGrid/>
                <w:color w:val="000000"/>
                <w:kern w:val="0"/>
                <w:sz w:val="18"/>
                <w:szCs w:val="18"/>
              </w:rPr>
              <w:t>YAUCO MUNICIPIO</w:t>
            </w:r>
          </w:p>
        </w:tc>
      </w:tr>
      <w:bookmarkEnd w:id="3"/>
    </w:tbl>
    <w:p w:rsidR="00036E4D" w:rsidRPr="007F3093" w:rsidP="00036E4D">
      <w:pPr>
        <w:spacing w:before="120" w:after="240"/>
        <w:rPr>
          <w:sz w:val="24"/>
        </w:rPr>
        <w:sectPr w:rsidSect="00F54BBF">
          <w:type w:val="continuous"/>
          <w:pgSz w:w="12240" w:h="15840" w:code="1"/>
          <w:pgMar w:top="720" w:right="1440" w:bottom="1440" w:left="1440" w:header="720" w:footer="1440" w:gutter="0"/>
          <w:cols w:num="3" w:space="720"/>
          <w:titlePg/>
        </w:sectPr>
      </w:pPr>
    </w:p>
    <w:p w:rsidR="00036E4D" w:rsidRPr="00930ECF" w:rsidP="00036E4D">
      <w:pPr>
        <w:jc w:val="center"/>
        <w:rPr>
          <w:sz w:val="24"/>
        </w:rPr>
      </w:pPr>
    </w:p>
    <w:sectPr w:rsidSect="00036E4D">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BBF" w:rsidP="0055614C">
    <w:pPr>
      <w:pStyle w:val="Footer"/>
      <w:framePr w:wrap="around" w:vAnchor="text" w:hAnchor="margin" w:xAlign="center" w:y="1"/>
    </w:pPr>
    <w:r>
      <w:fldChar w:fldCharType="begin"/>
    </w:r>
    <w:r>
      <w:instrText xml:space="preserve">PAGE  </w:instrText>
    </w:r>
    <w:r>
      <w:fldChar w:fldCharType="separate"/>
    </w:r>
    <w:r>
      <w:fldChar w:fldCharType="end"/>
    </w:r>
  </w:p>
  <w:p w:rsidR="00F54BBF">
    <w:pPr>
      <w:pStyle w:val="Footer"/>
    </w:pPr>
  </w:p>
  <w:p w:rsidR="00F54BBF"/>
  <w:p w:rsidR="00F54BBF"/>
  <w:p w:rsidR="00F54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BBF"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BB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4BBF">
      <w:r>
        <w:separator/>
      </w:r>
    </w:p>
  </w:footnote>
  <w:footnote w:type="continuationSeparator" w:id="1">
    <w:p w:rsidR="00F54BBF">
      <w:pPr>
        <w:rPr>
          <w:sz w:val="20"/>
        </w:rPr>
      </w:pPr>
      <w:r>
        <w:rPr>
          <w:sz w:val="20"/>
        </w:rPr>
        <w:t xml:space="preserve">(Continued from previous page)  </w:t>
      </w:r>
      <w:r>
        <w:rPr>
          <w:sz w:val="20"/>
        </w:rPr>
        <w:separator/>
      </w:r>
    </w:p>
  </w:footnote>
  <w:footnote w:type="continuationNotice" w:id="2">
    <w:p w:rsidR="00F54BBF" w:rsidP="00910F12">
      <w:pPr>
        <w:jc w:val="right"/>
        <w:rPr>
          <w:sz w:val="20"/>
        </w:rPr>
      </w:pPr>
      <w:r>
        <w:rPr>
          <w:sz w:val="20"/>
        </w:rPr>
        <w:t>(continued….)</w:t>
      </w:r>
    </w:p>
  </w:footnote>
  <w:footnote w:id="3">
    <w:p w:rsidR="00F54BBF" w:rsidRPr="0025429C" w:rsidP="00036E4D">
      <w:pPr>
        <w:pStyle w:val="FootnoteText"/>
        <w:rPr>
          <w:i/>
        </w:rPr>
      </w:pPr>
      <w:r w:rsidRPr="0025429C">
        <w:rPr>
          <w:rStyle w:val="FootnoteReference"/>
        </w:rPr>
        <w:footnoteRef/>
      </w:r>
      <w:r w:rsidRPr="0025429C">
        <w:t xml:space="preserve"> </w:t>
      </w:r>
      <w:r w:rsidRPr="0025429C">
        <w:rPr>
          <w:i/>
        </w:rPr>
        <w:t>Lifeline and Link Up Reform and Modernization et al.</w:t>
      </w:r>
      <w:r w:rsidRPr="0025429C">
        <w:t>, WC Docket Nos. 11-42 et al., Third Report and Order, Further Report and Order, and Order on Reconsideration, 31 FCC Rcd 3962, 4082-4093, paras. 335-60 (2016) (</w:t>
      </w:r>
      <w:r w:rsidRPr="0025429C">
        <w:rPr>
          <w:i/>
        </w:rPr>
        <w:t>2016 Lifeline Order</w:t>
      </w:r>
      <w:r w:rsidRPr="0025429C">
        <w:t>).</w:t>
      </w:r>
    </w:p>
  </w:footnote>
  <w:footnote w:id="4">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4078-79, para. 325.</w:t>
      </w:r>
    </w:p>
  </w:footnote>
  <w:footnote w:id="5">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4079, para. 326.</w:t>
      </w:r>
    </w:p>
  </w:footnote>
  <w:footnote w:id="6">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4093, para. 359.</w:t>
      </w:r>
    </w:p>
  </w:footnote>
  <w:footnote w:id="7">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4082-83, 4090-93, paras. 335, 354-60.</w:t>
      </w:r>
    </w:p>
  </w:footnote>
  <w:footnote w:id="8">
    <w:p w:rsidR="00F54BBF" w:rsidRPr="0025429C" w:rsidP="00036E4D">
      <w:pPr>
        <w:pStyle w:val="FootnoteText"/>
      </w:pPr>
      <w:r w:rsidRPr="0025429C">
        <w:rPr>
          <w:rStyle w:val="FootnoteReference"/>
        </w:rPr>
        <w:footnoteRef/>
      </w:r>
      <w:r w:rsidRPr="0025429C">
        <w:t xml:space="preserve"> Using National Lifeline Accountability Database data as of March 201</w:t>
      </w:r>
      <w:r>
        <w:t>9</w:t>
      </w:r>
      <w:r w:rsidRPr="0025429C">
        <w:t xml:space="preserve">, approximately </w:t>
      </w:r>
      <w:r>
        <w:t>77%</w:t>
      </w:r>
      <w:r w:rsidRPr="0025429C">
        <w:t xml:space="preserve"> of the counties identified in the Appendix were also eligible for this conditional forbearance in 201</w:t>
      </w:r>
      <w:r>
        <w:t>8</w:t>
      </w:r>
      <w:r w:rsidRPr="0025429C">
        <w:t xml:space="preserve">.  The remaining </w:t>
      </w:r>
      <w:r>
        <w:t>23%</w:t>
      </w:r>
      <w:r w:rsidRPr="0025429C">
        <w:t xml:space="preserve"> of the counties newly met both competitive conditions in 201</w:t>
      </w:r>
      <w:r>
        <w:t>9</w:t>
      </w:r>
      <w:r w:rsidRPr="0025429C">
        <w:t xml:space="preserve">.  There are also </w:t>
      </w:r>
      <w:r>
        <w:t>698</w:t>
      </w:r>
      <w:r w:rsidRPr="0025429C">
        <w:t xml:space="preserve"> counties that are no longer eligible for conditional forbearance because they do not meet the two competitive conditions in 2018.  </w:t>
      </w:r>
      <w:r w:rsidRPr="0025429C">
        <w:rPr>
          <w:i/>
        </w:rPr>
        <w:t xml:space="preserve">See Wireline Competition Bureau Announces Counties Where Conditional Forbearance </w:t>
      </w:r>
      <w:r w:rsidRPr="0025429C">
        <w:rPr>
          <w:i/>
        </w:rPr>
        <w:t>From</w:t>
      </w:r>
      <w:r w:rsidRPr="0025429C">
        <w:rPr>
          <w:i/>
        </w:rPr>
        <w:t xml:space="preserve"> the Lifeline Voice Obligation Applies</w:t>
      </w:r>
      <w:r w:rsidRPr="0025429C">
        <w:t>, Public Notice, 3</w:t>
      </w:r>
      <w:r>
        <w:t>3</w:t>
      </w:r>
      <w:r w:rsidRPr="0025429C">
        <w:t xml:space="preserve"> FCC Rcd </w:t>
      </w:r>
      <w:r>
        <w:t>7303</w:t>
      </w:r>
      <w:r w:rsidRPr="0025429C">
        <w:t xml:space="preserve"> (WCB </w:t>
      </w:r>
      <w:r>
        <w:t>2018</w:t>
      </w:r>
      <w:r w:rsidRPr="0025429C">
        <w:t>).</w:t>
      </w:r>
    </w:p>
  </w:footnote>
  <w:footnote w:id="9">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4093, para. 359.</w:t>
      </w:r>
    </w:p>
  </w:footnote>
  <w:footnote w:id="10">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4083, 4085, paras. 335, 340.</w:t>
      </w:r>
    </w:p>
  </w:footnote>
  <w:footnote w:id="11">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4085, para. 342.</w:t>
      </w:r>
    </w:p>
  </w:footnote>
  <w:footnote w:id="12">
    <w:p w:rsidR="00F54BBF" w:rsidRPr="0025429C" w:rsidP="00036E4D">
      <w:pPr>
        <w:pStyle w:val="FootnoteText"/>
      </w:pPr>
      <w:r w:rsidRPr="0025429C">
        <w:rPr>
          <w:rStyle w:val="FootnoteReference"/>
        </w:rPr>
        <w:footnoteRef/>
      </w:r>
      <w:r w:rsidRPr="0025429C">
        <w:t xml:space="preserve"> </w:t>
      </w:r>
      <w:r w:rsidRPr="0025429C">
        <w:rPr>
          <w:i/>
        </w:rPr>
        <w:t>Id.</w:t>
      </w:r>
      <w:r w:rsidRPr="0025429C">
        <w:t xml:space="preserve"> at 4093, para.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BBF" w:rsidRPr="009838BC" w:rsidP="009838BC">
    <w:pPr>
      <w:tabs>
        <w:tab w:val="center" w:pos="4680"/>
        <w:tab w:val="right" w:pos="9360"/>
      </w:tabs>
    </w:pPr>
    <w:r w:rsidRPr="009838BC">
      <w:rPr>
        <w:b/>
      </w:rPr>
      <w:tab/>
      <w:t>Federal Communications Commission</w:t>
    </w:r>
    <w:r w:rsidRPr="009838BC">
      <w:rPr>
        <w:b/>
      </w:rPr>
      <w:tab/>
    </w:r>
    <w:r w:rsidR="00DD7E3B">
      <w:rPr>
        <w:b/>
      </w:rPr>
      <w:t>DA 19-686</w:t>
    </w:r>
  </w:p>
  <w:p w:rsidR="00F54BBF"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F54BBF"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BBF"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F54BBF" w:rsidP="009838BC">
                <w:pPr>
                  <w:rPr>
                    <w:rFonts w:ascii="Arial" w:hAnsi="Arial"/>
                    <w:b/>
                  </w:rPr>
                </w:pPr>
                <w:r>
                  <w:rPr>
                    <w:rFonts w:ascii="Arial" w:hAnsi="Arial"/>
                    <w:b/>
                  </w:rPr>
                  <w:t>Federal Communications Commission</w:t>
                </w:r>
              </w:p>
              <w:p w:rsidR="00F54BBF"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54BBF"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F54BBF"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F54BBF" w:rsidP="009838BC">
                <w:pPr>
                  <w:spacing w:before="40"/>
                  <w:jc w:val="right"/>
                  <w:rPr>
                    <w:rFonts w:ascii="Arial" w:hAnsi="Arial"/>
                    <w:b/>
                    <w:sz w:val="16"/>
                  </w:rPr>
                </w:pPr>
                <w:r>
                  <w:rPr>
                    <w:rFonts w:ascii="Arial" w:hAnsi="Arial"/>
                    <w:b/>
                    <w:sz w:val="16"/>
                  </w:rPr>
                  <w:t>News Media Information 202 / 418-0500</w:t>
                </w:r>
              </w:p>
              <w:p w:rsidR="00F54BBF"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F54BBF" w:rsidP="009838BC">
                <w:pPr>
                  <w:jc w:val="right"/>
                </w:pPr>
                <w:r>
                  <w:rPr>
                    <w:rFonts w:ascii="Arial" w:hAnsi="Arial"/>
                    <w:b/>
                    <w:sz w:val="16"/>
                  </w:rPr>
                  <w:t>TTY: 1-888-835-5322</w:t>
                </w:r>
              </w:p>
            </w:txbxContent>
          </v:textbox>
        </v:shape>
      </w:pict>
    </w:r>
  </w:p>
  <w:p w:rsidR="00F54BBF"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4D"/>
    <w:rsid w:val="000072CE"/>
    <w:rsid w:val="00013A8B"/>
    <w:rsid w:val="00021445"/>
    <w:rsid w:val="00036039"/>
    <w:rsid w:val="00036E4D"/>
    <w:rsid w:val="00037F90"/>
    <w:rsid w:val="00070DB2"/>
    <w:rsid w:val="00083A6F"/>
    <w:rsid w:val="000875BF"/>
    <w:rsid w:val="00093FE1"/>
    <w:rsid w:val="00096D8C"/>
    <w:rsid w:val="000C0B65"/>
    <w:rsid w:val="000E3D42"/>
    <w:rsid w:val="000E5884"/>
    <w:rsid w:val="00122BD5"/>
    <w:rsid w:val="0017243B"/>
    <w:rsid w:val="001979D9"/>
    <w:rsid w:val="001D6BCF"/>
    <w:rsid w:val="001E01CA"/>
    <w:rsid w:val="002060D9"/>
    <w:rsid w:val="00226822"/>
    <w:rsid w:val="0025429C"/>
    <w:rsid w:val="00260594"/>
    <w:rsid w:val="00285017"/>
    <w:rsid w:val="002A2D2E"/>
    <w:rsid w:val="002B7512"/>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B0B7C"/>
    <w:rsid w:val="007F3093"/>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E02A6"/>
    <w:rsid w:val="00D0218D"/>
    <w:rsid w:val="00D216CD"/>
    <w:rsid w:val="00DA2529"/>
    <w:rsid w:val="00DB130A"/>
    <w:rsid w:val="00DC10A1"/>
    <w:rsid w:val="00DC655F"/>
    <w:rsid w:val="00DD7E3B"/>
    <w:rsid w:val="00DD7EBD"/>
    <w:rsid w:val="00DF62B6"/>
    <w:rsid w:val="00E07225"/>
    <w:rsid w:val="00E155B7"/>
    <w:rsid w:val="00E5409F"/>
    <w:rsid w:val="00EC0185"/>
    <w:rsid w:val="00F021FA"/>
    <w:rsid w:val="00F54BB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8BA3A4D-F7CF-4049-AF05-93EC3131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E1"/>
    <w:pPr>
      <w:widowControl w:val="0"/>
    </w:pPr>
    <w:rPr>
      <w:snapToGrid w:val="0"/>
      <w:kern w:val="28"/>
      <w:sz w:val="22"/>
    </w:rPr>
  </w:style>
  <w:style w:type="paragraph" w:styleId="Heading1">
    <w:name w:val="heading 1"/>
    <w:basedOn w:val="Normal"/>
    <w:next w:val="ParaNum"/>
    <w:qFormat/>
    <w:rsid w:val="00093F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3FE1"/>
    <w:pPr>
      <w:keepNext/>
      <w:numPr>
        <w:ilvl w:val="1"/>
        <w:numId w:val="3"/>
      </w:numPr>
      <w:spacing w:after="120"/>
      <w:outlineLvl w:val="1"/>
    </w:pPr>
    <w:rPr>
      <w:b/>
    </w:rPr>
  </w:style>
  <w:style w:type="paragraph" w:styleId="Heading3">
    <w:name w:val="heading 3"/>
    <w:basedOn w:val="Normal"/>
    <w:next w:val="ParaNum"/>
    <w:qFormat/>
    <w:rsid w:val="00093FE1"/>
    <w:pPr>
      <w:keepNext/>
      <w:numPr>
        <w:ilvl w:val="2"/>
        <w:numId w:val="3"/>
      </w:numPr>
      <w:tabs>
        <w:tab w:val="left" w:pos="2160"/>
      </w:tabs>
      <w:spacing w:after="120"/>
      <w:outlineLvl w:val="2"/>
    </w:pPr>
    <w:rPr>
      <w:b/>
    </w:rPr>
  </w:style>
  <w:style w:type="paragraph" w:styleId="Heading4">
    <w:name w:val="heading 4"/>
    <w:basedOn w:val="Normal"/>
    <w:next w:val="ParaNum"/>
    <w:qFormat/>
    <w:rsid w:val="00093FE1"/>
    <w:pPr>
      <w:keepNext/>
      <w:numPr>
        <w:ilvl w:val="3"/>
        <w:numId w:val="3"/>
      </w:numPr>
      <w:tabs>
        <w:tab w:val="left" w:pos="2880"/>
      </w:tabs>
      <w:spacing w:after="120"/>
      <w:outlineLvl w:val="3"/>
    </w:pPr>
    <w:rPr>
      <w:b/>
    </w:rPr>
  </w:style>
  <w:style w:type="paragraph" w:styleId="Heading5">
    <w:name w:val="heading 5"/>
    <w:basedOn w:val="Normal"/>
    <w:next w:val="ParaNum"/>
    <w:qFormat/>
    <w:rsid w:val="00093FE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3FE1"/>
    <w:pPr>
      <w:numPr>
        <w:ilvl w:val="5"/>
        <w:numId w:val="3"/>
      </w:numPr>
      <w:tabs>
        <w:tab w:val="left" w:pos="4320"/>
      </w:tabs>
      <w:spacing w:after="120"/>
      <w:outlineLvl w:val="5"/>
    </w:pPr>
    <w:rPr>
      <w:b/>
    </w:rPr>
  </w:style>
  <w:style w:type="paragraph" w:styleId="Heading7">
    <w:name w:val="heading 7"/>
    <w:basedOn w:val="Normal"/>
    <w:next w:val="ParaNum"/>
    <w:qFormat/>
    <w:rsid w:val="00093F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3FE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3F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3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FE1"/>
  </w:style>
  <w:style w:type="paragraph" w:customStyle="1" w:styleId="ParaNum">
    <w:name w:val="ParaNum"/>
    <w:basedOn w:val="Normal"/>
    <w:link w:val="ParaNumChar"/>
    <w:rsid w:val="00093FE1"/>
    <w:pPr>
      <w:numPr>
        <w:numId w:val="2"/>
      </w:numPr>
      <w:tabs>
        <w:tab w:val="clear" w:pos="1080"/>
        <w:tab w:val="num" w:pos="1440"/>
      </w:tabs>
      <w:spacing w:after="120"/>
    </w:pPr>
  </w:style>
  <w:style w:type="paragraph" w:styleId="EndnoteText">
    <w:name w:val="endnote text"/>
    <w:basedOn w:val="Normal"/>
    <w:semiHidden/>
    <w:rsid w:val="00093FE1"/>
    <w:rPr>
      <w:sz w:val="20"/>
    </w:rPr>
  </w:style>
  <w:style w:type="character" w:styleId="EndnoteReference">
    <w:name w:val="endnote reference"/>
    <w:semiHidden/>
    <w:rsid w:val="00093FE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93FE1"/>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sid w:val="00093FE1"/>
    <w:rPr>
      <w:rFonts w:ascii="Times New Roman" w:hAnsi="Times New Roman"/>
      <w:dstrike w:val="0"/>
      <w:color w:val="auto"/>
      <w:sz w:val="22"/>
      <w:vertAlign w:val="superscript"/>
    </w:rPr>
  </w:style>
  <w:style w:type="paragraph" w:styleId="TOC1">
    <w:name w:val="toc 1"/>
    <w:basedOn w:val="Normal"/>
    <w:next w:val="Normal"/>
    <w:uiPriority w:val="39"/>
    <w:rsid w:val="00093F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3FE1"/>
    <w:pPr>
      <w:tabs>
        <w:tab w:val="left" w:pos="720"/>
        <w:tab w:val="right" w:leader="dot" w:pos="9360"/>
      </w:tabs>
      <w:suppressAutoHyphens/>
      <w:ind w:left="720" w:right="720" w:hanging="360"/>
    </w:pPr>
    <w:rPr>
      <w:noProof/>
    </w:rPr>
  </w:style>
  <w:style w:type="paragraph" w:styleId="TOC3">
    <w:name w:val="toc 3"/>
    <w:basedOn w:val="Normal"/>
    <w:next w:val="Normal"/>
    <w:semiHidden/>
    <w:rsid w:val="00093F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3F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3F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3F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3F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3F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3F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3FE1"/>
    <w:pPr>
      <w:tabs>
        <w:tab w:val="right" w:pos="9360"/>
      </w:tabs>
      <w:suppressAutoHyphens/>
    </w:pPr>
  </w:style>
  <w:style w:type="character" w:customStyle="1" w:styleId="EquationCaption">
    <w:name w:val="_Equation Caption"/>
    <w:rsid w:val="00093FE1"/>
  </w:style>
  <w:style w:type="paragraph" w:styleId="Header">
    <w:name w:val="header"/>
    <w:basedOn w:val="Normal"/>
    <w:autoRedefine/>
    <w:rsid w:val="00093FE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93FE1"/>
    <w:pPr>
      <w:tabs>
        <w:tab w:val="center" w:pos="4320"/>
        <w:tab w:val="right" w:pos="8640"/>
      </w:tabs>
    </w:pPr>
  </w:style>
  <w:style w:type="character" w:styleId="PageNumber">
    <w:name w:val="page number"/>
    <w:basedOn w:val="DefaultParagraphFont"/>
    <w:rsid w:val="00093FE1"/>
  </w:style>
  <w:style w:type="paragraph" w:styleId="BlockText">
    <w:name w:val="Block Text"/>
    <w:basedOn w:val="Normal"/>
    <w:rsid w:val="00093FE1"/>
    <w:pPr>
      <w:spacing w:after="240"/>
      <w:ind w:left="1440" w:right="1440"/>
    </w:pPr>
  </w:style>
  <w:style w:type="paragraph" w:customStyle="1" w:styleId="Paratitle">
    <w:name w:val="Para title"/>
    <w:basedOn w:val="Normal"/>
    <w:rsid w:val="00093FE1"/>
    <w:pPr>
      <w:tabs>
        <w:tab w:val="center" w:pos="9270"/>
      </w:tabs>
      <w:spacing w:after="240"/>
    </w:pPr>
    <w:rPr>
      <w:spacing w:val="-2"/>
    </w:rPr>
  </w:style>
  <w:style w:type="paragraph" w:customStyle="1" w:styleId="Bullet">
    <w:name w:val="Bullet"/>
    <w:basedOn w:val="Normal"/>
    <w:rsid w:val="00093FE1"/>
    <w:pPr>
      <w:numPr>
        <w:numId w:val="1"/>
      </w:numPr>
      <w:tabs>
        <w:tab w:val="clear" w:pos="360"/>
        <w:tab w:val="left" w:pos="2160"/>
      </w:tabs>
      <w:spacing w:after="220"/>
      <w:ind w:left="2160" w:hanging="720"/>
    </w:pPr>
  </w:style>
  <w:style w:type="paragraph" w:customStyle="1" w:styleId="TableFormat">
    <w:name w:val="TableFormat"/>
    <w:basedOn w:val="Bullet"/>
    <w:rsid w:val="00093FE1"/>
    <w:pPr>
      <w:numPr>
        <w:numId w:val="0"/>
      </w:numPr>
      <w:tabs>
        <w:tab w:val="clear" w:pos="2160"/>
        <w:tab w:val="left" w:pos="5040"/>
      </w:tabs>
      <w:ind w:left="5040" w:hanging="3600"/>
    </w:pPr>
  </w:style>
  <w:style w:type="paragraph" w:customStyle="1" w:styleId="TOCTitle">
    <w:name w:val="TOC Title"/>
    <w:basedOn w:val="Normal"/>
    <w:rsid w:val="00093F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3FE1"/>
    <w:pPr>
      <w:jc w:val="center"/>
    </w:pPr>
    <w:rPr>
      <w:rFonts w:ascii="Times New Roman Bold" w:hAnsi="Times New Roman Bold"/>
      <w:b/>
      <w:bCs/>
      <w:caps/>
      <w:szCs w:val="22"/>
    </w:rPr>
  </w:style>
  <w:style w:type="character" w:styleId="Hyperlink">
    <w:name w:val="Hyperlink"/>
    <w:rsid w:val="00093FE1"/>
    <w:rPr>
      <w:color w:val="0000FF"/>
      <w:u w:val="single"/>
    </w:rPr>
  </w:style>
  <w:style w:type="character" w:customStyle="1" w:styleId="FooterChar">
    <w:name w:val="Footer Char"/>
    <w:link w:val="Footer"/>
    <w:uiPriority w:val="99"/>
    <w:rsid w:val="00093FE1"/>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rsid w:val="00093FE1"/>
  </w:style>
  <w:style w:type="table" w:styleId="TableGrid">
    <w:name w:val="Table Grid"/>
    <w:basedOn w:val="TableNormal"/>
    <w:uiPriority w:val="39"/>
    <w:rsid w:val="0003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locked/>
    <w:rsid w:val="00093FE1"/>
    <w:rPr>
      <w:snapToGrid w:val="0"/>
      <w:kern w:val="28"/>
      <w:sz w:val="22"/>
    </w:rPr>
  </w:style>
  <w:style w:type="character" w:customStyle="1" w:styleId="normaltextrun">
    <w:name w:val="normaltextrun"/>
    <w:rsid w:val="0009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han.eag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