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Pr>
          <w:szCs w:val="22"/>
        </w:rPr>
        <w:t xml:space="preserve"> </w:t>
      </w:r>
      <w:r w:rsidR="001404EC">
        <w:rPr>
          <w:szCs w:val="22"/>
        </w:rPr>
        <w:t xml:space="preserve"> </w:t>
      </w:r>
      <w:r w:rsidR="006253CB">
        <w:rPr>
          <w:szCs w:val="22"/>
        </w:rPr>
        <w:t xml:space="preserve"> </w:t>
      </w:r>
    </w:p>
    <w:p w:rsidR="002710BB" w:rsidRPr="006B29E2" w:rsidP="005074E3">
      <w:pPr>
        <w:ind w:left="6480" w:firstLine="720"/>
        <w:jc w:val="center"/>
        <w:rPr>
          <w:b/>
          <w:szCs w:val="22"/>
        </w:rPr>
      </w:pPr>
      <w:r>
        <w:rPr>
          <w:b/>
          <w:szCs w:val="22"/>
        </w:rPr>
        <w:t xml:space="preserve"> </w:t>
      </w:r>
      <w:r w:rsidRPr="006B29E2">
        <w:rPr>
          <w:b/>
          <w:szCs w:val="22"/>
        </w:rPr>
        <w:t xml:space="preserve">DA </w:t>
      </w:r>
      <w:r w:rsidR="004241B2">
        <w:rPr>
          <w:b/>
          <w:szCs w:val="22"/>
        </w:rPr>
        <w:t>19-</w:t>
      </w:r>
      <w:r w:rsidR="004E18FD">
        <w:rPr>
          <w:b/>
          <w:szCs w:val="22"/>
        </w:rPr>
        <w:t>710</w:t>
      </w:r>
    </w:p>
    <w:p w:rsidR="002710BB" w:rsidRPr="006B29E2" w:rsidP="005074E3">
      <w:pPr>
        <w:spacing w:before="60"/>
        <w:ind w:left="7200"/>
        <w:jc w:val="center"/>
        <w:rPr>
          <w:b/>
          <w:szCs w:val="22"/>
        </w:rPr>
      </w:pPr>
      <w:r>
        <w:rPr>
          <w:b/>
          <w:szCs w:val="22"/>
        </w:rPr>
        <w:t xml:space="preserve">July </w:t>
      </w:r>
      <w:r w:rsidR="005074E3">
        <w:rPr>
          <w:b/>
          <w:szCs w:val="22"/>
        </w:rPr>
        <w:t>25</w:t>
      </w:r>
      <w:r w:rsidRPr="006B29E2">
        <w:rPr>
          <w:b/>
          <w:szCs w:val="22"/>
        </w:rPr>
        <w:t>, 201</w:t>
      </w:r>
      <w:r w:rsidR="00CE3E5D">
        <w:rPr>
          <w:b/>
          <w:szCs w:val="22"/>
        </w:rPr>
        <w:t>9</w:t>
      </w:r>
    </w:p>
    <w:p w:rsidR="002710BB" w:rsidRPr="006B29E2" w:rsidP="002710BB">
      <w:pPr>
        <w:tabs>
          <w:tab w:val="left" w:pos="5900"/>
        </w:tabs>
        <w:rPr>
          <w:szCs w:val="22"/>
        </w:rPr>
      </w:pPr>
      <w:r w:rsidRPr="006B29E2">
        <w:rPr>
          <w:szCs w:val="22"/>
        </w:rPr>
        <w:tab/>
      </w:r>
    </w:p>
    <w:p w:rsidR="00585942" w:rsidP="00F54506">
      <w:pPr>
        <w:autoSpaceDE w:val="0"/>
        <w:autoSpaceDN w:val="0"/>
        <w:adjustRightInd w:val="0"/>
        <w:jc w:val="center"/>
        <w:rPr>
          <w:b/>
          <w:bCs/>
          <w:szCs w:val="22"/>
        </w:rPr>
      </w:pPr>
      <w:bookmarkStart w:id="2" w:name="_Hlk519509475"/>
      <w:bookmarkStart w:id="3" w:name="_Hlk502044717"/>
      <w:bookmarkStart w:id="4" w:name="_Hlk516578398"/>
      <w:r w:rsidRPr="009F1D82">
        <w:rPr>
          <w:b/>
          <w:bCs/>
          <w:szCs w:val="22"/>
        </w:rPr>
        <w:t>APPLICATION</w:t>
      </w:r>
      <w:r>
        <w:rPr>
          <w:b/>
          <w:bCs/>
          <w:szCs w:val="22"/>
        </w:rPr>
        <w:t>S</w:t>
      </w:r>
      <w:r w:rsidRPr="009F1D82">
        <w:rPr>
          <w:b/>
          <w:bCs/>
          <w:szCs w:val="22"/>
        </w:rPr>
        <w:t xml:space="preserve"> FILED FOR THE TRANSFER OF </w:t>
      </w:r>
      <w:r w:rsidR="000264C0">
        <w:rPr>
          <w:b/>
          <w:bCs/>
          <w:szCs w:val="22"/>
        </w:rPr>
        <w:t>CONTROL</w:t>
      </w:r>
      <w:r w:rsidR="001C2BAE">
        <w:rPr>
          <w:b/>
          <w:bCs/>
          <w:szCs w:val="22"/>
        </w:rPr>
        <w:t xml:space="preserve"> </w:t>
      </w:r>
      <w:r w:rsidRPr="009F1D82" w:rsidR="00F54506">
        <w:rPr>
          <w:b/>
          <w:bCs/>
          <w:szCs w:val="22"/>
        </w:rPr>
        <w:t xml:space="preserve">OF </w:t>
      </w:r>
    </w:p>
    <w:p w:rsidR="004241B2" w:rsidP="00424CB4">
      <w:pPr>
        <w:autoSpaceDE w:val="0"/>
        <w:autoSpaceDN w:val="0"/>
        <w:adjustRightInd w:val="0"/>
        <w:jc w:val="center"/>
        <w:rPr>
          <w:b/>
          <w:bCs/>
          <w:szCs w:val="22"/>
        </w:rPr>
      </w:pPr>
      <w:r>
        <w:rPr>
          <w:b/>
          <w:bCs/>
          <w:szCs w:val="22"/>
        </w:rPr>
        <w:t xml:space="preserve">CERTAIN SUBSIDIARIES OF </w:t>
      </w:r>
      <w:r w:rsidR="00424CB4">
        <w:rPr>
          <w:b/>
          <w:bCs/>
          <w:szCs w:val="22"/>
        </w:rPr>
        <w:t xml:space="preserve">FRONTIER COMMUNICATIONS CORPORATION </w:t>
      </w:r>
      <w:r w:rsidR="002E64F4">
        <w:rPr>
          <w:b/>
          <w:bCs/>
          <w:szCs w:val="22"/>
        </w:rPr>
        <w:br/>
      </w:r>
      <w:r>
        <w:rPr>
          <w:b/>
          <w:bCs/>
          <w:szCs w:val="22"/>
        </w:rPr>
        <w:t xml:space="preserve">TO </w:t>
      </w:r>
      <w:r w:rsidR="00994130">
        <w:rPr>
          <w:b/>
          <w:bCs/>
          <w:szCs w:val="22"/>
        </w:rPr>
        <w:t>NORTHWEST FIBER, LLC</w:t>
      </w:r>
      <w:r w:rsidRPr="009F1D82" w:rsidR="00F54506">
        <w:rPr>
          <w:b/>
          <w:bCs/>
          <w:szCs w:val="22"/>
        </w:rPr>
        <w:t xml:space="preserve"> </w:t>
      </w:r>
    </w:p>
    <w:bookmarkEnd w:id="2"/>
    <w:bookmarkEnd w:id="3"/>
    <w:bookmarkEnd w:id="4"/>
    <w:p w:rsidR="00F54506" w:rsidP="00F54506">
      <w:pPr>
        <w:autoSpaceDE w:val="0"/>
        <w:autoSpaceDN w:val="0"/>
        <w:adjustRightInd w:val="0"/>
        <w:rPr>
          <w:b/>
          <w:bCs/>
          <w:szCs w:val="22"/>
        </w:rPr>
      </w:pPr>
    </w:p>
    <w:p w:rsidR="002710BB" w:rsidRPr="006B29E2" w:rsidP="00F54506">
      <w:pPr>
        <w:autoSpaceDE w:val="0"/>
        <w:autoSpaceDN w:val="0"/>
        <w:adjustRightInd w:val="0"/>
        <w:jc w:val="center"/>
        <w:rPr>
          <w:b/>
          <w:szCs w:val="22"/>
        </w:rPr>
      </w:pPr>
      <w:r w:rsidRPr="006B29E2">
        <w:rPr>
          <w:b/>
          <w:szCs w:val="22"/>
        </w:rPr>
        <w:t>PLEADING CYCLE ESTABLISHED</w:t>
      </w:r>
    </w:p>
    <w:p w:rsidR="002710BB" w:rsidRPr="006B29E2" w:rsidP="002710BB">
      <w:pPr>
        <w:jc w:val="center"/>
        <w:rPr>
          <w:b/>
          <w:szCs w:val="22"/>
        </w:rPr>
      </w:pPr>
    </w:p>
    <w:p w:rsidR="002710BB" w:rsidP="002710BB">
      <w:pPr>
        <w:jc w:val="center"/>
        <w:rPr>
          <w:b/>
          <w:szCs w:val="22"/>
        </w:rPr>
      </w:pPr>
      <w:r>
        <w:rPr>
          <w:b/>
          <w:szCs w:val="22"/>
        </w:rPr>
        <w:t xml:space="preserve"> </w:t>
      </w:r>
      <w:r w:rsidRPr="00377CC1">
        <w:rPr>
          <w:b/>
          <w:szCs w:val="22"/>
        </w:rPr>
        <w:t xml:space="preserve">WC Docket No. </w:t>
      </w:r>
      <w:r w:rsidRPr="00377CC1" w:rsidR="00377CC1">
        <w:rPr>
          <w:b/>
          <w:szCs w:val="22"/>
        </w:rPr>
        <w:t>19</w:t>
      </w:r>
      <w:r w:rsidRPr="00377CC1">
        <w:rPr>
          <w:b/>
          <w:szCs w:val="22"/>
        </w:rPr>
        <w:t>-</w:t>
      </w:r>
      <w:r w:rsidRPr="00377CC1" w:rsidR="00377CC1">
        <w:rPr>
          <w:b/>
          <w:szCs w:val="22"/>
        </w:rPr>
        <w:t>188</w:t>
      </w:r>
    </w:p>
    <w:p w:rsidR="002710BB" w:rsidRPr="006B29E2" w:rsidP="002710BB">
      <w:pPr>
        <w:jc w:val="center"/>
        <w:rPr>
          <w:szCs w:val="22"/>
        </w:rPr>
      </w:pPr>
    </w:p>
    <w:p w:rsidR="002710BB" w:rsidRPr="006B29E2" w:rsidP="002710BB">
      <w:pPr>
        <w:pStyle w:val="NoSpacing"/>
        <w:rPr>
          <w:b/>
          <w:szCs w:val="22"/>
        </w:rPr>
      </w:pPr>
      <w:r>
        <w:rPr>
          <w:b/>
          <w:szCs w:val="22"/>
        </w:rPr>
        <w:t xml:space="preserve">Comments Due:  </w:t>
      </w:r>
      <w:r w:rsidR="00FB2556">
        <w:rPr>
          <w:b/>
          <w:szCs w:val="22"/>
        </w:rPr>
        <w:t>August</w:t>
      </w:r>
      <w:r w:rsidRPr="00AF1348" w:rsidR="004241B2">
        <w:rPr>
          <w:b/>
          <w:szCs w:val="22"/>
        </w:rPr>
        <w:t xml:space="preserve"> </w:t>
      </w:r>
      <w:r w:rsidR="005074E3">
        <w:rPr>
          <w:b/>
          <w:szCs w:val="22"/>
        </w:rPr>
        <w:t>8</w:t>
      </w:r>
      <w:r w:rsidRPr="00AF1348">
        <w:rPr>
          <w:b/>
          <w:szCs w:val="22"/>
        </w:rPr>
        <w:t>, 201</w:t>
      </w:r>
      <w:r w:rsidRPr="00AF1348" w:rsidR="00CE3E5D">
        <w:rPr>
          <w:b/>
          <w:szCs w:val="22"/>
        </w:rPr>
        <w:t>9</w:t>
      </w:r>
    </w:p>
    <w:p w:rsidR="00590D65" w:rsidRPr="006B29E2" w:rsidP="002710BB">
      <w:pPr>
        <w:pStyle w:val="NoSpacing"/>
        <w:rPr>
          <w:b/>
          <w:szCs w:val="22"/>
        </w:rPr>
      </w:pPr>
      <w:r w:rsidRPr="006B29E2">
        <w:rPr>
          <w:b/>
          <w:szCs w:val="22"/>
        </w:rPr>
        <w:t>Reply Comments Due</w:t>
      </w:r>
      <w:r w:rsidRPr="00AF1348">
        <w:rPr>
          <w:b/>
          <w:szCs w:val="22"/>
        </w:rPr>
        <w:t xml:space="preserve">:  </w:t>
      </w:r>
      <w:r w:rsidR="00FB2556">
        <w:rPr>
          <w:b/>
          <w:szCs w:val="22"/>
        </w:rPr>
        <w:t>August</w:t>
      </w:r>
      <w:r w:rsidRPr="00AF1348" w:rsidR="004241B2">
        <w:rPr>
          <w:b/>
          <w:szCs w:val="22"/>
        </w:rPr>
        <w:t xml:space="preserve"> </w:t>
      </w:r>
      <w:r w:rsidR="005074E3">
        <w:rPr>
          <w:b/>
          <w:szCs w:val="22"/>
        </w:rPr>
        <w:t>15</w:t>
      </w:r>
      <w:r w:rsidRPr="00AF1348">
        <w:rPr>
          <w:b/>
          <w:szCs w:val="22"/>
        </w:rPr>
        <w:t>, 201</w:t>
      </w:r>
      <w:r w:rsidRPr="00AF1348" w:rsidR="00CE3E5D">
        <w:rPr>
          <w:b/>
          <w:szCs w:val="22"/>
        </w:rPr>
        <w:t>9</w:t>
      </w:r>
    </w:p>
    <w:p w:rsidR="002710BB" w:rsidRPr="006B29E2" w:rsidP="002710BB">
      <w:pPr>
        <w:autoSpaceDE w:val="0"/>
        <w:autoSpaceDN w:val="0"/>
        <w:adjustRightInd w:val="0"/>
        <w:rPr>
          <w:rFonts w:ascii="TimesNewRomanPSMT" w:hAnsi="TimesNewRomanPSMT" w:cs="TimesNewRomanPSMT"/>
          <w:szCs w:val="22"/>
        </w:rPr>
      </w:pPr>
    </w:p>
    <w:p w:rsidR="006C1429" w:rsidP="006C1429">
      <w:pPr>
        <w:autoSpaceDE w:val="0"/>
        <w:autoSpaceDN w:val="0"/>
        <w:adjustRightInd w:val="0"/>
        <w:ind w:firstLine="720"/>
        <w:rPr>
          <w:szCs w:val="22"/>
        </w:rPr>
      </w:pPr>
      <w:r w:rsidRPr="00FB3EDD">
        <w:rPr>
          <w:szCs w:val="22"/>
        </w:rPr>
        <w:t>By this Public Notice, the Wireline Competition</w:t>
      </w:r>
      <w:r w:rsidR="0020607D">
        <w:rPr>
          <w:szCs w:val="22"/>
        </w:rPr>
        <w:t xml:space="preserve"> </w:t>
      </w:r>
      <w:r w:rsidRPr="00FB3EDD">
        <w:rPr>
          <w:szCs w:val="22"/>
        </w:rPr>
        <w:t>Bureau</w:t>
      </w:r>
      <w:r w:rsidR="00377A13">
        <w:rPr>
          <w:szCs w:val="22"/>
        </w:rPr>
        <w:t xml:space="preserve">, International Bureau, </w:t>
      </w:r>
      <w:r w:rsidRPr="001212A4" w:rsidR="00377A13">
        <w:rPr>
          <w:szCs w:val="22"/>
        </w:rPr>
        <w:t xml:space="preserve">and Wireless </w:t>
      </w:r>
      <w:r w:rsidR="00332E1C">
        <w:rPr>
          <w:szCs w:val="22"/>
        </w:rPr>
        <w:t xml:space="preserve">Telecommunications </w:t>
      </w:r>
      <w:r w:rsidRPr="001212A4" w:rsidR="00377A13">
        <w:rPr>
          <w:szCs w:val="22"/>
        </w:rPr>
        <w:t>Bureau</w:t>
      </w:r>
      <w:r w:rsidRPr="00FB3EDD">
        <w:rPr>
          <w:szCs w:val="22"/>
        </w:rPr>
        <w:t xml:space="preserve"> seek comment from interested parties on</w:t>
      </w:r>
      <w:r w:rsidR="00585942">
        <w:rPr>
          <w:szCs w:val="22"/>
        </w:rPr>
        <w:t xml:space="preserve"> </w:t>
      </w:r>
      <w:r w:rsidR="001C2BAE">
        <w:rPr>
          <w:szCs w:val="22"/>
        </w:rPr>
        <w:t xml:space="preserve">a series of </w:t>
      </w:r>
      <w:r w:rsidRPr="00FB3EDD">
        <w:rPr>
          <w:szCs w:val="22"/>
        </w:rPr>
        <w:t>application</w:t>
      </w:r>
      <w:r w:rsidR="00585942">
        <w:rPr>
          <w:szCs w:val="22"/>
        </w:rPr>
        <w:t>s</w:t>
      </w:r>
      <w:r w:rsidRPr="00FB3EDD">
        <w:rPr>
          <w:szCs w:val="22"/>
        </w:rPr>
        <w:t xml:space="preserve"> filed by</w:t>
      </w:r>
      <w:r w:rsidRPr="00FB3EDD" w:rsidR="001419AD">
        <w:rPr>
          <w:color w:val="231F20"/>
          <w:szCs w:val="22"/>
        </w:rPr>
        <w:t xml:space="preserve"> </w:t>
      </w:r>
      <w:r w:rsidR="00994FA7">
        <w:rPr>
          <w:color w:val="231F20"/>
          <w:szCs w:val="22"/>
        </w:rPr>
        <w:t>Frontier Communications Corporation (Frontier) and its subsidiaries</w:t>
      </w:r>
      <w:r w:rsidR="00F40FFC">
        <w:rPr>
          <w:color w:val="231F20"/>
          <w:szCs w:val="22"/>
        </w:rPr>
        <w:t>,</w:t>
      </w:r>
      <w:r w:rsidR="00994FA7">
        <w:rPr>
          <w:color w:val="231F20"/>
          <w:szCs w:val="22"/>
        </w:rPr>
        <w:t xml:space="preserve"> Citizens Telecommunications Company of Idaho</w:t>
      </w:r>
      <w:r w:rsidR="005F0E8E">
        <w:rPr>
          <w:color w:val="231F20"/>
          <w:szCs w:val="22"/>
        </w:rPr>
        <w:t xml:space="preserve"> (Citizens Idaho)</w:t>
      </w:r>
      <w:r w:rsidR="00994FA7">
        <w:rPr>
          <w:color w:val="231F20"/>
          <w:szCs w:val="22"/>
        </w:rPr>
        <w:t>, Citizens Telecommunications Company of Montana</w:t>
      </w:r>
      <w:r w:rsidR="005F0E8E">
        <w:rPr>
          <w:color w:val="231F20"/>
          <w:szCs w:val="22"/>
        </w:rPr>
        <w:t xml:space="preserve"> (Citizens Montana)</w:t>
      </w:r>
      <w:r w:rsidR="00994FA7">
        <w:rPr>
          <w:color w:val="231F20"/>
          <w:szCs w:val="22"/>
        </w:rPr>
        <w:t xml:space="preserve">, Citizens </w:t>
      </w:r>
      <w:r w:rsidR="00560A35">
        <w:rPr>
          <w:color w:val="231F20"/>
          <w:szCs w:val="22"/>
        </w:rPr>
        <w:t>Telecommunications</w:t>
      </w:r>
      <w:r w:rsidR="00994FA7">
        <w:rPr>
          <w:color w:val="231F20"/>
          <w:szCs w:val="22"/>
        </w:rPr>
        <w:t xml:space="preserve"> Company of Oregon, and Frontier Communications</w:t>
      </w:r>
      <w:r w:rsidR="00560A35">
        <w:rPr>
          <w:color w:val="231F20"/>
          <w:szCs w:val="22"/>
        </w:rPr>
        <w:t xml:space="preserve"> Northwest, Inc. </w:t>
      </w:r>
      <w:r w:rsidR="005F0E8E">
        <w:rPr>
          <w:color w:val="231F20"/>
          <w:szCs w:val="22"/>
        </w:rPr>
        <w:t xml:space="preserve">(Frontier Northwest) </w:t>
      </w:r>
      <w:r w:rsidR="00560A35">
        <w:rPr>
          <w:color w:val="231F20"/>
          <w:szCs w:val="22"/>
        </w:rPr>
        <w:t>(</w:t>
      </w:r>
      <w:r w:rsidR="008939D9">
        <w:rPr>
          <w:color w:val="231F20"/>
          <w:szCs w:val="22"/>
        </w:rPr>
        <w:t xml:space="preserve">those specified Frontier subsidiaries, </w:t>
      </w:r>
      <w:r w:rsidR="002D10D9">
        <w:rPr>
          <w:color w:val="231F20"/>
          <w:szCs w:val="22"/>
        </w:rPr>
        <w:t>together,</w:t>
      </w:r>
      <w:r w:rsidR="0068351B">
        <w:rPr>
          <w:color w:val="231F20"/>
          <w:szCs w:val="22"/>
        </w:rPr>
        <w:t xml:space="preserve"> </w:t>
      </w:r>
      <w:r w:rsidR="003A15D6">
        <w:rPr>
          <w:color w:val="231F20"/>
          <w:szCs w:val="22"/>
        </w:rPr>
        <w:t>Transferring Companies</w:t>
      </w:r>
      <w:r w:rsidR="002D10D9">
        <w:rPr>
          <w:color w:val="231F20"/>
          <w:szCs w:val="22"/>
        </w:rPr>
        <w:t xml:space="preserve">), </w:t>
      </w:r>
      <w:r w:rsidR="006956A7">
        <w:rPr>
          <w:color w:val="231F20"/>
          <w:szCs w:val="22"/>
        </w:rPr>
        <w:t xml:space="preserve">and </w:t>
      </w:r>
      <w:r w:rsidR="002D10D9">
        <w:rPr>
          <w:color w:val="231F20"/>
          <w:szCs w:val="22"/>
        </w:rPr>
        <w:t>Northwest Fiber, LLC (Northwest Fiber</w:t>
      </w:r>
      <w:r w:rsidR="005F0E8E">
        <w:rPr>
          <w:color w:val="231F20"/>
          <w:szCs w:val="22"/>
        </w:rPr>
        <w:t>)</w:t>
      </w:r>
      <w:r w:rsidR="002D10D9">
        <w:rPr>
          <w:color w:val="231F20"/>
          <w:szCs w:val="22"/>
        </w:rPr>
        <w:t xml:space="preserve"> (Frontier, </w:t>
      </w:r>
      <w:r w:rsidR="003A15D6">
        <w:rPr>
          <w:color w:val="231F20"/>
          <w:szCs w:val="22"/>
        </w:rPr>
        <w:t>Transferring Companies</w:t>
      </w:r>
      <w:r w:rsidR="002D10D9">
        <w:rPr>
          <w:color w:val="231F20"/>
          <w:szCs w:val="22"/>
        </w:rPr>
        <w:t xml:space="preserve">, </w:t>
      </w:r>
      <w:r w:rsidR="00FB51FC">
        <w:rPr>
          <w:color w:val="231F20"/>
          <w:szCs w:val="22"/>
        </w:rPr>
        <w:t xml:space="preserve">and </w:t>
      </w:r>
      <w:r w:rsidR="002D10D9">
        <w:rPr>
          <w:color w:val="231F20"/>
          <w:szCs w:val="22"/>
        </w:rPr>
        <w:t>Northwest Fiber</w:t>
      </w:r>
      <w:r w:rsidR="00221347">
        <w:rPr>
          <w:color w:val="231F20"/>
          <w:szCs w:val="22"/>
        </w:rPr>
        <w:t xml:space="preserve">, </w:t>
      </w:r>
      <w:r w:rsidR="002D10D9">
        <w:rPr>
          <w:color w:val="231F20"/>
          <w:szCs w:val="22"/>
        </w:rPr>
        <w:t>collectively, Applicants)</w:t>
      </w:r>
      <w:r w:rsidRPr="00FB3EDD" w:rsidR="001419AD">
        <w:rPr>
          <w:color w:val="231F20"/>
          <w:szCs w:val="22"/>
        </w:rPr>
        <w:t xml:space="preserve">, </w:t>
      </w:r>
      <w:r w:rsidRPr="007656E1" w:rsidR="007656E1">
        <w:rPr>
          <w:snapToGrid w:val="0"/>
          <w:kern w:val="28"/>
          <w:szCs w:val="22"/>
        </w:rPr>
        <w:t xml:space="preserve">pursuant to sections 214 and 310(d) of the Communications Act of 1934, as amended (Act), and sections </w:t>
      </w:r>
      <w:r w:rsidR="00F4126D">
        <w:rPr>
          <w:snapToGrid w:val="0"/>
          <w:kern w:val="28"/>
          <w:szCs w:val="22"/>
        </w:rPr>
        <w:t xml:space="preserve">1.948, </w:t>
      </w:r>
      <w:r w:rsidRPr="007656E1" w:rsidR="007656E1">
        <w:rPr>
          <w:snapToGrid w:val="0"/>
          <w:kern w:val="28"/>
          <w:szCs w:val="22"/>
        </w:rPr>
        <w:t>63.03-04, 63.18, and 63.24 of the Commission’s rules</w:t>
      </w:r>
      <w:r w:rsidR="00F40FFC">
        <w:rPr>
          <w:snapToGrid w:val="0"/>
          <w:kern w:val="28"/>
          <w:szCs w:val="22"/>
        </w:rPr>
        <w:t>.</w:t>
      </w:r>
      <w:r>
        <w:rPr>
          <w:snapToGrid w:val="0"/>
          <w:kern w:val="28"/>
          <w:szCs w:val="22"/>
          <w:vertAlign w:val="superscript"/>
        </w:rPr>
        <w:footnoteReference w:id="3"/>
      </w:r>
      <w:r w:rsidRPr="00FB3EDD" w:rsidR="00681F18">
        <w:rPr>
          <w:szCs w:val="22"/>
        </w:rPr>
        <w:t xml:space="preserve"> </w:t>
      </w:r>
      <w:r w:rsidR="00F40FFC">
        <w:rPr>
          <w:szCs w:val="22"/>
        </w:rPr>
        <w:t xml:space="preserve"> Applicants </w:t>
      </w:r>
      <w:r w:rsidRPr="00FB3EDD" w:rsidR="00681F18">
        <w:rPr>
          <w:szCs w:val="22"/>
        </w:rPr>
        <w:t xml:space="preserve">request consent </w:t>
      </w:r>
      <w:r w:rsidR="00FA27FB">
        <w:rPr>
          <w:szCs w:val="22"/>
        </w:rPr>
        <w:t>for the</w:t>
      </w:r>
      <w:r w:rsidRPr="00FB3EDD" w:rsidR="00FB3EDD">
        <w:rPr>
          <w:szCs w:val="22"/>
        </w:rPr>
        <w:t xml:space="preserve"> </w:t>
      </w:r>
      <w:r w:rsidR="009831F8">
        <w:rPr>
          <w:szCs w:val="22"/>
        </w:rPr>
        <w:t>transfer</w:t>
      </w:r>
      <w:r w:rsidR="00FA27FB">
        <w:rPr>
          <w:szCs w:val="22"/>
        </w:rPr>
        <w:t xml:space="preserve"> of</w:t>
      </w:r>
      <w:r w:rsidR="009831F8">
        <w:rPr>
          <w:szCs w:val="22"/>
        </w:rPr>
        <w:t xml:space="preserve"> </w:t>
      </w:r>
      <w:r w:rsidRPr="00FB3EDD" w:rsidR="00FB3EDD">
        <w:rPr>
          <w:szCs w:val="22"/>
        </w:rPr>
        <w:t>control of</w:t>
      </w:r>
      <w:r w:rsidR="006956A7">
        <w:rPr>
          <w:szCs w:val="22"/>
        </w:rPr>
        <w:t xml:space="preserve"> </w:t>
      </w:r>
      <w:r w:rsidR="003A15D6">
        <w:rPr>
          <w:szCs w:val="22"/>
        </w:rPr>
        <w:t>the Transferring Companies</w:t>
      </w:r>
      <w:r w:rsidR="00F40FFC">
        <w:rPr>
          <w:szCs w:val="22"/>
        </w:rPr>
        <w:t xml:space="preserve"> and</w:t>
      </w:r>
      <w:r w:rsidR="00661062">
        <w:rPr>
          <w:szCs w:val="22"/>
        </w:rPr>
        <w:t xml:space="preserve"> </w:t>
      </w:r>
      <w:r w:rsidR="003A15D6">
        <w:rPr>
          <w:szCs w:val="22"/>
        </w:rPr>
        <w:t>the partial assignment of</w:t>
      </w:r>
      <w:r w:rsidR="00A56C55">
        <w:rPr>
          <w:szCs w:val="22"/>
        </w:rPr>
        <w:t xml:space="preserve"> long distance customer</w:t>
      </w:r>
      <w:r w:rsidR="00F40FFC">
        <w:rPr>
          <w:szCs w:val="22"/>
        </w:rPr>
        <w:t>s</w:t>
      </w:r>
      <w:r w:rsidR="00A56C55">
        <w:rPr>
          <w:szCs w:val="22"/>
        </w:rPr>
        <w:t xml:space="preserve"> from Frontier Communications of America, Inc</w:t>
      </w:r>
      <w:r w:rsidRPr="00A07085" w:rsidR="00A07085">
        <w:rPr>
          <w:szCs w:val="22"/>
        </w:rPr>
        <w:t>.</w:t>
      </w:r>
      <w:r w:rsidR="00A56C55">
        <w:rPr>
          <w:szCs w:val="22"/>
        </w:rPr>
        <w:t xml:space="preserve"> (Frontier America) and Frontier Communications Online and Long Distance, Inc. (Frontier LD) to Northwest Fiber.</w:t>
      </w:r>
      <w:r>
        <w:rPr>
          <w:szCs w:val="22"/>
        </w:rPr>
        <w:t xml:space="preserve">  </w:t>
      </w:r>
      <w:r w:rsidR="005F0E8E">
        <w:rPr>
          <w:szCs w:val="22"/>
        </w:rPr>
        <w:t>Citizens Idaho, Citizens Montana, Frontier Northwest</w:t>
      </w:r>
      <w:r w:rsidR="0011491B">
        <w:rPr>
          <w:szCs w:val="22"/>
        </w:rPr>
        <w:t>,</w:t>
      </w:r>
      <w:r w:rsidR="005F0E8E">
        <w:rPr>
          <w:szCs w:val="22"/>
        </w:rPr>
        <w:t xml:space="preserve"> and Northwest Fiber </w:t>
      </w:r>
      <w:r w:rsidRPr="005F0E8E">
        <w:rPr>
          <w:szCs w:val="22"/>
        </w:rPr>
        <w:t xml:space="preserve">also filed a petition for declaratory ruling (Petition) to permit </w:t>
      </w:r>
      <w:r w:rsidRPr="00BA2B1A">
        <w:rPr>
          <w:szCs w:val="22"/>
        </w:rPr>
        <w:t>foreign investment above the 25 percent benchmark in section 310(b)(4) of the Act</w:t>
      </w:r>
      <w:r w:rsidRPr="00A068C5">
        <w:rPr>
          <w:szCs w:val="22"/>
        </w:rPr>
        <w:t xml:space="preserve"> </w:t>
      </w:r>
      <w:r w:rsidRPr="00A068C5">
        <w:rPr>
          <w:color w:val="000000"/>
          <w:szCs w:val="22"/>
        </w:rPr>
        <w:t>and section 1.5000(a)(1) of the Commission’s rules.</w:t>
      </w:r>
      <w:r>
        <w:rPr>
          <w:rStyle w:val="FootnoteReference"/>
          <w:color w:val="000000"/>
          <w:szCs w:val="22"/>
        </w:rPr>
        <w:footnoteReference w:id="4"/>
      </w:r>
      <w:r>
        <w:rPr>
          <w:szCs w:val="22"/>
        </w:rPr>
        <w:t xml:space="preserve"> </w:t>
      </w:r>
    </w:p>
    <w:p w:rsidR="005F24AE" w:rsidP="006519AD">
      <w:pPr>
        <w:autoSpaceDE w:val="0"/>
        <w:autoSpaceDN w:val="0"/>
        <w:adjustRightInd w:val="0"/>
        <w:ind w:firstLine="720"/>
        <w:rPr>
          <w:szCs w:val="22"/>
        </w:rPr>
      </w:pPr>
      <w:r>
        <w:rPr>
          <w:szCs w:val="22"/>
        </w:rPr>
        <w:t xml:space="preserve">Frontier, </w:t>
      </w:r>
      <w:r w:rsidR="00224FC0">
        <w:rPr>
          <w:szCs w:val="22"/>
        </w:rPr>
        <w:t>a publicly</w:t>
      </w:r>
      <w:r w:rsidR="00F4126D">
        <w:rPr>
          <w:szCs w:val="22"/>
        </w:rPr>
        <w:t>-</w:t>
      </w:r>
      <w:r w:rsidR="00224FC0">
        <w:rPr>
          <w:szCs w:val="22"/>
        </w:rPr>
        <w:t xml:space="preserve">traded </w:t>
      </w:r>
      <w:r w:rsidR="00425372">
        <w:rPr>
          <w:szCs w:val="22"/>
        </w:rPr>
        <w:t>Delaware corporation</w:t>
      </w:r>
      <w:r w:rsidR="00224FC0">
        <w:rPr>
          <w:szCs w:val="22"/>
        </w:rPr>
        <w:t xml:space="preserve">, </w:t>
      </w:r>
      <w:r w:rsidR="00486DC0">
        <w:rPr>
          <w:szCs w:val="22"/>
        </w:rPr>
        <w:t xml:space="preserve">which </w:t>
      </w:r>
      <w:r w:rsidR="005200CE">
        <w:rPr>
          <w:szCs w:val="22"/>
        </w:rPr>
        <w:t xml:space="preserve">wholly owns </w:t>
      </w:r>
      <w:r w:rsidR="000264C0">
        <w:rPr>
          <w:szCs w:val="22"/>
        </w:rPr>
        <w:t>the Transferring Companies</w:t>
      </w:r>
      <w:r w:rsidR="005200CE">
        <w:rPr>
          <w:szCs w:val="22"/>
        </w:rPr>
        <w:t xml:space="preserve">, </w:t>
      </w:r>
      <w:r w:rsidR="00486DC0">
        <w:rPr>
          <w:szCs w:val="22"/>
        </w:rPr>
        <w:t>is</w:t>
      </w:r>
      <w:r w:rsidR="005200CE">
        <w:rPr>
          <w:szCs w:val="22"/>
        </w:rPr>
        <w:t xml:space="preserve"> authorized to provide </w:t>
      </w:r>
      <w:r w:rsidR="00425372">
        <w:rPr>
          <w:szCs w:val="22"/>
        </w:rPr>
        <w:t>services over</w:t>
      </w:r>
      <w:r w:rsidR="005B4EFF">
        <w:rPr>
          <w:szCs w:val="22"/>
        </w:rPr>
        <w:t xml:space="preserve"> </w:t>
      </w:r>
      <w:r w:rsidR="00486DC0">
        <w:rPr>
          <w:szCs w:val="22"/>
        </w:rPr>
        <w:t>its</w:t>
      </w:r>
      <w:r w:rsidR="00425372">
        <w:rPr>
          <w:szCs w:val="22"/>
        </w:rPr>
        <w:t xml:space="preserve"> fiber optic and copper networks, including </w:t>
      </w:r>
      <w:r w:rsidR="000264C0">
        <w:rPr>
          <w:szCs w:val="22"/>
        </w:rPr>
        <w:t>incumbent local exchange service,</w:t>
      </w:r>
      <w:r w:rsidR="00425372">
        <w:rPr>
          <w:szCs w:val="22"/>
        </w:rPr>
        <w:t xml:space="preserve"> long-distance </w:t>
      </w:r>
      <w:r w:rsidR="000264C0">
        <w:rPr>
          <w:szCs w:val="22"/>
        </w:rPr>
        <w:t>service</w:t>
      </w:r>
      <w:r w:rsidR="00203A5A">
        <w:rPr>
          <w:szCs w:val="22"/>
        </w:rPr>
        <w:t>, broadband,</w:t>
      </w:r>
      <w:r w:rsidR="00425372">
        <w:rPr>
          <w:szCs w:val="22"/>
        </w:rPr>
        <w:t xml:space="preserve"> and video</w:t>
      </w:r>
      <w:r w:rsidR="00E56DE7">
        <w:rPr>
          <w:szCs w:val="22"/>
        </w:rPr>
        <w:t xml:space="preserve"> service</w:t>
      </w:r>
      <w:r w:rsidR="00486DC0">
        <w:rPr>
          <w:szCs w:val="22"/>
        </w:rPr>
        <w:t>, in 29 states.</w:t>
      </w:r>
      <w:r>
        <w:rPr>
          <w:rStyle w:val="FootnoteReference"/>
          <w:szCs w:val="22"/>
        </w:rPr>
        <w:footnoteReference w:id="5"/>
      </w:r>
      <w:r w:rsidR="00486DC0">
        <w:rPr>
          <w:szCs w:val="22"/>
        </w:rPr>
        <w:t xml:space="preserve">  </w:t>
      </w:r>
      <w:r w:rsidR="00E56DE7">
        <w:rPr>
          <w:szCs w:val="22"/>
        </w:rPr>
        <w:t>The Transferring Companies</w:t>
      </w:r>
      <w:r w:rsidR="00486DC0">
        <w:rPr>
          <w:szCs w:val="22"/>
        </w:rPr>
        <w:t xml:space="preserve"> currently </w:t>
      </w:r>
      <w:r w:rsidR="00BD19F7">
        <w:rPr>
          <w:szCs w:val="22"/>
        </w:rPr>
        <w:t>provide these services</w:t>
      </w:r>
      <w:r w:rsidR="00486DC0">
        <w:rPr>
          <w:szCs w:val="22"/>
        </w:rPr>
        <w:t xml:space="preserve"> in Idaho, Montana, Oregon, and Washington</w:t>
      </w:r>
      <w:r w:rsidR="00A84571">
        <w:rPr>
          <w:szCs w:val="22"/>
        </w:rPr>
        <w:t>, passing 1.7 million residential and business locations, of which approximately 500,000 are fiber-to-the-premises capable</w:t>
      </w:r>
      <w:r w:rsidR="00486DC0">
        <w:rPr>
          <w:szCs w:val="22"/>
        </w:rPr>
        <w:t>.</w:t>
      </w:r>
      <w:r>
        <w:rPr>
          <w:rStyle w:val="FootnoteReference"/>
          <w:szCs w:val="22"/>
        </w:rPr>
        <w:footnoteReference w:id="6"/>
      </w:r>
      <w:r w:rsidR="00863B9D">
        <w:rPr>
          <w:szCs w:val="22"/>
        </w:rPr>
        <w:t xml:space="preserve">  </w:t>
      </w:r>
      <w:r w:rsidR="00B41621">
        <w:rPr>
          <w:szCs w:val="22"/>
        </w:rPr>
        <w:t>Frontier America and Frontier LD</w:t>
      </w:r>
      <w:r w:rsidR="00A71A74">
        <w:rPr>
          <w:szCs w:val="22"/>
        </w:rPr>
        <w:t>, both Delaware corporations, provide interstate and international long-distance services.</w:t>
      </w:r>
      <w:r>
        <w:rPr>
          <w:rStyle w:val="FootnoteReference"/>
          <w:szCs w:val="22"/>
        </w:rPr>
        <w:footnoteReference w:id="7"/>
      </w:r>
      <w:r w:rsidR="00BD19F7">
        <w:rPr>
          <w:szCs w:val="22"/>
        </w:rPr>
        <w:t xml:space="preserve">  </w:t>
      </w:r>
      <w:r w:rsidR="00203A5A">
        <w:rPr>
          <w:szCs w:val="22"/>
        </w:rPr>
        <w:t xml:space="preserve">As of March 31, 2019, Frontier served more than 350,000 residential and commercial customers </w:t>
      </w:r>
      <w:r w:rsidR="005074E3">
        <w:rPr>
          <w:szCs w:val="22"/>
        </w:rPr>
        <w:t>and</w:t>
      </w:r>
      <w:r w:rsidR="005A31E8">
        <w:rPr>
          <w:szCs w:val="22"/>
        </w:rPr>
        <w:t xml:space="preserve"> 315,</w:t>
      </w:r>
      <w:r w:rsidR="001E284D">
        <w:rPr>
          <w:szCs w:val="22"/>
        </w:rPr>
        <w:t xml:space="preserve">524 access lines </w:t>
      </w:r>
      <w:r w:rsidR="00203A5A">
        <w:rPr>
          <w:szCs w:val="22"/>
        </w:rPr>
        <w:t>in the four states covered by the proposed transaction.</w:t>
      </w:r>
      <w:r>
        <w:rPr>
          <w:rStyle w:val="FootnoteReference"/>
          <w:szCs w:val="22"/>
        </w:rPr>
        <w:footnoteReference w:id="8"/>
      </w:r>
      <w:r w:rsidR="00A71A74">
        <w:rPr>
          <w:szCs w:val="22"/>
        </w:rPr>
        <w:t xml:space="preserve">  </w:t>
      </w:r>
    </w:p>
    <w:p w:rsidR="00224FC0" w:rsidP="005F24AE">
      <w:pPr>
        <w:autoSpaceDE w:val="0"/>
        <w:autoSpaceDN w:val="0"/>
        <w:adjustRightInd w:val="0"/>
        <w:rPr>
          <w:szCs w:val="22"/>
        </w:rPr>
      </w:pPr>
    </w:p>
    <w:p w:rsidR="00224FC0" w:rsidP="001369D6">
      <w:pPr>
        <w:autoSpaceDE w:val="0"/>
        <w:autoSpaceDN w:val="0"/>
        <w:adjustRightInd w:val="0"/>
        <w:ind w:firstLine="720"/>
        <w:rPr>
          <w:szCs w:val="22"/>
        </w:rPr>
      </w:pPr>
      <w:r>
        <w:rPr>
          <w:szCs w:val="22"/>
        </w:rPr>
        <w:t xml:space="preserve">Northwest Fiber </w:t>
      </w:r>
      <w:r w:rsidR="00735492">
        <w:rPr>
          <w:szCs w:val="22"/>
        </w:rPr>
        <w:t>is an indirect, wholly</w:t>
      </w:r>
      <w:r w:rsidR="009160E4">
        <w:rPr>
          <w:szCs w:val="22"/>
        </w:rPr>
        <w:t xml:space="preserve"> </w:t>
      </w:r>
      <w:r w:rsidR="00735492">
        <w:rPr>
          <w:szCs w:val="22"/>
        </w:rPr>
        <w:t>owned subsidiary of Northwest Fiber Holdco, LLC</w:t>
      </w:r>
      <w:r w:rsidR="00707813">
        <w:rPr>
          <w:szCs w:val="22"/>
        </w:rPr>
        <w:t xml:space="preserve"> (Holdco), a Delaware limited liability company that was formed for the purpose of </w:t>
      </w:r>
      <w:r w:rsidR="00F40FFC">
        <w:rPr>
          <w:szCs w:val="22"/>
        </w:rPr>
        <w:t>implementing</w:t>
      </w:r>
      <w:r w:rsidR="00707813">
        <w:rPr>
          <w:szCs w:val="22"/>
        </w:rPr>
        <w:t xml:space="preserve"> the proposed transaction.</w:t>
      </w:r>
      <w:r>
        <w:rPr>
          <w:rStyle w:val="FootnoteReference"/>
          <w:szCs w:val="22"/>
        </w:rPr>
        <w:footnoteReference w:id="9"/>
      </w:r>
      <w:r w:rsidR="00707813">
        <w:rPr>
          <w:szCs w:val="22"/>
        </w:rPr>
        <w:t xml:space="preserve">  Northwest Fiber will be </w:t>
      </w:r>
      <w:r w:rsidR="00E9648F">
        <w:rPr>
          <w:szCs w:val="22"/>
        </w:rPr>
        <w:t xml:space="preserve">jointly </w:t>
      </w:r>
      <w:r w:rsidR="00707813">
        <w:rPr>
          <w:szCs w:val="22"/>
        </w:rPr>
        <w:t xml:space="preserve">owned by </w:t>
      </w:r>
      <w:r w:rsidR="000B6195">
        <w:rPr>
          <w:szCs w:val="22"/>
        </w:rPr>
        <w:t>WaveDivision Capital VII, LLC (</w:t>
      </w:r>
      <w:r w:rsidR="00707813">
        <w:rPr>
          <w:szCs w:val="22"/>
        </w:rPr>
        <w:t>WDC</w:t>
      </w:r>
      <w:r w:rsidR="000B6195">
        <w:rPr>
          <w:szCs w:val="22"/>
        </w:rPr>
        <w:t>)</w:t>
      </w:r>
      <w:r w:rsidR="00FF192A">
        <w:rPr>
          <w:szCs w:val="22"/>
        </w:rPr>
        <w:t xml:space="preserve"> (</w:t>
      </w:r>
      <w:r w:rsidR="00313AB4">
        <w:rPr>
          <w:szCs w:val="22"/>
        </w:rPr>
        <w:t xml:space="preserve">an </w:t>
      </w:r>
      <w:r w:rsidR="00FF192A">
        <w:rPr>
          <w:szCs w:val="22"/>
        </w:rPr>
        <w:t>approximate 10</w:t>
      </w:r>
      <w:r w:rsidR="005074E3">
        <w:rPr>
          <w:szCs w:val="22"/>
        </w:rPr>
        <w:t>%</w:t>
      </w:r>
      <w:r w:rsidR="00FF192A">
        <w:rPr>
          <w:szCs w:val="22"/>
        </w:rPr>
        <w:t xml:space="preserve"> interest)</w:t>
      </w:r>
      <w:r w:rsidR="008E28E2">
        <w:rPr>
          <w:szCs w:val="22"/>
        </w:rPr>
        <w:t>, a Washington limited liability company,</w:t>
      </w:r>
      <w:r>
        <w:rPr>
          <w:rStyle w:val="FootnoteReference"/>
          <w:szCs w:val="22"/>
        </w:rPr>
        <w:footnoteReference w:id="10"/>
      </w:r>
      <w:r w:rsidR="001C2BAE">
        <w:rPr>
          <w:szCs w:val="22"/>
        </w:rPr>
        <w:t xml:space="preserve"> and</w:t>
      </w:r>
      <w:r w:rsidR="00707813">
        <w:rPr>
          <w:szCs w:val="22"/>
        </w:rPr>
        <w:t xml:space="preserve"> Searchlight II OPT, L.P.</w:t>
      </w:r>
      <w:r w:rsidR="00F81920">
        <w:rPr>
          <w:szCs w:val="22"/>
        </w:rPr>
        <w:t xml:space="preserve"> (</w:t>
      </w:r>
      <w:bookmarkStart w:id="6" w:name="_Hlk13135570"/>
      <w:r w:rsidR="00F81920">
        <w:rPr>
          <w:szCs w:val="22"/>
        </w:rPr>
        <w:t xml:space="preserve">Searchlight </w:t>
      </w:r>
      <w:r w:rsidR="00313AB4">
        <w:rPr>
          <w:szCs w:val="22"/>
        </w:rPr>
        <w:t>Aggregator LP</w:t>
      </w:r>
      <w:bookmarkEnd w:id="6"/>
      <w:r w:rsidR="00F81920">
        <w:rPr>
          <w:szCs w:val="22"/>
        </w:rPr>
        <w:t>)</w:t>
      </w:r>
      <w:r w:rsidR="00FF192A">
        <w:rPr>
          <w:szCs w:val="22"/>
        </w:rPr>
        <w:t xml:space="preserve"> (</w:t>
      </w:r>
      <w:r w:rsidR="00313AB4">
        <w:rPr>
          <w:szCs w:val="22"/>
        </w:rPr>
        <w:t xml:space="preserve">an </w:t>
      </w:r>
      <w:r w:rsidR="00FF192A">
        <w:rPr>
          <w:szCs w:val="22"/>
        </w:rPr>
        <w:t>approximate 90</w:t>
      </w:r>
      <w:r w:rsidR="005074E3">
        <w:rPr>
          <w:szCs w:val="22"/>
        </w:rPr>
        <w:t>%</w:t>
      </w:r>
      <w:r w:rsidR="00FF192A">
        <w:rPr>
          <w:szCs w:val="22"/>
        </w:rPr>
        <w:t xml:space="preserve"> interest)</w:t>
      </w:r>
      <w:r w:rsidR="00707813">
        <w:rPr>
          <w:szCs w:val="22"/>
        </w:rPr>
        <w:t>, a Delaware limited partnership</w:t>
      </w:r>
      <w:r w:rsidR="004473B9">
        <w:rPr>
          <w:szCs w:val="22"/>
        </w:rPr>
        <w:t xml:space="preserve"> and aggregator of an investor group </w:t>
      </w:r>
      <w:r w:rsidR="00707813">
        <w:rPr>
          <w:szCs w:val="22"/>
        </w:rPr>
        <w:t xml:space="preserve">led by </w:t>
      </w:r>
      <w:r w:rsidR="00154BAA">
        <w:rPr>
          <w:szCs w:val="22"/>
        </w:rPr>
        <w:t xml:space="preserve">U.S. and foreign-based </w:t>
      </w:r>
      <w:r w:rsidR="00707813">
        <w:rPr>
          <w:szCs w:val="22"/>
        </w:rPr>
        <w:t>funds affiliated with Searchlight Capital Partners</w:t>
      </w:r>
      <w:r w:rsidR="00313AB4">
        <w:rPr>
          <w:szCs w:val="22"/>
        </w:rPr>
        <w:t>,</w:t>
      </w:r>
      <w:r w:rsidR="002B452F">
        <w:rPr>
          <w:szCs w:val="22"/>
        </w:rPr>
        <w:t xml:space="preserve"> </w:t>
      </w:r>
      <w:r w:rsidR="00E85E4C">
        <w:rPr>
          <w:szCs w:val="22"/>
        </w:rPr>
        <w:t>L.P (collectively, Searchlight).</w:t>
      </w:r>
      <w:r>
        <w:rPr>
          <w:rStyle w:val="FootnoteReference"/>
          <w:szCs w:val="22"/>
        </w:rPr>
        <w:footnoteReference w:id="11"/>
      </w:r>
      <w:r w:rsidR="00707813">
        <w:rPr>
          <w:szCs w:val="22"/>
        </w:rPr>
        <w:t xml:space="preserve"> </w:t>
      </w:r>
      <w:r w:rsidR="003B1C8B">
        <w:rPr>
          <w:szCs w:val="22"/>
        </w:rPr>
        <w:t xml:space="preserve"> </w:t>
      </w:r>
      <w:r w:rsidR="00956FCF">
        <w:rPr>
          <w:szCs w:val="22"/>
        </w:rPr>
        <w:t xml:space="preserve">Searchlight </w:t>
      </w:r>
      <w:r w:rsidR="0056613C">
        <w:rPr>
          <w:szCs w:val="22"/>
        </w:rPr>
        <w:t xml:space="preserve">Capital Partners, L.P. </w:t>
      </w:r>
      <w:r w:rsidR="00FF192A">
        <w:rPr>
          <w:szCs w:val="22"/>
        </w:rPr>
        <w:t xml:space="preserve">will elect a majority of </w:t>
      </w:r>
      <w:r w:rsidR="00E56DE7">
        <w:rPr>
          <w:szCs w:val="22"/>
        </w:rPr>
        <w:t>Northwest Fiber’s</w:t>
      </w:r>
      <w:r w:rsidR="00FF192A">
        <w:rPr>
          <w:szCs w:val="22"/>
        </w:rPr>
        <w:t xml:space="preserve"> board of directors.</w:t>
      </w:r>
      <w:r>
        <w:rPr>
          <w:rStyle w:val="FootnoteReference"/>
          <w:szCs w:val="22"/>
        </w:rPr>
        <w:footnoteReference w:id="12"/>
      </w:r>
      <w:r w:rsidR="00956FCF">
        <w:rPr>
          <w:szCs w:val="22"/>
        </w:rPr>
        <w:t xml:space="preserve">  </w:t>
      </w:r>
      <w:r w:rsidR="00E85E4C">
        <w:rPr>
          <w:szCs w:val="22"/>
        </w:rPr>
        <w:t>Searchlight is ultimately controlled by its three founding partners:  Eric Zinterhofer, a U.S. Citizen; Erol Uzumeri, a Canadian citizen; and Oliver Haarmann, a German citizen.</w:t>
      </w:r>
      <w:r>
        <w:rPr>
          <w:rStyle w:val="FootnoteReference"/>
          <w:szCs w:val="22"/>
        </w:rPr>
        <w:footnoteReference w:id="13"/>
      </w:r>
      <w:r w:rsidR="00482FAA">
        <w:rPr>
          <w:szCs w:val="22"/>
        </w:rPr>
        <w:t xml:space="preserve">  </w:t>
      </w:r>
      <w:r w:rsidR="004473B9">
        <w:rPr>
          <w:szCs w:val="22"/>
        </w:rPr>
        <w:t xml:space="preserve">WDC has one member, </w:t>
      </w:r>
      <w:r w:rsidR="00482FAA">
        <w:rPr>
          <w:szCs w:val="22"/>
        </w:rPr>
        <w:t>Steve Weed,</w:t>
      </w:r>
      <w:r w:rsidR="009A654F">
        <w:rPr>
          <w:szCs w:val="22"/>
        </w:rPr>
        <w:t xml:space="preserve"> </w:t>
      </w:r>
      <w:r w:rsidR="00482FAA">
        <w:rPr>
          <w:szCs w:val="22"/>
        </w:rPr>
        <w:t xml:space="preserve"> a U.S. Citizen, </w:t>
      </w:r>
      <w:r w:rsidR="004473B9">
        <w:rPr>
          <w:szCs w:val="22"/>
        </w:rPr>
        <w:t xml:space="preserve">who </w:t>
      </w:r>
      <w:r w:rsidR="00482FAA">
        <w:rPr>
          <w:szCs w:val="22"/>
        </w:rPr>
        <w:t xml:space="preserve">will serve as chairman of Northwest Fiber’s </w:t>
      </w:r>
      <w:r w:rsidR="00E56DE7">
        <w:rPr>
          <w:szCs w:val="22"/>
        </w:rPr>
        <w:t>b</w:t>
      </w:r>
      <w:r w:rsidR="00482FAA">
        <w:rPr>
          <w:szCs w:val="22"/>
        </w:rPr>
        <w:t xml:space="preserve">oard of </w:t>
      </w:r>
      <w:r w:rsidR="00E56DE7">
        <w:rPr>
          <w:szCs w:val="22"/>
        </w:rPr>
        <w:t>d</w:t>
      </w:r>
      <w:r w:rsidR="00482FAA">
        <w:rPr>
          <w:szCs w:val="22"/>
        </w:rPr>
        <w:t>irectors.</w:t>
      </w:r>
      <w:r>
        <w:rPr>
          <w:rStyle w:val="FootnoteReference"/>
          <w:szCs w:val="22"/>
        </w:rPr>
        <w:footnoteReference w:id="14"/>
      </w:r>
      <w:r w:rsidR="00482FAA">
        <w:rPr>
          <w:szCs w:val="22"/>
        </w:rPr>
        <w:t xml:space="preserve">  </w:t>
      </w:r>
      <w:r w:rsidR="005133AF">
        <w:rPr>
          <w:szCs w:val="22"/>
        </w:rPr>
        <w:t>Applicants state that WDC will manage the day-to-day operations of Northwest Fiber.</w:t>
      </w:r>
      <w:r>
        <w:rPr>
          <w:rStyle w:val="FootnoteReference"/>
          <w:szCs w:val="22"/>
        </w:rPr>
        <w:footnoteReference w:id="15"/>
      </w:r>
    </w:p>
    <w:p w:rsidR="00111189" w:rsidP="00111189">
      <w:pPr>
        <w:autoSpaceDE w:val="0"/>
        <w:autoSpaceDN w:val="0"/>
        <w:adjustRightInd w:val="0"/>
        <w:rPr>
          <w:sz w:val="24"/>
          <w:szCs w:val="24"/>
        </w:rPr>
      </w:pPr>
    </w:p>
    <w:p w:rsidR="00EF18E6" w:rsidP="00FD3EDA">
      <w:pPr>
        <w:autoSpaceDE w:val="0"/>
        <w:autoSpaceDN w:val="0"/>
        <w:adjustRightInd w:val="0"/>
        <w:ind w:firstLine="720"/>
        <w:rPr>
          <w:szCs w:val="22"/>
        </w:rPr>
      </w:pPr>
      <w:r w:rsidRPr="00111189">
        <w:rPr>
          <w:szCs w:val="22"/>
        </w:rPr>
        <w:t xml:space="preserve">Pursuant to the </w:t>
      </w:r>
      <w:r w:rsidR="00A3606F">
        <w:rPr>
          <w:szCs w:val="22"/>
        </w:rPr>
        <w:t xml:space="preserve">terms of the </w:t>
      </w:r>
      <w:r w:rsidRPr="00111189">
        <w:rPr>
          <w:szCs w:val="22"/>
        </w:rPr>
        <w:t>proposed</w:t>
      </w:r>
      <w:r w:rsidR="00A3606F">
        <w:rPr>
          <w:szCs w:val="22"/>
        </w:rPr>
        <w:t xml:space="preserve"> transaction, </w:t>
      </w:r>
      <w:r w:rsidR="00C65277">
        <w:rPr>
          <w:szCs w:val="22"/>
        </w:rPr>
        <w:t>Northwest Fiber w</w:t>
      </w:r>
      <w:r w:rsidR="00F4126D">
        <w:rPr>
          <w:szCs w:val="22"/>
        </w:rPr>
        <w:t>ould</w:t>
      </w:r>
      <w:r w:rsidR="00C65277">
        <w:rPr>
          <w:szCs w:val="22"/>
        </w:rPr>
        <w:t xml:space="preserve"> acquire all of the issue</w:t>
      </w:r>
      <w:r w:rsidR="00FD7F34">
        <w:rPr>
          <w:szCs w:val="22"/>
        </w:rPr>
        <w:t>d</w:t>
      </w:r>
      <w:r w:rsidR="00C65277">
        <w:rPr>
          <w:szCs w:val="22"/>
        </w:rPr>
        <w:t xml:space="preserve"> and outstanding equity interests of the </w:t>
      </w:r>
      <w:r w:rsidR="00915AE3">
        <w:rPr>
          <w:szCs w:val="22"/>
        </w:rPr>
        <w:t>Transferring Companies</w:t>
      </w:r>
      <w:r w:rsidR="00C65277">
        <w:rPr>
          <w:szCs w:val="22"/>
        </w:rPr>
        <w:t xml:space="preserve"> in an all-cash transaction valued at approximately $1.352 billion.</w:t>
      </w:r>
      <w:r>
        <w:rPr>
          <w:rStyle w:val="FootnoteReference"/>
          <w:szCs w:val="22"/>
        </w:rPr>
        <w:footnoteReference w:id="16"/>
      </w:r>
      <w:r w:rsidR="00C65277">
        <w:rPr>
          <w:szCs w:val="22"/>
        </w:rPr>
        <w:t xml:space="preserve">  </w:t>
      </w:r>
      <w:r w:rsidR="00F352D6">
        <w:rPr>
          <w:szCs w:val="22"/>
        </w:rPr>
        <w:t xml:space="preserve">Upon completion of the transaction, the </w:t>
      </w:r>
      <w:r w:rsidR="00915AE3">
        <w:rPr>
          <w:szCs w:val="22"/>
        </w:rPr>
        <w:t>Transferring Companies</w:t>
      </w:r>
      <w:r w:rsidR="00F352D6">
        <w:rPr>
          <w:szCs w:val="22"/>
        </w:rPr>
        <w:t>, with their local exchange, broadband</w:t>
      </w:r>
      <w:r w:rsidR="004473B9">
        <w:rPr>
          <w:szCs w:val="22"/>
        </w:rPr>
        <w:t>,</w:t>
      </w:r>
      <w:r w:rsidR="00F352D6">
        <w:rPr>
          <w:szCs w:val="22"/>
        </w:rPr>
        <w:t xml:space="preserve"> and video subscribers, w</w:t>
      </w:r>
      <w:r w:rsidR="00F4126D">
        <w:rPr>
          <w:szCs w:val="22"/>
        </w:rPr>
        <w:t>ould</w:t>
      </w:r>
      <w:r w:rsidR="00F352D6">
        <w:rPr>
          <w:szCs w:val="22"/>
        </w:rPr>
        <w:t xml:space="preserve"> become wholly</w:t>
      </w:r>
      <w:r w:rsidR="004F1086">
        <w:rPr>
          <w:szCs w:val="22"/>
        </w:rPr>
        <w:t xml:space="preserve"> </w:t>
      </w:r>
      <w:r w:rsidR="00F352D6">
        <w:rPr>
          <w:szCs w:val="22"/>
        </w:rPr>
        <w:t>owned</w:t>
      </w:r>
      <w:r w:rsidR="004F1086">
        <w:rPr>
          <w:szCs w:val="22"/>
        </w:rPr>
        <w:t>,</w:t>
      </w:r>
      <w:r w:rsidR="00F352D6">
        <w:rPr>
          <w:szCs w:val="22"/>
        </w:rPr>
        <w:t xml:space="preserve"> direct subsidiaries of Northwest Fiber.</w:t>
      </w:r>
      <w:r>
        <w:rPr>
          <w:rStyle w:val="FootnoteReference"/>
          <w:szCs w:val="22"/>
        </w:rPr>
        <w:footnoteReference w:id="17"/>
      </w:r>
      <w:r w:rsidR="00F352D6">
        <w:rPr>
          <w:szCs w:val="22"/>
        </w:rPr>
        <w:t xml:space="preserve">  In addition, long</w:t>
      </w:r>
      <w:r w:rsidR="002B1162">
        <w:rPr>
          <w:szCs w:val="22"/>
        </w:rPr>
        <w:t>-</w:t>
      </w:r>
      <w:r w:rsidR="00F352D6">
        <w:rPr>
          <w:szCs w:val="22"/>
        </w:rPr>
        <w:t xml:space="preserve">distance voice customers of Frontier America and Frontier LD in the </w:t>
      </w:r>
      <w:r w:rsidR="0071571A">
        <w:rPr>
          <w:szCs w:val="22"/>
        </w:rPr>
        <w:t xml:space="preserve">Transferring Companies’ </w:t>
      </w:r>
      <w:r w:rsidR="00F352D6">
        <w:rPr>
          <w:szCs w:val="22"/>
        </w:rPr>
        <w:t>four states w</w:t>
      </w:r>
      <w:r w:rsidR="00F4126D">
        <w:rPr>
          <w:szCs w:val="22"/>
        </w:rPr>
        <w:t>ould</w:t>
      </w:r>
      <w:r w:rsidR="00F352D6">
        <w:rPr>
          <w:szCs w:val="22"/>
        </w:rPr>
        <w:t xml:space="preserve"> be assigned to Northwest Fiber.</w:t>
      </w:r>
      <w:r>
        <w:rPr>
          <w:rStyle w:val="FootnoteReference"/>
          <w:szCs w:val="22"/>
        </w:rPr>
        <w:footnoteReference w:id="18"/>
      </w:r>
      <w:r w:rsidR="00645068">
        <w:rPr>
          <w:szCs w:val="22"/>
        </w:rPr>
        <w:t xml:space="preserve">  Following the transaction, Frontier w</w:t>
      </w:r>
      <w:r w:rsidR="00F4126D">
        <w:rPr>
          <w:szCs w:val="22"/>
        </w:rPr>
        <w:t>ould</w:t>
      </w:r>
      <w:r w:rsidR="00645068">
        <w:rPr>
          <w:szCs w:val="22"/>
        </w:rPr>
        <w:t xml:space="preserve"> continue to operate in the other 25 states in which it currently provides services.</w:t>
      </w:r>
      <w:r>
        <w:rPr>
          <w:rStyle w:val="FootnoteReference"/>
          <w:szCs w:val="22"/>
        </w:rPr>
        <w:footnoteReference w:id="19"/>
      </w:r>
      <w:r w:rsidR="00645068">
        <w:rPr>
          <w:szCs w:val="22"/>
        </w:rPr>
        <w:t xml:space="preserve"> </w:t>
      </w:r>
      <w:r w:rsidR="00F352D6">
        <w:rPr>
          <w:szCs w:val="22"/>
        </w:rPr>
        <w:t xml:space="preserve"> </w:t>
      </w:r>
    </w:p>
    <w:p w:rsidR="00F352D6" w:rsidP="00FD3EDA">
      <w:pPr>
        <w:autoSpaceDE w:val="0"/>
        <w:autoSpaceDN w:val="0"/>
        <w:adjustRightInd w:val="0"/>
        <w:ind w:firstLine="720"/>
        <w:rPr>
          <w:szCs w:val="22"/>
        </w:rPr>
      </w:pPr>
    </w:p>
    <w:p w:rsidR="002710BB" w:rsidP="00FD3EDA">
      <w:pPr>
        <w:autoSpaceDE w:val="0"/>
        <w:autoSpaceDN w:val="0"/>
        <w:adjustRightInd w:val="0"/>
        <w:ind w:firstLine="720"/>
        <w:rPr>
          <w:szCs w:val="22"/>
        </w:rPr>
      </w:pPr>
      <w:r w:rsidRPr="00F55292">
        <w:rPr>
          <w:szCs w:val="22"/>
        </w:rPr>
        <w:t xml:space="preserve">Applicants assert </w:t>
      </w:r>
      <w:r>
        <w:rPr>
          <w:szCs w:val="22"/>
        </w:rPr>
        <w:t>that a grant of the application</w:t>
      </w:r>
      <w:r w:rsidR="00F4126D">
        <w:rPr>
          <w:szCs w:val="22"/>
        </w:rPr>
        <w:t>s</w:t>
      </w:r>
      <w:r w:rsidRPr="00F55292">
        <w:rPr>
          <w:szCs w:val="22"/>
        </w:rPr>
        <w:t xml:space="preserve"> will serve the public interest, convenience, and necessity.</w:t>
      </w:r>
      <w:r>
        <w:rPr>
          <w:rStyle w:val="FootnoteReference"/>
          <w:szCs w:val="22"/>
        </w:rPr>
        <w:footnoteReference w:id="20"/>
      </w:r>
      <w:r w:rsidRPr="00F55292">
        <w:rPr>
          <w:szCs w:val="22"/>
        </w:rPr>
        <w:t xml:space="preserve"> </w:t>
      </w:r>
      <w:r w:rsidR="00BF1FF9">
        <w:rPr>
          <w:szCs w:val="22"/>
        </w:rPr>
        <w:t xml:space="preserve"> </w:t>
      </w:r>
      <w:r w:rsidR="00F7738F">
        <w:rPr>
          <w:szCs w:val="22"/>
        </w:rPr>
        <w:t xml:space="preserve">Applicants state that Northwest Fiber intends to invest </w:t>
      </w:r>
      <w:r w:rsidR="004473B9">
        <w:rPr>
          <w:szCs w:val="22"/>
        </w:rPr>
        <w:t xml:space="preserve">“significantly (measured in </w:t>
      </w:r>
      <w:r w:rsidR="00F7738F">
        <w:rPr>
          <w:szCs w:val="22"/>
        </w:rPr>
        <w:t>hundreds of millions of dollars</w:t>
      </w:r>
      <w:r w:rsidR="004473B9">
        <w:rPr>
          <w:szCs w:val="22"/>
        </w:rPr>
        <w:t>)</w:t>
      </w:r>
      <w:r w:rsidR="00F7738F">
        <w:rPr>
          <w:szCs w:val="22"/>
        </w:rPr>
        <w:t xml:space="preserve"> in the </w:t>
      </w:r>
      <w:r w:rsidR="00235E4B">
        <w:rPr>
          <w:szCs w:val="22"/>
        </w:rPr>
        <w:t xml:space="preserve">Transferring Companies </w:t>
      </w:r>
      <w:r w:rsidR="00F7738F">
        <w:rPr>
          <w:szCs w:val="22"/>
        </w:rPr>
        <w:t xml:space="preserve">to upgrade </w:t>
      </w:r>
      <w:r w:rsidR="004473B9">
        <w:rPr>
          <w:szCs w:val="22"/>
        </w:rPr>
        <w:t>and/</w:t>
      </w:r>
      <w:r w:rsidR="00F7738F">
        <w:rPr>
          <w:szCs w:val="22"/>
        </w:rPr>
        <w:t>or improve various aspects of their businesses, including the network, product capabilities and operations</w:t>
      </w:r>
      <w:r w:rsidR="004473B9">
        <w:rPr>
          <w:szCs w:val="22"/>
        </w:rPr>
        <w:t>,”</w:t>
      </w:r>
      <w:r w:rsidR="00840583">
        <w:rPr>
          <w:szCs w:val="22"/>
        </w:rPr>
        <w:t xml:space="preserve"> </w:t>
      </w:r>
      <w:r w:rsidR="00235E4B">
        <w:rPr>
          <w:szCs w:val="22"/>
        </w:rPr>
        <w:t xml:space="preserve">including </w:t>
      </w:r>
      <w:r w:rsidR="002B1162">
        <w:rPr>
          <w:szCs w:val="22"/>
        </w:rPr>
        <w:t xml:space="preserve">providing </w:t>
      </w:r>
      <w:r w:rsidR="00F7738F">
        <w:rPr>
          <w:szCs w:val="22"/>
        </w:rPr>
        <w:t xml:space="preserve">up to 1 Gbps </w:t>
      </w:r>
      <w:r w:rsidR="002B1162">
        <w:rPr>
          <w:szCs w:val="22"/>
        </w:rPr>
        <w:t xml:space="preserve">service </w:t>
      </w:r>
      <w:r w:rsidR="00F7738F">
        <w:rPr>
          <w:szCs w:val="22"/>
        </w:rPr>
        <w:t>in certain markets.</w:t>
      </w:r>
      <w:r>
        <w:rPr>
          <w:rStyle w:val="FootnoteReference"/>
          <w:szCs w:val="22"/>
        </w:rPr>
        <w:footnoteReference w:id="21"/>
      </w:r>
      <w:r w:rsidR="00F7738F">
        <w:rPr>
          <w:szCs w:val="22"/>
        </w:rPr>
        <w:t xml:space="preserve">  </w:t>
      </w:r>
      <w:r w:rsidR="00840583">
        <w:rPr>
          <w:szCs w:val="22"/>
        </w:rPr>
        <w:t>Applicants maintain that Northwest Fiber will continue to honor the broadband deployment obligations of Frontier through its participation in the Connect America Fund (CAF) Phase II program.</w:t>
      </w:r>
      <w:r>
        <w:rPr>
          <w:rStyle w:val="FootnoteReference"/>
          <w:szCs w:val="22"/>
        </w:rPr>
        <w:footnoteReference w:id="22"/>
      </w:r>
      <w:r w:rsidR="00840583">
        <w:rPr>
          <w:szCs w:val="22"/>
        </w:rPr>
        <w:t xml:space="preserve">  </w:t>
      </w:r>
      <w:r w:rsidR="00235E4B">
        <w:rPr>
          <w:szCs w:val="22"/>
        </w:rPr>
        <w:t>They</w:t>
      </w:r>
      <w:r w:rsidR="00B2279C">
        <w:rPr>
          <w:szCs w:val="22"/>
        </w:rPr>
        <w:t xml:space="preserve"> </w:t>
      </w:r>
      <w:r w:rsidR="00C5268E">
        <w:rPr>
          <w:szCs w:val="22"/>
        </w:rPr>
        <w:t xml:space="preserve">further </w:t>
      </w:r>
      <w:r w:rsidR="00B2279C">
        <w:rPr>
          <w:szCs w:val="22"/>
        </w:rPr>
        <w:t>contend that the transaction w</w:t>
      </w:r>
      <w:r w:rsidR="006933D5">
        <w:rPr>
          <w:szCs w:val="22"/>
        </w:rPr>
        <w:t>ould</w:t>
      </w:r>
      <w:r w:rsidR="00B2279C">
        <w:rPr>
          <w:szCs w:val="22"/>
        </w:rPr>
        <w:t xml:space="preserve"> result in the </w:t>
      </w:r>
      <w:r w:rsidR="00235E4B">
        <w:rPr>
          <w:szCs w:val="22"/>
        </w:rPr>
        <w:t>Transferring Companies</w:t>
      </w:r>
      <w:r w:rsidR="00B2279C">
        <w:rPr>
          <w:szCs w:val="22"/>
        </w:rPr>
        <w:t xml:space="preserve"> emerging as</w:t>
      </w:r>
      <w:r w:rsidR="00C5268E">
        <w:rPr>
          <w:szCs w:val="22"/>
        </w:rPr>
        <w:t xml:space="preserve"> </w:t>
      </w:r>
      <w:r w:rsidR="00B2279C">
        <w:rPr>
          <w:szCs w:val="22"/>
        </w:rPr>
        <w:t>well-financed and stronger competitor</w:t>
      </w:r>
      <w:r w:rsidR="00C5268E">
        <w:rPr>
          <w:szCs w:val="22"/>
        </w:rPr>
        <w:t>s</w:t>
      </w:r>
      <w:r w:rsidR="00B2279C">
        <w:rPr>
          <w:szCs w:val="22"/>
        </w:rPr>
        <w:t xml:space="preserve"> with sufficient cash flow to make the planned broadband investments and to provide more efficient services.</w:t>
      </w:r>
      <w:r>
        <w:rPr>
          <w:rStyle w:val="FootnoteReference"/>
          <w:szCs w:val="22"/>
        </w:rPr>
        <w:footnoteReference w:id="23"/>
      </w:r>
      <w:r w:rsidR="00B2279C">
        <w:rPr>
          <w:szCs w:val="22"/>
        </w:rPr>
        <w:t xml:space="preserve">  Applicants </w:t>
      </w:r>
      <w:r w:rsidR="006933D5">
        <w:rPr>
          <w:szCs w:val="22"/>
        </w:rPr>
        <w:t>assert</w:t>
      </w:r>
      <w:r w:rsidR="00B2279C">
        <w:rPr>
          <w:szCs w:val="22"/>
        </w:rPr>
        <w:t xml:space="preserve"> that the proposed transaction w</w:t>
      </w:r>
      <w:r w:rsidR="006933D5">
        <w:rPr>
          <w:szCs w:val="22"/>
        </w:rPr>
        <w:t>ould</w:t>
      </w:r>
      <w:r w:rsidR="00B2279C">
        <w:rPr>
          <w:szCs w:val="22"/>
        </w:rPr>
        <w:t xml:space="preserve"> not result in any public interest harm </w:t>
      </w:r>
      <w:r w:rsidR="00C5268E">
        <w:rPr>
          <w:szCs w:val="22"/>
        </w:rPr>
        <w:t xml:space="preserve">and </w:t>
      </w:r>
      <w:r w:rsidR="00B2279C">
        <w:rPr>
          <w:szCs w:val="22"/>
        </w:rPr>
        <w:t>would not result in the loss of a competitor</w:t>
      </w:r>
      <w:r w:rsidR="00915AE3">
        <w:rPr>
          <w:szCs w:val="22"/>
        </w:rPr>
        <w:t xml:space="preserve"> in any region</w:t>
      </w:r>
      <w:r w:rsidR="00C5268E">
        <w:rPr>
          <w:szCs w:val="22"/>
        </w:rPr>
        <w:t>.</w:t>
      </w:r>
      <w:r>
        <w:rPr>
          <w:rStyle w:val="FootnoteReference"/>
          <w:szCs w:val="22"/>
        </w:rPr>
        <w:footnoteReference w:id="24"/>
      </w:r>
      <w:r w:rsidR="00885F4A">
        <w:rPr>
          <w:szCs w:val="22"/>
        </w:rPr>
        <w:t xml:space="preserve">  </w:t>
      </w:r>
      <w:r w:rsidR="00915AE3">
        <w:rPr>
          <w:szCs w:val="22"/>
        </w:rPr>
        <w:t xml:space="preserve">Finally, </w:t>
      </w:r>
      <w:r w:rsidR="00B2279C">
        <w:rPr>
          <w:szCs w:val="22"/>
        </w:rPr>
        <w:t xml:space="preserve">Applicants </w:t>
      </w:r>
      <w:r w:rsidR="00235E4B">
        <w:rPr>
          <w:szCs w:val="22"/>
        </w:rPr>
        <w:t xml:space="preserve">state that </w:t>
      </w:r>
      <w:r w:rsidR="00235E4B">
        <w:rPr>
          <w:szCs w:val="22"/>
        </w:rPr>
        <w:t xml:space="preserve">they </w:t>
      </w:r>
      <w:r w:rsidR="00B2279C">
        <w:rPr>
          <w:szCs w:val="22"/>
        </w:rPr>
        <w:t>have a</w:t>
      </w:r>
      <w:r w:rsidR="00037BA9">
        <w:rPr>
          <w:szCs w:val="22"/>
        </w:rPr>
        <w:t xml:space="preserve"> plan for the transition of customers</w:t>
      </w:r>
      <w:r w:rsidR="00E4619A">
        <w:rPr>
          <w:szCs w:val="22"/>
        </w:rPr>
        <w:t xml:space="preserve">, </w:t>
      </w:r>
      <w:r w:rsidR="00B2279C">
        <w:rPr>
          <w:szCs w:val="22"/>
        </w:rPr>
        <w:t>operation support system</w:t>
      </w:r>
      <w:r w:rsidR="00E4619A">
        <w:rPr>
          <w:szCs w:val="22"/>
        </w:rPr>
        <w:t xml:space="preserve">s, and billing systems to minimize </w:t>
      </w:r>
      <w:r w:rsidR="002B1162">
        <w:rPr>
          <w:szCs w:val="22"/>
        </w:rPr>
        <w:t xml:space="preserve">the possibility of </w:t>
      </w:r>
      <w:r w:rsidR="00E4619A">
        <w:rPr>
          <w:szCs w:val="22"/>
        </w:rPr>
        <w:t>service disruptions</w:t>
      </w:r>
      <w:r w:rsidR="00730608">
        <w:rPr>
          <w:szCs w:val="22"/>
        </w:rPr>
        <w:t>.</w:t>
      </w:r>
      <w:r>
        <w:rPr>
          <w:rStyle w:val="FootnoteReference"/>
          <w:szCs w:val="22"/>
        </w:rPr>
        <w:footnoteReference w:id="25"/>
      </w:r>
      <w:r w:rsidR="00730608">
        <w:rPr>
          <w:szCs w:val="22"/>
        </w:rPr>
        <w:t xml:space="preserve">  </w:t>
      </w:r>
    </w:p>
    <w:p w:rsidR="00FE2A23" w:rsidRPr="00111189" w:rsidP="00FD3EDA">
      <w:pPr>
        <w:autoSpaceDE w:val="0"/>
        <w:autoSpaceDN w:val="0"/>
        <w:adjustRightInd w:val="0"/>
        <w:ind w:firstLine="720"/>
        <w:rPr>
          <w:szCs w:val="22"/>
        </w:rPr>
      </w:pPr>
    </w:p>
    <w:p w:rsidR="0009631D" w:rsidRPr="004E75F5" w:rsidP="004E75F5">
      <w:pPr>
        <w:autoSpaceDE w:val="0"/>
        <w:autoSpaceDN w:val="0"/>
        <w:adjustRightInd w:val="0"/>
        <w:rPr>
          <w:szCs w:val="22"/>
        </w:rPr>
      </w:pPr>
      <w:r w:rsidRPr="0009631D">
        <w:rPr>
          <w:b/>
          <w:color w:val="000000"/>
          <w:szCs w:val="22"/>
          <w:u w:val="single"/>
        </w:rPr>
        <w:t>GENERAL INFORMATION</w:t>
      </w:r>
    </w:p>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The application</w:t>
      </w:r>
      <w:r w:rsidR="00585942">
        <w:rPr>
          <w:color w:val="000000"/>
          <w:szCs w:val="22"/>
        </w:rPr>
        <w:t>s</w:t>
      </w:r>
      <w:r w:rsidRPr="0009631D">
        <w:rPr>
          <w:color w:val="000000"/>
          <w:szCs w:val="22"/>
        </w:rPr>
        <w:t xml:space="preserve"> identified herein ha</w:t>
      </w:r>
      <w:r w:rsidR="00585942">
        <w:rPr>
          <w:color w:val="000000"/>
          <w:szCs w:val="22"/>
        </w:rPr>
        <w:t>ve</w:t>
      </w:r>
      <w:r w:rsidRPr="0009631D">
        <w:rPr>
          <w:color w:val="000000"/>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09631D" w:rsidRPr="0009631D" w:rsidP="0009631D">
      <w:pPr>
        <w:rPr>
          <w:color w:val="000000"/>
          <w:szCs w:val="22"/>
        </w:rPr>
      </w:pPr>
    </w:p>
    <w:p w:rsidR="0009631D" w:rsidRPr="0009631D" w:rsidP="0009631D">
      <w:pPr>
        <w:ind w:firstLine="360"/>
        <w:rPr>
          <w:color w:val="000000"/>
          <w:szCs w:val="22"/>
        </w:rPr>
      </w:pPr>
      <w:r w:rsidRPr="0009631D">
        <w:rPr>
          <w:color w:val="000000"/>
          <w:szCs w:val="22"/>
        </w:rPr>
        <w:t xml:space="preserve">Interested parties may file comments and </w:t>
      </w:r>
      <w:r w:rsidRPr="00AF1348">
        <w:rPr>
          <w:color w:val="000000"/>
          <w:szCs w:val="22"/>
        </w:rPr>
        <w:t xml:space="preserve">petitions </w:t>
      </w:r>
      <w:r w:rsidRPr="00AF1348">
        <w:rPr>
          <w:b/>
          <w:color w:val="000000"/>
          <w:szCs w:val="22"/>
        </w:rPr>
        <w:t>on or</w:t>
      </w:r>
      <w:r w:rsidRPr="00AF1348">
        <w:rPr>
          <w:color w:val="000000"/>
          <w:szCs w:val="22"/>
        </w:rPr>
        <w:t xml:space="preserve"> </w:t>
      </w:r>
      <w:r w:rsidRPr="00AF1348">
        <w:rPr>
          <w:b/>
          <w:color w:val="000000"/>
          <w:szCs w:val="22"/>
        </w:rPr>
        <w:t xml:space="preserve">before </w:t>
      </w:r>
      <w:r w:rsidR="003958CC">
        <w:rPr>
          <w:b/>
          <w:color w:val="000000"/>
          <w:szCs w:val="22"/>
        </w:rPr>
        <w:t>August</w:t>
      </w:r>
      <w:r w:rsidRPr="00AF1348" w:rsidR="00DE3DEA">
        <w:rPr>
          <w:b/>
          <w:color w:val="000000"/>
          <w:szCs w:val="22"/>
        </w:rPr>
        <w:t xml:space="preserve"> </w:t>
      </w:r>
      <w:r w:rsidR="005074E3">
        <w:rPr>
          <w:b/>
          <w:color w:val="000000"/>
          <w:szCs w:val="22"/>
        </w:rPr>
        <w:t>8</w:t>
      </w:r>
      <w:r w:rsidRPr="00AF1348">
        <w:rPr>
          <w:b/>
          <w:color w:val="000000"/>
          <w:szCs w:val="22"/>
        </w:rPr>
        <w:t>, 2019</w:t>
      </w:r>
      <w:r w:rsidRPr="0009631D">
        <w:rPr>
          <w:b/>
          <w:color w:val="000000"/>
          <w:szCs w:val="22"/>
        </w:rPr>
        <w:t>,</w:t>
      </w:r>
      <w:r w:rsidRPr="0009631D">
        <w:rPr>
          <w:color w:val="000000"/>
          <w:szCs w:val="22"/>
        </w:rPr>
        <w:t xml:space="preserve"> and</w:t>
      </w:r>
      <w:r w:rsidRPr="0009631D">
        <w:rPr>
          <w:color w:val="000000"/>
          <w:szCs w:val="22"/>
        </w:rPr>
        <w:t xml:space="preserve"> reply comments or oppositions to </w:t>
      </w:r>
      <w:r w:rsidRPr="00AF1348">
        <w:rPr>
          <w:color w:val="000000"/>
          <w:szCs w:val="22"/>
        </w:rPr>
        <w:t xml:space="preserve">petitions </w:t>
      </w:r>
      <w:r w:rsidRPr="00AF1348">
        <w:rPr>
          <w:b/>
          <w:color w:val="000000"/>
          <w:szCs w:val="22"/>
        </w:rPr>
        <w:t xml:space="preserve">on or before </w:t>
      </w:r>
      <w:r w:rsidR="003958CC">
        <w:rPr>
          <w:b/>
          <w:color w:val="000000"/>
          <w:szCs w:val="22"/>
        </w:rPr>
        <w:t>August</w:t>
      </w:r>
      <w:r w:rsidRPr="00AF1348" w:rsidR="00DE3DEA">
        <w:rPr>
          <w:b/>
          <w:color w:val="000000"/>
          <w:szCs w:val="22"/>
        </w:rPr>
        <w:t xml:space="preserve"> </w:t>
      </w:r>
      <w:r w:rsidR="005074E3">
        <w:rPr>
          <w:b/>
          <w:color w:val="000000"/>
          <w:szCs w:val="22"/>
        </w:rPr>
        <w:t>15</w:t>
      </w:r>
      <w:r w:rsidRPr="00AF1348">
        <w:rPr>
          <w:b/>
          <w:color w:val="000000"/>
          <w:szCs w:val="22"/>
        </w:rPr>
        <w:t>, 2019</w:t>
      </w:r>
      <w:r w:rsidRPr="0009631D">
        <w:rPr>
          <w:color w:val="000000"/>
          <w:szCs w:val="22"/>
        </w:rPr>
        <w:t>.  Comments may be filed using the Commission’s Electronic Comment Filing System (ECFS) or by paper.  All filings must be addressed to the Commission’s Secretary, Office of the Secretary, Federal Communications Commission.</w:t>
      </w:r>
    </w:p>
    <w:p w:rsidR="0009631D" w:rsidRPr="0009631D" w:rsidP="0009631D">
      <w:pPr>
        <w:rPr>
          <w:color w:val="000000"/>
          <w:szCs w:val="22"/>
        </w:rPr>
      </w:pPr>
      <w:r w:rsidRPr="0009631D">
        <w:rPr>
          <w:color w:val="000000"/>
          <w:szCs w:val="22"/>
        </w:rPr>
        <w:t> </w:t>
      </w:r>
    </w:p>
    <w:p w:rsidR="0009631D" w:rsidRPr="0009631D" w:rsidP="0009631D">
      <w:pPr>
        <w:numPr>
          <w:ilvl w:val="0"/>
          <w:numId w:val="20"/>
        </w:numPr>
        <w:rPr>
          <w:color w:val="000000"/>
          <w:szCs w:val="22"/>
        </w:rPr>
      </w:pPr>
      <w:r w:rsidRPr="0009631D">
        <w:rPr>
          <w:color w:val="000000"/>
          <w:szCs w:val="22"/>
        </w:rPr>
        <w:t>Electronic Filers:  Comments may be filed electronically by accessing ECFS at </w:t>
      </w:r>
      <w:hyperlink r:id="rId11" w:history="1">
        <w:r w:rsidRPr="0009631D">
          <w:rPr>
            <w:rStyle w:val="Hyperlink"/>
            <w:szCs w:val="22"/>
          </w:rPr>
          <w:t>http://apps.fcc.gov/ecfs/</w:t>
        </w:r>
      </w:hyperlink>
      <w:r w:rsidRPr="0009631D">
        <w:rPr>
          <w:color w:val="000000"/>
          <w:szCs w:val="22"/>
        </w:rPr>
        <w:t>.</w:t>
      </w:r>
    </w:p>
    <w:p w:rsidR="0009631D" w:rsidRPr="0009631D" w:rsidP="0009631D">
      <w:pPr>
        <w:rPr>
          <w:color w:val="000000"/>
          <w:szCs w:val="22"/>
        </w:rPr>
      </w:pPr>
    </w:p>
    <w:p w:rsidR="0009631D" w:rsidRPr="0009631D" w:rsidP="0009631D">
      <w:pPr>
        <w:numPr>
          <w:ilvl w:val="0"/>
          <w:numId w:val="21"/>
        </w:numPr>
        <w:rPr>
          <w:color w:val="000000"/>
          <w:szCs w:val="22"/>
        </w:rPr>
      </w:pPr>
      <w:r w:rsidRPr="0009631D">
        <w:rPr>
          <w:color w:val="000000"/>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All hand-delivered or messenger-delivered paper filings for the Commission’s Secretary must be delivered to FCC Headquarters at 445 12</w:t>
      </w:r>
      <w:r w:rsidRPr="0009631D">
        <w:rPr>
          <w:color w:val="000000"/>
          <w:szCs w:val="22"/>
          <w:vertAlign w:val="superscript"/>
        </w:rPr>
        <w:t>th</w:t>
      </w:r>
      <w:r w:rsidRPr="0009631D">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Commercial overnight mail (other than U.S. Postal Service Express Mail and Priority Mail) must be sent to 9050 Junction Drive, Annapolis Junction, MD, 20701.</w:t>
      </w:r>
    </w:p>
    <w:p w:rsidR="0009631D" w:rsidRPr="0009631D" w:rsidP="0009631D">
      <w:pPr>
        <w:rPr>
          <w:color w:val="000000"/>
          <w:szCs w:val="22"/>
        </w:rPr>
      </w:pPr>
    </w:p>
    <w:p w:rsidR="0009631D" w:rsidRPr="0009631D" w:rsidP="0009631D">
      <w:pPr>
        <w:numPr>
          <w:ilvl w:val="1"/>
          <w:numId w:val="21"/>
        </w:numPr>
        <w:rPr>
          <w:color w:val="000000"/>
          <w:szCs w:val="22"/>
        </w:rPr>
      </w:pPr>
      <w:r w:rsidRPr="0009631D">
        <w:rPr>
          <w:color w:val="000000"/>
          <w:szCs w:val="22"/>
        </w:rPr>
        <w:t>U.S. Postal Service first-class, Express, and Priority mail must be addressed to 445 12</w:t>
      </w:r>
      <w:r w:rsidRPr="0009631D">
        <w:rPr>
          <w:color w:val="000000"/>
          <w:szCs w:val="22"/>
          <w:vertAlign w:val="superscript"/>
        </w:rPr>
        <w:t>th</w:t>
      </w:r>
      <w:r w:rsidRPr="0009631D">
        <w:rPr>
          <w:color w:val="000000"/>
          <w:szCs w:val="22"/>
        </w:rPr>
        <w:t> Street, SW, Washington DC, 20554.</w:t>
      </w:r>
    </w:p>
    <w:p w:rsidR="0009631D" w:rsidRPr="0009631D" w:rsidP="0009631D">
      <w:pPr>
        <w:rPr>
          <w:color w:val="000000"/>
          <w:szCs w:val="22"/>
        </w:rPr>
      </w:pPr>
      <w:r w:rsidRPr="0009631D">
        <w:rPr>
          <w:color w:val="000000"/>
          <w:szCs w:val="22"/>
        </w:rPr>
        <w:t> </w:t>
      </w:r>
    </w:p>
    <w:p w:rsidR="0009631D" w:rsidRPr="0009631D" w:rsidP="0009631D">
      <w:pPr>
        <w:ind w:firstLine="720"/>
        <w:rPr>
          <w:color w:val="000000"/>
          <w:szCs w:val="22"/>
        </w:rPr>
      </w:pPr>
      <w:r w:rsidRPr="0009631D">
        <w:rPr>
          <w:color w:val="000000"/>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09631D" w:rsidRPr="0009631D" w:rsidP="0009631D">
      <w:pPr>
        <w:rPr>
          <w:color w:val="000000"/>
          <w:szCs w:val="22"/>
        </w:rPr>
      </w:pPr>
    </w:p>
    <w:p w:rsidR="0009631D" w:rsidRPr="0009631D" w:rsidP="0009631D">
      <w:pPr>
        <w:rPr>
          <w:b/>
          <w:color w:val="000000"/>
          <w:szCs w:val="22"/>
        </w:rPr>
      </w:pPr>
      <w:r w:rsidRPr="0009631D">
        <w:rPr>
          <w:b/>
          <w:color w:val="000000"/>
          <w:szCs w:val="22"/>
        </w:rPr>
        <w:t>In addition, e-mail one copy of each pleading to each of the following:</w:t>
      </w:r>
    </w:p>
    <w:p w:rsidR="0009631D" w:rsidRPr="0009631D" w:rsidP="0009631D">
      <w:pPr>
        <w:rPr>
          <w:b/>
          <w:color w:val="000000"/>
          <w:szCs w:val="22"/>
        </w:rPr>
      </w:pPr>
    </w:p>
    <w:p w:rsidR="0009631D" w:rsidRPr="0009631D" w:rsidP="0009631D">
      <w:pPr>
        <w:rPr>
          <w:color w:val="000000"/>
          <w:szCs w:val="22"/>
        </w:rPr>
      </w:pPr>
    </w:p>
    <w:p w:rsidR="0009631D" w:rsidRPr="0009631D" w:rsidP="0009631D">
      <w:pPr>
        <w:numPr>
          <w:ilvl w:val="0"/>
          <w:numId w:val="18"/>
        </w:numPr>
        <w:rPr>
          <w:color w:val="000000"/>
          <w:szCs w:val="22"/>
        </w:rPr>
      </w:pPr>
      <w:r>
        <w:rPr>
          <w:color w:val="000000"/>
          <w:szCs w:val="22"/>
        </w:rPr>
        <w:t>Dennis</w:t>
      </w:r>
      <w:r w:rsidRPr="0009631D">
        <w:rPr>
          <w:color w:val="000000"/>
          <w:szCs w:val="22"/>
        </w:rPr>
        <w:t xml:space="preserve"> </w:t>
      </w:r>
      <w:r>
        <w:rPr>
          <w:color w:val="000000"/>
          <w:szCs w:val="22"/>
        </w:rPr>
        <w:t>Johnson</w:t>
      </w:r>
      <w:r w:rsidR="00235E4B">
        <w:rPr>
          <w:color w:val="000000"/>
          <w:szCs w:val="22"/>
        </w:rPr>
        <w:t xml:space="preserve"> and Annick Banoun</w:t>
      </w:r>
      <w:r w:rsidRPr="0009631D">
        <w:rPr>
          <w:color w:val="000000"/>
          <w:szCs w:val="22"/>
        </w:rPr>
        <w:t xml:space="preserve">, Competition Policy Division, Wireline Competition Bureau, </w:t>
      </w:r>
      <w:hyperlink r:id="rId12" w:history="1">
        <w:r w:rsidRPr="009838CF">
          <w:rPr>
            <w:rStyle w:val="Hyperlink"/>
            <w:szCs w:val="22"/>
          </w:rPr>
          <w:t>dennis.johnson@fcc.gov</w:t>
        </w:r>
      </w:hyperlink>
      <w:r w:rsidRPr="0009631D">
        <w:rPr>
          <w:color w:val="000000"/>
          <w:szCs w:val="22"/>
        </w:rPr>
        <w:t xml:space="preserve">; </w:t>
      </w:r>
      <w:hyperlink r:id="rId13" w:history="1">
        <w:r w:rsidRPr="00E8515F" w:rsidR="005F0E8E">
          <w:rPr>
            <w:rStyle w:val="Hyperlink"/>
            <w:szCs w:val="22"/>
          </w:rPr>
          <w:t>annick.banoun@fcc.gov</w:t>
        </w:r>
      </w:hyperlink>
      <w:r w:rsidR="00235E4B">
        <w:rPr>
          <w:color w:val="000000"/>
          <w:szCs w:val="22"/>
        </w:rPr>
        <w:t>;</w:t>
      </w:r>
    </w:p>
    <w:p w:rsidR="0009631D" w:rsidRPr="0009631D" w:rsidP="0009631D">
      <w:pPr>
        <w:rPr>
          <w:color w:val="000000"/>
          <w:szCs w:val="22"/>
        </w:rPr>
      </w:pPr>
    </w:p>
    <w:p w:rsidR="0009631D" w:rsidRPr="0009631D" w:rsidP="0009631D">
      <w:pPr>
        <w:numPr>
          <w:ilvl w:val="0"/>
          <w:numId w:val="18"/>
        </w:numPr>
        <w:rPr>
          <w:color w:val="000000"/>
          <w:szCs w:val="22"/>
        </w:rPr>
      </w:pPr>
      <w:bookmarkStart w:id="8" w:name="_Hlk520384977"/>
      <w:r w:rsidRPr="0009631D">
        <w:rPr>
          <w:color w:val="000000"/>
          <w:szCs w:val="22"/>
        </w:rPr>
        <w:t xml:space="preserve">David Krech, International Bureau; </w:t>
      </w:r>
      <w:hyperlink r:id="rId14" w:history="1">
        <w:r w:rsidRPr="0009631D">
          <w:rPr>
            <w:rStyle w:val="Hyperlink"/>
            <w:szCs w:val="22"/>
          </w:rPr>
          <w:t>david.krech@fcc.gov</w:t>
        </w:r>
      </w:hyperlink>
      <w:r w:rsidRPr="0009631D">
        <w:rPr>
          <w:color w:val="000000"/>
          <w:szCs w:val="22"/>
        </w:rPr>
        <w:t xml:space="preserve">; </w:t>
      </w:r>
    </w:p>
    <w:p w:rsidR="0009631D" w:rsidRPr="0009631D" w:rsidP="0009631D">
      <w:pPr>
        <w:rPr>
          <w:color w:val="000000"/>
          <w:szCs w:val="22"/>
        </w:rPr>
      </w:pPr>
    </w:p>
    <w:p w:rsidR="00235E4B" w:rsidRPr="0009631D" w:rsidP="00235E4B">
      <w:pPr>
        <w:numPr>
          <w:ilvl w:val="0"/>
          <w:numId w:val="18"/>
        </w:numPr>
        <w:rPr>
          <w:color w:val="000000"/>
          <w:szCs w:val="22"/>
        </w:rPr>
      </w:pPr>
      <w:r>
        <w:rPr>
          <w:color w:val="000000"/>
          <w:szCs w:val="22"/>
        </w:rPr>
        <w:t>Linda Ray, Broadband Division, Wireless Telecommunications Bureau</w:t>
      </w:r>
      <w:r w:rsidRPr="0009631D">
        <w:rPr>
          <w:color w:val="000000"/>
          <w:szCs w:val="22"/>
        </w:rPr>
        <w:t xml:space="preserve">; </w:t>
      </w:r>
      <w:hyperlink r:id="rId15" w:history="1">
        <w:r w:rsidRPr="006D71A2">
          <w:rPr>
            <w:rStyle w:val="Hyperlink"/>
            <w:szCs w:val="22"/>
          </w:rPr>
          <w:t>linda.ray@fcc.gov</w:t>
        </w:r>
      </w:hyperlink>
      <w:r>
        <w:rPr>
          <w:color w:val="000000"/>
          <w:szCs w:val="22"/>
        </w:rPr>
        <w:t xml:space="preserve">; </w:t>
      </w:r>
      <w:r w:rsidRPr="0009631D">
        <w:rPr>
          <w:color w:val="000000"/>
          <w:szCs w:val="22"/>
        </w:rPr>
        <w:t>and</w:t>
      </w:r>
    </w:p>
    <w:p w:rsidR="00235E4B" w:rsidRPr="0009631D" w:rsidP="00235E4B">
      <w:pPr>
        <w:rPr>
          <w:color w:val="000000"/>
          <w:szCs w:val="22"/>
        </w:rPr>
      </w:pPr>
    </w:p>
    <w:p w:rsidR="0009631D" w:rsidRPr="006538F7" w:rsidP="006538F7">
      <w:pPr>
        <w:numPr>
          <w:ilvl w:val="0"/>
          <w:numId w:val="18"/>
        </w:numPr>
        <w:rPr>
          <w:color w:val="000000"/>
          <w:szCs w:val="22"/>
        </w:rPr>
      </w:pPr>
      <w:r w:rsidRPr="0009631D">
        <w:rPr>
          <w:color w:val="000000"/>
          <w:szCs w:val="22"/>
        </w:rPr>
        <w:t xml:space="preserve">Jim Bird, Office of General Counsel, </w:t>
      </w:r>
      <w:hyperlink r:id="rId16" w:history="1">
        <w:r w:rsidRPr="0009631D">
          <w:rPr>
            <w:rStyle w:val="Hyperlink"/>
            <w:szCs w:val="22"/>
          </w:rPr>
          <w:t>jim.bird@fcc.gov</w:t>
        </w:r>
      </w:hyperlink>
      <w:r w:rsidRPr="0009631D">
        <w:rPr>
          <w:color w:val="000000"/>
          <w:szCs w:val="22"/>
        </w:rPr>
        <w:t>.</w:t>
      </w:r>
      <w:r w:rsidR="001C0061">
        <w:rPr>
          <w:color w:val="000000"/>
          <w:szCs w:val="22"/>
        </w:rPr>
        <w:t xml:space="preserve"> </w:t>
      </w:r>
    </w:p>
    <w:bookmarkEnd w:id="8"/>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ex parte</w:t>
      </w:r>
      <w:r w:rsidRPr="0009631D">
        <w:rPr>
          <w:color w:val="000000"/>
          <w:szCs w:val="22"/>
        </w:rPr>
        <w:t xml:space="preserve"> rules.  Persons making </w:t>
      </w:r>
      <w:r w:rsidRPr="0009631D">
        <w:rPr>
          <w:i/>
          <w:color w:val="000000"/>
          <w:szCs w:val="22"/>
        </w:rPr>
        <w:t>ex 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ex 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ex 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ex parte</w:t>
      </w:r>
      <w:r w:rsidRPr="0009631D">
        <w:rPr>
          <w:color w:val="000000"/>
          <w:szCs w:val="22"/>
        </w:rPr>
        <w:t xml:space="preserve"> meetings are deemed to be written </w:t>
      </w:r>
      <w:r w:rsidRPr="0009631D">
        <w:rPr>
          <w:i/>
          <w:color w:val="000000"/>
          <w:szCs w:val="22"/>
        </w:rPr>
        <w:t>ex parte</w:t>
      </w:r>
      <w:r w:rsidRPr="0009631D">
        <w:rPr>
          <w:color w:val="000000"/>
          <w:szCs w:val="22"/>
        </w:rPr>
        <w:t xml:space="preserve"> presentations and must be filed consistent with rule 1.1206(b), 47 CFR § 1.1206(b).  Participants in this proceeding should familiarize themselves with the Commission’s </w:t>
      </w:r>
      <w:r w:rsidRPr="0009631D">
        <w:rPr>
          <w:i/>
          <w:color w:val="000000"/>
          <w:szCs w:val="22"/>
        </w:rPr>
        <w:t>ex parte</w:t>
      </w:r>
      <w:r w:rsidRPr="0009631D">
        <w:rPr>
          <w:color w:val="000000"/>
          <w:szCs w:val="22"/>
        </w:rPr>
        <w:t xml:space="preserve"> rules.</w:t>
      </w:r>
    </w:p>
    <w:p w:rsidR="0009631D" w:rsidRPr="0009631D" w:rsidP="0009631D">
      <w:pPr>
        <w:rPr>
          <w:color w:val="000000"/>
          <w:szCs w:val="22"/>
        </w:rPr>
      </w:pPr>
    </w:p>
    <w:p w:rsidR="0009631D" w:rsidRPr="0009631D" w:rsidP="004E1A72">
      <w:pPr>
        <w:ind w:firstLine="720"/>
        <w:rPr>
          <w:color w:val="000000"/>
          <w:szCs w:val="22"/>
        </w:rPr>
      </w:pPr>
      <w:r w:rsidRPr="0009631D">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26"/>
      </w:r>
      <w:r w:rsidRPr="0009631D">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9631D" w:rsidRPr="0009631D" w:rsidP="0009631D">
      <w:pPr>
        <w:rPr>
          <w:color w:val="000000"/>
          <w:szCs w:val="22"/>
        </w:rPr>
      </w:pPr>
    </w:p>
    <w:p w:rsidR="0009631D" w:rsidRPr="0009631D" w:rsidP="009D0445">
      <w:pPr>
        <w:ind w:firstLine="720"/>
        <w:rPr>
          <w:color w:val="000000"/>
          <w:szCs w:val="22"/>
        </w:rPr>
      </w:pPr>
      <w:r w:rsidRPr="0009631D">
        <w:rPr>
          <w:color w:val="000000"/>
          <w:szCs w:val="22"/>
        </w:rPr>
        <w:t xml:space="preserve">For further information, please contact </w:t>
      </w:r>
      <w:r w:rsidR="000D557C">
        <w:rPr>
          <w:color w:val="000000"/>
          <w:szCs w:val="22"/>
        </w:rPr>
        <w:t>Dennis Johnson</w:t>
      </w:r>
      <w:r w:rsidR="00332E1C">
        <w:rPr>
          <w:color w:val="000000"/>
          <w:szCs w:val="22"/>
        </w:rPr>
        <w:t>, Wireline Competition Bureau,</w:t>
      </w:r>
      <w:r w:rsidRPr="0009631D">
        <w:rPr>
          <w:color w:val="000000"/>
          <w:szCs w:val="22"/>
        </w:rPr>
        <w:t xml:space="preserve"> (202) 418-</w:t>
      </w:r>
      <w:r w:rsidR="000D557C">
        <w:rPr>
          <w:color w:val="000000"/>
          <w:szCs w:val="22"/>
        </w:rPr>
        <w:t>0809</w:t>
      </w:r>
      <w:r w:rsidR="00332E1C">
        <w:rPr>
          <w:color w:val="000000"/>
          <w:szCs w:val="22"/>
        </w:rPr>
        <w:t xml:space="preserve">; </w:t>
      </w:r>
      <w:r w:rsidR="00235E4B">
        <w:rPr>
          <w:color w:val="000000"/>
          <w:szCs w:val="22"/>
        </w:rPr>
        <w:t xml:space="preserve">Annick Banoun, Wireline Competition Bureau, (202) 418-1521, </w:t>
      </w:r>
      <w:r w:rsidR="00332E1C">
        <w:rPr>
          <w:color w:val="000000"/>
          <w:szCs w:val="22"/>
        </w:rPr>
        <w:t>David Krech, International Bureau, (202) 418-7443; or Linda Ray, Wireless Telecommunications Bureau, (202) 418-0257</w:t>
      </w:r>
      <w:r w:rsidRPr="0009631D">
        <w:rPr>
          <w:color w:val="000000"/>
          <w:szCs w:val="22"/>
        </w:rPr>
        <w:t>.</w:t>
      </w:r>
    </w:p>
    <w:p w:rsidR="0038750A" w:rsidRPr="0038750A" w:rsidP="0038750A">
      <w:pPr>
        <w:rPr>
          <w:b/>
          <w:color w:val="000000"/>
          <w:szCs w:val="22"/>
        </w:rPr>
      </w:pPr>
      <w:r>
        <w:rPr>
          <w:b/>
          <w:color w:val="000000"/>
          <w:szCs w:val="22"/>
        </w:rPr>
        <w:br w:type="page"/>
      </w:r>
    </w:p>
    <w:p w:rsidR="0038750A" w:rsidRPr="00585942" w:rsidP="00EF113F">
      <w:pPr>
        <w:jc w:val="center"/>
        <w:rPr>
          <w:b/>
          <w:color w:val="000000"/>
          <w:szCs w:val="22"/>
          <w:u w:val="single"/>
        </w:rPr>
      </w:pPr>
      <w:r w:rsidRPr="00585942">
        <w:rPr>
          <w:b/>
          <w:color w:val="000000"/>
          <w:szCs w:val="22"/>
          <w:u w:val="single"/>
        </w:rPr>
        <w:t>ATTACHMENT A</w:t>
      </w:r>
    </w:p>
    <w:p w:rsidR="0038750A" w:rsidRPr="00585942" w:rsidP="0038750A">
      <w:pPr>
        <w:rPr>
          <w:b/>
          <w:color w:val="000000"/>
          <w:szCs w:val="22"/>
        </w:rPr>
      </w:pPr>
    </w:p>
    <w:p w:rsidR="0038750A" w:rsidRPr="00585942" w:rsidP="0038750A">
      <w:pPr>
        <w:rPr>
          <w:b/>
          <w:color w:val="000000"/>
          <w:szCs w:val="22"/>
        </w:rPr>
      </w:pPr>
    </w:p>
    <w:p w:rsidR="0038750A" w:rsidRPr="0022664E" w:rsidP="0038750A">
      <w:pPr>
        <w:rPr>
          <w:color w:val="000000"/>
          <w:szCs w:val="22"/>
        </w:rPr>
      </w:pPr>
      <w:r w:rsidRPr="00585942">
        <w:rPr>
          <w:b/>
          <w:color w:val="000000"/>
          <w:szCs w:val="22"/>
        </w:rPr>
        <w:t>SECTION 214 AUTHORIZATIONS</w:t>
      </w:r>
    </w:p>
    <w:p w:rsidR="0038750A" w:rsidRPr="0022664E" w:rsidP="0038750A">
      <w:pPr>
        <w:rPr>
          <w:color w:val="000000"/>
          <w:szCs w:val="22"/>
        </w:rPr>
      </w:pPr>
    </w:p>
    <w:p w:rsidR="0038750A" w:rsidRPr="00585942" w:rsidP="0038750A">
      <w:pPr>
        <w:rPr>
          <w:b/>
          <w:color w:val="000000"/>
          <w:szCs w:val="22"/>
        </w:rPr>
      </w:pPr>
      <w:r w:rsidRPr="00585942">
        <w:rPr>
          <w:b/>
          <w:color w:val="000000"/>
          <w:szCs w:val="22"/>
        </w:rPr>
        <w:t>A.</w:t>
      </w:r>
      <w:r w:rsidRPr="00585942">
        <w:rPr>
          <w:b/>
          <w:color w:val="000000"/>
          <w:szCs w:val="22"/>
        </w:rPr>
        <w:tab/>
        <w:t>International</w:t>
      </w:r>
    </w:p>
    <w:p w:rsidR="0038750A" w:rsidRPr="0022664E" w:rsidP="0038750A">
      <w:pPr>
        <w:rPr>
          <w:color w:val="000000"/>
          <w:szCs w:val="22"/>
        </w:rPr>
      </w:pPr>
    </w:p>
    <w:p w:rsidR="0038750A" w:rsidRPr="0022664E" w:rsidP="0038750A">
      <w:pPr>
        <w:rPr>
          <w:color w:val="000000"/>
          <w:szCs w:val="22"/>
        </w:rPr>
      </w:pPr>
      <w:bookmarkStart w:id="9" w:name="_Hlk1664737"/>
      <w:r w:rsidRPr="0022664E">
        <w:rPr>
          <w:color w:val="000000"/>
          <w:szCs w:val="22"/>
        </w:rPr>
        <w:t>The applications for consent to the transfer of control of certain international section 214 authorizations have been assigned the file numbers listed below.</w:t>
      </w:r>
    </w:p>
    <w:bookmarkEnd w:id="9"/>
    <w:p w:rsidR="0038750A" w:rsidRPr="0022664E" w:rsidP="0038750A">
      <w:pPr>
        <w:rPr>
          <w:color w:val="000000"/>
          <w:szCs w:val="22"/>
        </w:rPr>
      </w:pPr>
    </w:p>
    <w:tbl>
      <w:tblPr>
        <w:tblW w:w="9738" w:type="dxa"/>
        <w:tblLook w:val="01E0"/>
      </w:tblPr>
      <w:tblGrid>
        <w:gridCol w:w="2880"/>
        <w:gridCol w:w="3888"/>
        <w:gridCol w:w="2970"/>
      </w:tblGrid>
      <w:tr w:rsidTr="00A67047">
        <w:tblPrEx>
          <w:tblW w:w="9738" w:type="dxa"/>
          <w:tblLook w:val="01E0"/>
        </w:tblPrEx>
        <w:tc>
          <w:tcPr>
            <w:tcW w:w="2880" w:type="dxa"/>
          </w:tcPr>
          <w:p w:rsidR="0038750A" w:rsidRPr="0022664E" w:rsidP="0038750A">
            <w:pPr>
              <w:rPr>
                <w:color w:val="000000"/>
                <w:szCs w:val="22"/>
              </w:rPr>
            </w:pPr>
            <w:bookmarkStart w:id="10" w:name="_Hlk1656452"/>
            <w:r w:rsidRPr="0022664E">
              <w:rPr>
                <w:color w:val="000000"/>
                <w:szCs w:val="22"/>
                <w:u w:val="single"/>
              </w:rPr>
              <w:t>File Number</w:t>
            </w:r>
          </w:p>
        </w:tc>
        <w:tc>
          <w:tcPr>
            <w:tcW w:w="3888" w:type="dxa"/>
          </w:tcPr>
          <w:p w:rsidR="0038750A" w:rsidRPr="0022664E" w:rsidP="0038750A">
            <w:pPr>
              <w:rPr>
                <w:color w:val="000000"/>
                <w:szCs w:val="22"/>
              </w:rPr>
            </w:pPr>
            <w:r w:rsidRPr="0022664E">
              <w:rPr>
                <w:color w:val="000000"/>
                <w:szCs w:val="22"/>
                <w:u w:val="single"/>
              </w:rPr>
              <w:t>Authorization Holder</w:t>
            </w:r>
          </w:p>
        </w:tc>
        <w:tc>
          <w:tcPr>
            <w:tcW w:w="2970" w:type="dxa"/>
          </w:tcPr>
          <w:p w:rsidR="0038750A" w:rsidRPr="0022664E" w:rsidP="0038750A">
            <w:pPr>
              <w:rPr>
                <w:color w:val="000000"/>
                <w:szCs w:val="22"/>
                <w:u w:val="single"/>
              </w:rPr>
            </w:pPr>
            <w:r w:rsidRPr="0022664E">
              <w:rPr>
                <w:color w:val="000000"/>
                <w:szCs w:val="22"/>
                <w:u w:val="single"/>
              </w:rPr>
              <w:t>Authorization Number</w:t>
            </w:r>
          </w:p>
          <w:p w:rsidR="0038750A" w:rsidRPr="0022664E" w:rsidP="0038750A">
            <w:pPr>
              <w:rPr>
                <w:color w:val="000000"/>
                <w:szCs w:val="22"/>
                <w:u w:val="single"/>
              </w:rPr>
            </w:pPr>
          </w:p>
        </w:tc>
      </w:tr>
      <w:tr w:rsidTr="00A67047">
        <w:tblPrEx>
          <w:tblW w:w="9738" w:type="dxa"/>
          <w:tblLook w:val="01E0"/>
        </w:tblPrEx>
        <w:tc>
          <w:tcPr>
            <w:tcW w:w="2880" w:type="dxa"/>
          </w:tcPr>
          <w:p w:rsidR="00AE0645" w:rsidRPr="00704B2F" w:rsidP="0038750A">
            <w:pPr>
              <w:rPr>
                <w:color w:val="000000"/>
                <w:szCs w:val="22"/>
                <w:highlight w:val="yellow"/>
              </w:rPr>
            </w:pPr>
            <w:bookmarkStart w:id="11" w:name="_Hlk1728800"/>
          </w:p>
        </w:tc>
        <w:tc>
          <w:tcPr>
            <w:tcW w:w="3888" w:type="dxa"/>
          </w:tcPr>
          <w:p w:rsidR="00AE0645" w:rsidRPr="0022664E" w:rsidP="00897029">
            <w:pPr>
              <w:rPr>
                <w:color w:val="000000"/>
                <w:szCs w:val="22"/>
              </w:rPr>
            </w:pPr>
          </w:p>
        </w:tc>
        <w:tc>
          <w:tcPr>
            <w:tcW w:w="2970" w:type="dxa"/>
          </w:tcPr>
          <w:p w:rsidR="0081425C" w:rsidRPr="00704B2F" w:rsidP="00897029">
            <w:pPr>
              <w:rPr>
                <w:color w:val="000000"/>
                <w:szCs w:val="22"/>
                <w:highlight w:val="yellow"/>
              </w:rPr>
            </w:pPr>
          </w:p>
        </w:tc>
      </w:tr>
      <w:bookmarkEnd w:id="10"/>
      <w:bookmarkEnd w:id="11"/>
      <w:tr w:rsidTr="00A67047">
        <w:tblPrEx>
          <w:tblW w:w="9738" w:type="dxa"/>
          <w:tblLook w:val="01E0"/>
        </w:tblPrEx>
        <w:tc>
          <w:tcPr>
            <w:tcW w:w="2880" w:type="dxa"/>
          </w:tcPr>
          <w:p w:rsidR="004E26B5" w:rsidRPr="00704B2F" w:rsidP="004E26B5">
            <w:pPr>
              <w:rPr>
                <w:color w:val="000000"/>
                <w:szCs w:val="22"/>
                <w:highlight w:val="yellow"/>
              </w:rPr>
            </w:pPr>
            <w:r w:rsidRPr="008D3514">
              <w:rPr>
                <w:color w:val="000000"/>
                <w:szCs w:val="22"/>
              </w:rPr>
              <w:t>ITC-T/C-20190628-00128</w:t>
            </w:r>
          </w:p>
        </w:tc>
        <w:tc>
          <w:tcPr>
            <w:tcW w:w="3888" w:type="dxa"/>
          </w:tcPr>
          <w:p w:rsidR="004E26B5" w:rsidRPr="0022664E" w:rsidP="004E26B5">
            <w:pPr>
              <w:rPr>
                <w:color w:val="000000"/>
                <w:szCs w:val="22"/>
              </w:rPr>
            </w:pPr>
            <w:r w:rsidRPr="008D3514">
              <w:rPr>
                <w:color w:val="000000"/>
                <w:szCs w:val="22"/>
              </w:rPr>
              <w:t>Frontier Communications NW Inc.</w:t>
            </w:r>
          </w:p>
        </w:tc>
        <w:tc>
          <w:tcPr>
            <w:tcW w:w="2970" w:type="dxa"/>
          </w:tcPr>
          <w:p w:rsidR="004E26B5" w:rsidRPr="00704B2F" w:rsidP="004E26B5">
            <w:pPr>
              <w:rPr>
                <w:color w:val="000000"/>
                <w:szCs w:val="22"/>
                <w:highlight w:val="yellow"/>
              </w:rPr>
            </w:pPr>
            <w:r w:rsidRPr="008D3514">
              <w:rPr>
                <w:color w:val="000000"/>
                <w:szCs w:val="22"/>
              </w:rPr>
              <w:t>ITC-214-20080219-00079</w:t>
            </w:r>
          </w:p>
        </w:tc>
      </w:tr>
      <w:tr w:rsidTr="00A67047">
        <w:tblPrEx>
          <w:tblW w:w="9738" w:type="dxa"/>
          <w:tblLook w:val="01E0"/>
        </w:tblPrEx>
        <w:tc>
          <w:tcPr>
            <w:tcW w:w="2880" w:type="dxa"/>
          </w:tcPr>
          <w:p w:rsidR="004E26B5" w:rsidRPr="00704B2F" w:rsidP="004E26B5">
            <w:pPr>
              <w:rPr>
                <w:color w:val="000000"/>
                <w:szCs w:val="22"/>
                <w:highlight w:val="yellow"/>
              </w:rPr>
            </w:pPr>
            <w:bookmarkStart w:id="12" w:name="_Hlk12362083"/>
          </w:p>
        </w:tc>
        <w:tc>
          <w:tcPr>
            <w:tcW w:w="3888" w:type="dxa"/>
          </w:tcPr>
          <w:p w:rsidR="004E26B5" w:rsidRPr="0022664E" w:rsidP="004E26B5">
            <w:pPr>
              <w:rPr>
                <w:color w:val="000000"/>
                <w:szCs w:val="22"/>
              </w:rPr>
            </w:pPr>
          </w:p>
        </w:tc>
        <w:tc>
          <w:tcPr>
            <w:tcW w:w="2970" w:type="dxa"/>
          </w:tcPr>
          <w:p w:rsidR="004E26B5" w:rsidRPr="00704B2F" w:rsidP="004E26B5">
            <w:pPr>
              <w:rPr>
                <w:color w:val="000000"/>
                <w:szCs w:val="22"/>
                <w:highlight w:val="yellow"/>
              </w:rPr>
            </w:pPr>
          </w:p>
        </w:tc>
      </w:tr>
      <w:tr w:rsidTr="00A67047">
        <w:tblPrEx>
          <w:tblW w:w="9738" w:type="dxa"/>
          <w:tblLook w:val="01E0"/>
        </w:tblPrEx>
        <w:tc>
          <w:tcPr>
            <w:tcW w:w="2880" w:type="dxa"/>
          </w:tcPr>
          <w:p w:rsidR="004E26B5" w:rsidRPr="00704B2F" w:rsidP="004E26B5">
            <w:pPr>
              <w:rPr>
                <w:color w:val="000000"/>
                <w:szCs w:val="22"/>
                <w:highlight w:val="yellow"/>
              </w:rPr>
            </w:pPr>
            <w:r w:rsidRPr="008D3514">
              <w:rPr>
                <w:color w:val="000000"/>
                <w:szCs w:val="22"/>
              </w:rPr>
              <w:t>ITC-ASG-20190628-00129</w:t>
            </w:r>
          </w:p>
        </w:tc>
        <w:tc>
          <w:tcPr>
            <w:tcW w:w="3888" w:type="dxa"/>
          </w:tcPr>
          <w:p w:rsidR="004E26B5" w:rsidRPr="0022664E" w:rsidP="004E26B5">
            <w:pPr>
              <w:rPr>
                <w:color w:val="000000"/>
                <w:szCs w:val="22"/>
              </w:rPr>
            </w:pPr>
            <w:r w:rsidRPr="008D3514">
              <w:rPr>
                <w:color w:val="000000"/>
                <w:szCs w:val="22"/>
              </w:rPr>
              <w:t>Frontier Communications of America, Inc.</w:t>
            </w:r>
          </w:p>
        </w:tc>
        <w:tc>
          <w:tcPr>
            <w:tcW w:w="2970" w:type="dxa"/>
          </w:tcPr>
          <w:p w:rsidR="004E26B5" w:rsidRPr="008D3514" w:rsidP="004E26B5">
            <w:pPr>
              <w:rPr>
                <w:color w:val="000000"/>
                <w:szCs w:val="22"/>
              </w:rPr>
            </w:pPr>
            <w:r w:rsidRPr="008D3514">
              <w:rPr>
                <w:color w:val="000000"/>
                <w:szCs w:val="22"/>
              </w:rPr>
              <w:t>ITC-214-19971202-00753</w:t>
            </w:r>
          </w:p>
          <w:p w:rsidR="004E26B5" w:rsidRPr="00704B2F" w:rsidP="004E26B5">
            <w:pPr>
              <w:rPr>
                <w:color w:val="000000"/>
                <w:szCs w:val="22"/>
                <w:highlight w:val="yellow"/>
              </w:rPr>
            </w:pPr>
            <w:r w:rsidRPr="008D3514">
              <w:rPr>
                <w:color w:val="000000"/>
                <w:szCs w:val="22"/>
              </w:rPr>
              <w:t>ITC-214-20001121-00680</w:t>
            </w:r>
          </w:p>
        </w:tc>
      </w:tr>
      <w:bookmarkEnd w:id="12"/>
      <w:tr w:rsidTr="00D7212F">
        <w:tblPrEx>
          <w:tblW w:w="9738" w:type="dxa"/>
          <w:tblLook w:val="01E0"/>
        </w:tblPrEx>
        <w:tc>
          <w:tcPr>
            <w:tcW w:w="2880" w:type="dxa"/>
          </w:tcPr>
          <w:p w:rsidR="004E26B5" w:rsidRPr="00704B2F" w:rsidP="004E26B5">
            <w:pPr>
              <w:rPr>
                <w:color w:val="000000"/>
                <w:szCs w:val="22"/>
                <w:highlight w:val="yellow"/>
              </w:rPr>
            </w:pPr>
          </w:p>
        </w:tc>
        <w:tc>
          <w:tcPr>
            <w:tcW w:w="3888" w:type="dxa"/>
          </w:tcPr>
          <w:p w:rsidR="004E26B5" w:rsidRPr="0022664E" w:rsidP="004E26B5">
            <w:pPr>
              <w:jc w:val="center"/>
              <w:rPr>
                <w:color w:val="000000"/>
                <w:szCs w:val="22"/>
              </w:rPr>
            </w:pPr>
          </w:p>
        </w:tc>
        <w:tc>
          <w:tcPr>
            <w:tcW w:w="2970" w:type="dxa"/>
          </w:tcPr>
          <w:p w:rsidR="004E26B5" w:rsidRPr="00704B2F" w:rsidP="004E26B5">
            <w:pPr>
              <w:rPr>
                <w:color w:val="000000"/>
                <w:szCs w:val="22"/>
                <w:highlight w:val="yellow"/>
              </w:rPr>
            </w:pPr>
          </w:p>
        </w:tc>
      </w:tr>
      <w:tr w:rsidTr="00D7212F">
        <w:tblPrEx>
          <w:tblW w:w="9738" w:type="dxa"/>
          <w:tblLook w:val="01E0"/>
        </w:tblPrEx>
        <w:tc>
          <w:tcPr>
            <w:tcW w:w="2880" w:type="dxa"/>
          </w:tcPr>
          <w:p w:rsidR="004E26B5" w:rsidRPr="00704B2F" w:rsidP="004E26B5">
            <w:pPr>
              <w:rPr>
                <w:color w:val="000000"/>
                <w:szCs w:val="22"/>
                <w:highlight w:val="yellow"/>
              </w:rPr>
            </w:pPr>
            <w:r w:rsidRPr="008D3514">
              <w:rPr>
                <w:color w:val="000000"/>
                <w:szCs w:val="22"/>
              </w:rPr>
              <w:t>ITC-ASG-20190628-00130</w:t>
            </w:r>
          </w:p>
        </w:tc>
        <w:tc>
          <w:tcPr>
            <w:tcW w:w="3888" w:type="dxa"/>
          </w:tcPr>
          <w:p w:rsidR="004E26B5" w:rsidRPr="0022664E" w:rsidP="004E26B5">
            <w:pPr>
              <w:rPr>
                <w:color w:val="000000"/>
                <w:szCs w:val="22"/>
              </w:rPr>
            </w:pPr>
            <w:r w:rsidRPr="008D3514">
              <w:rPr>
                <w:color w:val="000000"/>
                <w:szCs w:val="22"/>
              </w:rPr>
              <w:t xml:space="preserve">Frontier Communications Online </w:t>
            </w:r>
            <w:r w:rsidR="00837255">
              <w:rPr>
                <w:color w:val="000000"/>
                <w:szCs w:val="22"/>
              </w:rPr>
              <w:t>and</w:t>
            </w:r>
            <w:r w:rsidRPr="008D3514">
              <w:rPr>
                <w:color w:val="000000"/>
                <w:szCs w:val="22"/>
              </w:rPr>
              <w:t xml:space="preserve"> L</w:t>
            </w:r>
            <w:r w:rsidR="00A068C5">
              <w:rPr>
                <w:color w:val="000000"/>
                <w:szCs w:val="22"/>
              </w:rPr>
              <w:t xml:space="preserve">ong </w:t>
            </w:r>
            <w:r w:rsidRPr="008D3514">
              <w:rPr>
                <w:color w:val="000000"/>
                <w:szCs w:val="22"/>
              </w:rPr>
              <w:t>D</w:t>
            </w:r>
            <w:r w:rsidR="00A068C5">
              <w:rPr>
                <w:color w:val="000000"/>
                <w:szCs w:val="22"/>
              </w:rPr>
              <w:t>istance</w:t>
            </w:r>
            <w:r w:rsidRPr="008D3514">
              <w:rPr>
                <w:color w:val="000000"/>
                <w:szCs w:val="22"/>
              </w:rPr>
              <w:t>, Inc.</w:t>
            </w:r>
          </w:p>
        </w:tc>
        <w:tc>
          <w:tcPr>
            <w:tcW w:w="2970" w:type="dxa"/>
          </w:tcPr>
          <w:p w:rsidR="004E26B5" w:rsidRPr="00704B2F" w:rsidP="004E26B5">
            <w:pPr>
              <w:rPr>
                <w:color w:val="000000"/>
                <w:szCs w:val="22"/>
                <w:highlight w:val="yellow"/>
              </w:rPr>
            </w:pPr>
            <w:r w:rsidRPr="008D3514">
              <w:rPr>
                <w:color w:val="000000"/>
                <w:szCs w:val="22"/>
              </w:rPr>
              <w:t>ITC-214-20090528-0056</w:t>
            </w:r>
            <w:r w:rsidR="00A068C5">
              <w:rPr>
                <w:color w:val="000000"/>
                <w:szCs w:val="22"/>
              </w:rPr>
              <w:t>5</w:t>
            </w:r>
          </w:p>
        </w:tc>
      </w:tr>
      <w:tr w:rsidTr="007C3463">
        <w:tblPrEx>
          <w:tblW w:w="9738" w:type="dxa"/>
          <w:tblLook w:val="01E0"/>
        </w:tblPrEx>
        <w:tc>
          <w:tcPr>
            <w:tcW w:w="2880" w:type="dxa"/>
          </w:tcPr>
          <w:p w:rsidR="004E26B5" w:rsidRPr="00704B2F" w:rsidP="004E26B5">
            <w:pPr>
              <w:rPr>
                <w:color w:val="000000"/>
                <w:szCs w:val="22"/>
                <w:highlight w:val="yellow"/>
              </w:rPr>
            </w:pPr>
          </w:p>
        </w:tc>
        <w:tc>
          <w:tcPr>
            <w:tcW w:w="3888" w:type="dxa"/>
          </w:tcPr>
          <w:p w:rsidR="004E26B5" w:rsidRPr="0022664E" w:rsidP="004E26B5">
            <w:pPr>
              <w:rPr>
                <w:color w:val="000000"/>
                <w:szCs w:val="22"/>
              </w:rPr>
            </w:pPr>
          </w:p>
        </w:tc>
        <w:tc>
          <w:tcPr>
            <w:tcW w:w="2970" w:type="dxa"/>
          </w:tcPr>
          <w:p w:rsidR="004E26B5" w:rsidRPr="00704B2F" w:rsidP="004E26B5">
            <w:pPr>
              <w:rPr>
                <w:color w:val="000000"/>
                <w:szCs w:val="22"/>
                <w:highlight w:val="yellow"/>
              </w:rPr>
            </w:pPr>
          </w:p>
        </w:tc>
      </w:tr>
    </w:tbl>
    <w:p w:rsidR="0038750A" w:rsidRPr="00585942" w:rsidP="0038750A">
      <w:pPr>
        <w:rPr>
          <w:b/>
          <w:color w:val="000000"/>
          <w:szCs w:val="22"/>
        </w:rPr>
      </w:pPr>
      <w:r w:rsidRPr="00585942">
        <w:rPr>
          <w:b/>
          <w:color w:val="000000"/>
          <w:szCs w:val="22"/>
        </w:rPr>
        <w:t>B.</w:t>
      </w:r>
      <w:r w:rsidRPr="00585942">
        <w:rPr>
          <w:b/>
          <w:color w:val="000000"/>
          <w:szCs w:val="22"/>
        </w:rPr>
        <w:tab/>
        <w:t>Domestic</w:t>
      </w:r>
    </w:p>
    <w:p w:rsidR="0038750A" w:rsidRPr="0022664E" w:rsidP="0038750A">
      <w:pPr>
        <w:rPr>
          <w:color w:val="000000"/>
          <w:szCs w:val="22"/>
        </w:rPr>
      </w:pPr>
    </w:p>
    <w:p w:rsidR="0038750A" w:rsidRPr="0022664E" w:rsidP="0038750A">
      <w:pPr>
        <w:rPr>
          <w:color w:val="000000"/>
          <w:szCs w:val="22"/>
        </w:rPr>
      </w:pPr>
      <w:r w:rsidRPr="0022664E">
        <w:rPr>
          <w:color w:val="000000"/>
          <w:szCs w:val="22"/>
        </w:rPr>
        <w:t>The Applicants filed an application to transfer control of domestic section 214 authority in connection with the proposed transaction – WC Docket No</w:t>
      </w:r>
      <w:r w:rsidRPr="00D463D2">
        <w:rPr>
          <w:color w:val="000000"/>
          <w:szCs w:val="22"/>
        </w:rPr>
        <w:t xml:space="preserve">. </w:t>
      </w:r>
      <w:r w:rsidRPr="00D463D2" w:rsidR="00D463D2">
        <w:rPr>
          <w:szCs w:val="22"/>
        </w:rPr>
        <w:t>19-</w:t>
      </w:r>
      <w:r w:rsidRPr="008E581F" w:rsidR="00D463D2">
        <w:rPr>
          <w:szCs w:val="22"/>
        </w:rPr>
        <w:t>188</w:t>
      </w:r>
      <w:r w:rsidRPr="008E581F">
        <w:rPr>
          <w:color w:val="000000"/>
          <w:szCs w:val="22"/>
        </w:rPr>
        <w:t>.</w:t>
      </w:r>
      <w:bookmarkStart w:id="13" w:name="sp_999_4"/>
      <w:bookmarkStart w:id="14" w:name="SDU_4"/>
      <w:bookmarkStart w:id="15" w:name="citeas((Cite_as:_26_F.C.C.R._13372,_*133"/>
      <w:bookmarkEnd w:id="13"/>
      <w:bookmarkEnd w:id="14"/>
      <w:bookmarkEnd w:id="15"/>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sidR="00235E4B">
        <w:rPr>
          <w:color w:val="000000"/>
          <w:szCs w:val="22"/>
        </w:rPr>
        <w:t>domestic transfer of control application</w:t>
      </w:r>
      <w:r w:rsidRPr="00B62EDB">
        <w:rPr>
          <w:color w:val="000000"/>
          <w:szCs w:val="22"/>
        </w:rPr>
        <w:t xml:space="preserve"> </w:t>
      </w:r>
      <w:r w:rsidR="00235E4B">
        <w:rPr>
          <w:color w:val="000000"/>
          <w:szCs w:val="22"/>
        </w:rPr>
        <w:t xml:space="preserve">is </w:t>
      </w:r>
      <w:r w:rsidRPr="00B62EDB">
        <w:rPr>
          <w:color w:val="000000"/>
          <w:szCs w:val="22"/>
        </w:rPr>
        <w:t>not subject to streamlined treatment.</w:t>
      </w:r>
      <w:r>
        <w:rPr>
          <w:color w:val="000000"/>
          <w:szCs w:val="22"/>
          <w:vertAlign w:val="superscript"/>
        </w:rPr>
        <w:footnoteReference w:id="27"/>
      </w:r>
      <w:r w:rsidRPr="00B62EDB" w:rsidR="00CD125D">
        <w:rPr>
          <w:color w:val="000000"/>
          <w:szCs w:val="22"/>
        </w:rPr>
        <w:t xml:space="preserve"> </w:t>
      </w:r>
    </w:p>
    <w:tbl>
      <w:tblPr>
        <w:tblW w:w="9744" w:type="dxa"/>
        <w:tblLook w:val="01E0"/>
      </w:tblPr>
      <w:tblGrid>
        <w:gridCol w:w="2882"/>
        <w:gridCol w:w="3890"/>
        <w:gridCol w:w="2972"/>
      </w:tblGrid>
      <w:tr w:rsidTr="00A67047">
        <w:tblPrEx>
          <w:tblW w:w="9744" w:type="dxa"/>
          <w:tblLook w:val="01E0"/>
        </w:tblPrEx>
        <w:trPr>
          <w:trHeight w:val="297"/>
        </w:trPr>
        <w:tc>
          <w:tcPr>
            <w:tcW w:w="2882" w:type="dxa"/>
          </w:tcPr>
          <w:p w:rsidR="0038750A" w:rsidRPr="0022664E" w:rsidP="0038750A">
            <w:pPr>
              <w:rPr>
                <w:color w:val="000000"/>
                <w:szCs w:val="22"/>
              </w:rPr>
            </w:pPr>
          </w:p>
        </w:tc>
        <w:tc>
          <w:tcPr>
            <w:tcW w:w="3890" w:type="dxa"/>
          </w:tcPr>
          <w:p w:rsidR="0038750A" w:rsidRPr="0022664E" w:rsidP="0038750A">
            <w:pPr>
              <w:rPr>
                <w:color w:val="000000"/>
                <w:szCs w:val="22"/>
              </w:rPr>
            </w:pPr>
          </w:p>
        </w:tc>
        <w:tc>
          <w:tcPr>
            <w:tcW w:w="2972" w:type="dxa"/>
          </w:tcPr>
          <w:p w:rsidR="0038750A" w:rsidRPr="0022664E" w:rsidP="0038750A">
            <w:pPr>
              <w:rPr>
                <w:color w:val="000000"/>
                <w:szCs w:val="22"/>
              </w:rPr>
            </w:pPr>
          </w:p>
        </w:tc>
      </w:tr>
    </w:tbl>
    <w:p w:rsidR="0038750A" w:rsidRPr="00585942" w:rsidP="0038750A">
      <w:pPr>
        <w:rPr>
          <w:b/>
          <w:color w:val="000000"/>
          <w:szCs w:val="22"/>
        </w:rPr>
      </w:pPr>
      <w:r w:rsidRPr="00585942">
        <w:rPr>
          <w:b/>
          <w:color w:val="000000"/>
          <w:szCs w:val="22"/>
        </w:rPr>
        <w:t>SECTION 310(d) APPLICATIONS</w:t>
      </w:r>
    </w:p>
    <w:p w:rsidR="0038750A" w:rsidRPr="0022664E" w:rsidP="0038750A">
      <w:pPr>
        <w:rPr>
          <w:color w:val="000000"/>
          <w:szCs w:val="22"/>
        </w:rPr>
      </w:pPr>
    </w:p>
    <w:p w:rsidR="0038750A" w:rsidRPr="0022664E" w:rsidP="0038750A">
      <w:pPr>
        <w:rPr>
          <w:color w:val="000000"/>
          <w:szCs w:val="22"/>
        </w:rPr>
      </w:pPr>
      <w:r w:rsidRPr="0022664E">
        <w:rPr>
          <w:color w:val="000000"/>
          <w:szCs w:val="22"/>
        </w:rPr>
        <w:t>The applications for consent to the transfer of control of license</w:t>
      </w:r>
      <w:r w:rsidR="0006083A">
        <w:rPr>
          <w:color w:val="000000"/>
          <w:szCs w:val="22"/>
        </w:rPr>
        <w:t>s</w:t>
      </w:r>
      <w:r w:rsidRPr="0022664E">
        <w:rPr>
          <w:color w:val="000000"/>
          <w:szCs w:val="22"/>
        </w:rPr>
        <w:t xml:space="preserve"> under section 310(d) have been assigned the file numbers listed below.</w:t>
      </w:r>
    </w:p>
    <w:p w:rsidR="0038750A" w:rsidRPr="0022664E" w:rsidP="0038750A">
      <w:pPr>
        <w:rPr>
          <w:color w:val="000000"/>
          <w:szCs w:val="22"/>
        </w:rPr>
      </w:pPr>
    </w:p>
    <w:p w:rsidR="0038750A" w:rsidRPr="0022664E" w:rsidP="0038750A">
      <w:pPr>
        <w:rPr>
          <w:color w:val="000000"/>
          <w:szCs w:val="22"/>
        </w:rPr>
      </w:pPr>
    </w:p>
    <w:p w:rsidR="00EF113F" w:rsidRPr="00585942" w:rsidP="00EF113F">
      <w:pPr>
        <w:rPr>
          <w:b/>
          <w:color w:val="000000"/>
          <w:szCs w:val="22"/>
        </w:rPr>
      </w:pPr>
      <w:r w:rsidRPr="00585942">
        <w:rPr>
          <w:b/>
          <w:color w:val="000000"/>
          <w:szCs w:val="22"/>
        </w:rPr>
        <w:t xml:space="preserve">WIRELESS </w:t>
      </w:r>
      <w:r w:rsidR="00D720B1">
        <w:rPr>
          <w:b/>
          <w:color w:val="000000"/>
          <w:szCs w:val="22"/>
        </w:rPr>
        <w:t>LICENSES</w:t>
      </w:r>
      <w:r w:rsidRPr="00585942">
        <w:rPr>
          <w:b/>
          <w:color w:val="000000"/>
          <w:szCs w:val="22"/>
        </w:rPr>
        <w:t xml:space="preserve"> </w:t>
      </w:r>
    </w:p>
    <w:p w:rsidR="00EF113F" w:rsidRPr="0022664E" w:rsidP="00EF113F">
      <w:pPr>
        <w:rPr>
          <w:color w:val="000000"/>
          <w:szCs w:val="22"/>
        </w:rPr>
      </w:pPr>
    </w:p>
    <w:tbl>
      <w:tblPr>
        <w:tblW w:w="10188" w:type="dxa"/>
        <w:tblLook w:val="01E0"/>
      </w:tblPr>
      <w:tblGrid>
        <w:gridCol w:w="2448"/>
        <w:gridCol w:w="4770"/>
        <w:gridCol w:w="2970"/>
      </w:tblGrid>
      <w:tr w:rsidTr="00FE2A23">
        <w:tblPrEx>
          <w:tblW w:w="10188" w:type="dxa"/>
          <w:tblLook w:val="01E0"/>
        </w:tblPrEx>
        <w:trPr>
          <w:trHeight w:val="648"/>
        </w:trPr>
        <w:tc>
          <w:tcPr>
            <w:tcW w:w="2448" w:type="dxa"/>
          </w:tcPr>
          <w:p w:rsidR="00EF113F" w:rsidRPr="0022664E" w:rsidP="00EF113F">
            <w:pPr>
              <w:rPr>
                <w:color w:val="000000"/>
                <w:szCs w:val="22"/>
              </w:rPr>
            </w:pPr>
            <w:r w:rsidRPr="0022664E">
              <w:rPr>
                <w:color w:val="000000"/>
                <w:szCs w:val="22"/>
                <w:u w:val="single"/>
              </w:rPr>
              <w:t>ULS File Number</w:t>
            </w:r>
          </w:p>
        </w:tc>
        <w:tc>
          <w:tcPr>
            <w:tcW w:w="4770" w:type="dxa"/>
          </w:tcPr>
          <w:p w:rsidR="00EF113F" w:rsidRPr="0022664E" w:rsidP="00EF113F">
            <w:pPr>
              <w:rPr>
                <w:color w:val="000000"/>
                <w:szCs w:val="22"/>
                <w:u w:val="single"/>
              </w:rPr>
            </w:pPr>
            <w:r w:rsidRPr="0022664E">
              <w:rPr>
                <w:color w:val="000000"/>
                <w:szCs w:val="22"/>
                <w:u w:val="single"/>
              </w:rPr>
              <w:t>Licensee</w:t>
            </w:r>
          </w:p>
        </w:tc>
        <w:tc>
          <w:tcPr>
            <w:tcW w:w="2970" w:type="dxa"/>
          </w:tcPr>
          <w:p w:rsidR="00EF113F" w:rsidRPr="0022664E" w:rsidP="00EF113F">
            <w:pPr>
              <w:rPr>
                <w:color w:val="000000"/>
                <w:szCs w:val="22"/>
                <w:u w:val="single"/>
              </w:rPr>
            </w:pPr>
            <w:r w:rsidRPr="0022664E">
              <w:rPr>
                <w:color w:val="000000"/>
                <w:szCs w:val="22"/>
                <w:u w:val="single"/>
              </w:rPr>
              <w:t>Lead Call Sign</w:t>
            </w:r>
          </w:p>
          <w:p w:rsidR="00EF113F" w:rsidRPr="0022664E" w:rsidP="00EF113F">
            <w:pPr>
              <w:rPr>
                <w:color w:val="000000"/>
                <w:szCs w:val="22"/>
                <w:u w:val="single"/>
              </w:rPr>
            </w:pPr>
          </w:p>
        </w:tc>
      </w:tr>
    </w:tbl>
    <w:p w:rsidR="00EF113F" w:rsidP="00EF113F">
      <w:pPr>
        <w:rPr>
          <w:color w:val="000000"/>
          <w:szCs w:val="22"/>
        </w:rPr>
      </w:pPr>
      <w:r w:rsidRPr="00FE2A23">
        <w:t>0008</w:t>
      </w:r>
      <w:r w:rsidRPr="00FE2A23" w:rsidR="0006083A">
        <w:t>706469</w:t>
      </w:r>
      <w:r w:rsidRPr="00FE2A23">
        <w:rPr>
          <w:color w:val="000000"/>
          <w:szCs w:val="22"/>
        </w:rPr>
        <w:t xml:space="preserve">                        </w:t>
      </w:r>
      <w:r w:rsidRPr="00FE2A23" w:rsidR="0006083A">
        <w:rPr>
          <w:color w:val="000000"/>
          <w:szCs w:val="22"/>
        </w:rPr>
        <w:t>Citizens Telecommunications Company of Idaho</w:t>
      </w:r>
      <w:r w:rsidRPr="00FE2A23">
        <w:rPr>
          <w:color w:val="000000"/>
          <w:szCs w:val="22"/>
        </w:rPr>
        <w:tab/>
      </w:r>
      <w:r w:rsidRPr="00FE2A23" w:rsidR="00FE2A23">
        <w:rPr>
          <w:color w:val="000000"/>
          <w:szCs w:val="22"/>
        </w:rPr>
        <w:t>KPQ36</w:t>
      </w:r>
      <w:r w:rsidRPr="0022664E">
        <w:rPr>
          <w:color w:val="000000"/>
          <w:szCs w:val="22"/>
        </w:rPr>
        <w:tab/>
      </w:r>
      <w:r w:rsidRPr="0022664E">
        <w:rPr>
          <w:color w:val="000000"/>
          <w:szCs w:val="22"/>
        </w:rPr>
        <w:t xml:space="preserve">                                </w:t>
      </w:r>
    </w:p>
    <w:p w:rsidR="0006083A" w:rsidP="00EF113F">
      <w:pPr>
        <w:rPr>
          <w:color w:val="000000"/>
          <w:szCs w:val="22"/>
        </w:rPr>
      </w:pPr>
    </w:p>
    <w:p w:rsidR="0006083A" w:rsidP="00EF113F">
      <w:pPr>
        <w:rPr>
          <w:color w:val="000000"/>
          <w:szCs w:val="22"/>
        </w:rPr>
      </w:pPr>
      <w:r>
        <w:rPr>
          <w:color w:val="000000"/>
          <w:szCs w:val="22"/>
        </w:rPr>
        <w:t>0008706476                        Citizens Telecommunications Company of Montana   KOY43</w:t>
      </w:r>
    </w:p>
    <w:p w:rsidR="0006083A" w:rsidRPr="0022664E" w:rsidP="00EF113F">
      <w:pPr>
        <w:rPr>
          <w:color w:val="000000"/>
          <w:szCs w:val="22"/>
        </w:rPr>
      </w:pPr>
    </w:p>
    <w:p w:rsidR="00EF113F" w:rsidRPr="0022664E" w:rsidP="0038750A">
      <w:pPr>
        <w:rPr>
          <w:color w:val="000000"/>
          <w:szCs w:val="22"/>
        </w:rPr>
      </w:pPr>
      <w:r>
        <w:rPr>
          <w:color w:val="000000"/>
          <w:szCs w:val="22"/>
        </w:rPr>
        <w:t xml:space="preserve">0008706478                        Frontier Communications Northwest Inc.      </w:t>
      </w:r>
      <w:r w:rsidR="00FE2A23">
        <w:rPr>
          <w:color w:val="000000"/>
          <w:szCs w:val="22"/>
        </w:rPr>
        <w:t xml:space="preserve">              </w:t>
      </w:r>
      <w:r w:rsidR="004F1086">
        <w:rPr>
          <w:color w:val="000000"/>
          <w:szCs w:val="22"/>
        </w:rPr>
        <w:t xml:space="preserve"> </w:t>
      </w:r>
      <w:r>
        <w:rPr>
          <w:color w:val="000000"/>
          <w:szCs w:val="22"/>
        </w:rPr>
        <w:t>KOT44</w:t>
      </w:r>
    </w:p>
    <w:p w:rsidR="00EF113F" w:rsidRPr="0022664E" w:rsidP="0038750A">
      <w:pPr>
        <w:rPr>
          <w:color w:val="000000"/>
          <w:szCs w:val="22"/>
        </w:rPr>
      </w:pPr>
    </w:p>
    <w:p w:rsidR="00FE2A23" w:rsidP="00B73F61">
      <w:pPr>
        <w:autoSpaceDE w:val="0"/>
        <w:autoSpaceDN w:val="0"/>
        <w:adjustRightInd w:val="0"/>
        <w:rPr>
          <w:rFonts w:ascii="TimesNewRoman,Bold" w:hAnsi="TimesNewRoman,Bold" w:cs="TimesNewRoman,Bold"/>
          <w:b/>
          <w:bCs/>
          <w:color w:val="010101"/>
          <w:szCs w:val="22"/>
        </w:rPr>
      </w:pPr>
    </w:p>
    <w:p w:rsidR="00B73F61" w:rsidP="00B73F61">
      <w:pPr>
        <w:autoSpaceDE w:val="0"/>
        <w:autoSpaceDN w:val="0"/>
        <w:adjustRightInd w:val="0"/>
        <w:rPr>
          <w:rFonts w:ascii="TimesNewRoman,Bold" w:hAnsi="TimesNewRoman,Bold" w:cs="TimesNewRoman,Bold"/>
          <w:b/>
          <w:bCs/>
          <w:color w:val="010101"/>
          <w:szCs w:val="22"/>
        </w:rPr>
      </w:pPr>
      <w:r>
        <w:rPr>
          <w:rFonts w:ascii="TimesNewRoman,Bold" w:hAnsi="TimesNewRoman,Bold" w:cs="TimesNewRoman,Bold"/>
          <w:b/>
          <w:bCs/>
          <w:color w:val="010101"/>
          <w:szCs w:val="22"/>
        </w:rPr>
        <w:t xml:space="preserve">Petition </w:t>
      </w:r>
      <w:r w:rsidR="0011491B">
        <w:rPr>
          <w:rFonts w:ascii="TimesNewRoman,Bold" w:hAnsi="TimesNewRoman,Bold" w:cs="TimesNewRoman,Bold"/>
          <w:b/>
          <w:bCs/>
          <w:color w:val="010101"/>
          <w:szCs w:val="22"/>
        </w:rPr>
        <w:t>f</w:t>
      </w:r>
      <w:r>
        <w:rPr>
          <w:rFonts w:ascii="TimesNewRoman,Bold" w:hAnsi="TimesNewRoman,Bold" w:cs="TimesNewRoman,Bold"/>
          <w:b/>
          <w:bCs/>
          <w:color w:val="010101"/>
          <w:szCs w:val="22"/>
        </w:rPr>
        <w:t>or Declaratory Ruling Under Section 310(b)(4)</w:t>
      </w:r>
    </w:p>
    <w:p w:rsidR="00B73F61" w:rsidP="00B73F61">
      <w:pPr>
        <w:autoSpaceDE w:val="0"/>
        <w:autoSpaceDN w:val="0"/>
        <w:adjustRightInd w:val="0"/>
        <w:rPr>
          <w:rFonts w:ascii="TimesNewRoman,Bold" w:hAnsi="TimesNewRoman,Bold" w:cs="TimesNewRoman,Bold"/>
          <w:b/>
          <w:bCs/>
          <w:color w:val="010101"/>
          <w:szCs w:val="22"/>
        </w:rPr>
      </w:pPr>
    </w:p>
    <w:p w:rsidR="002F78B8" w:rsidP="00B73F61">
      <w:pPr>
        <w:autoSpaceDE w:val="0"/>
        <w:autoSpaceDN w:val="0"/>
        <w:adjustRightInd w:val="0"/>
        <w:rPr>
          <w:rFonts w:ascii="TimesNewRoman" w:hAnsi="TimesNewRoman" w:cs="TimesNewRoman"/>
          <w:color w:val="010101"/>
          <w:szCs w:val="22"/>
        </w:rPr>
      </w:pPr>
      <w:bookmarkStart w:id="16" w:name="_Hlk14958152"/>
      <w:r w:rsidRPr="00245051">
        <w:rPr>
          <w:rFonts w:ascii="TimesNewRoman" w:hAnsi="TimesNewRoman" w:cs="TimesNewRoman"/>
          <w:color w:val="010101"/>
          <w:szCs w:val="22"/>
        </w:rPr>
        <w:t>Citizens Idaho, Citizens</w:t>
      </w:r>
      <w:r>
        <w:rPr>
          <w:rFonts w:ascii="TimesNewRoman" w:hAnsi="TimesNewRoman" w:cs="TimesNewRoman"/>
          <w:color w:val="010101"/>
          <w:szCs w:val="22"/>
        </w:rPr>
        <w:t xml:space="preserve"> </w:t>
      </w:r>
      <w:r w:rsidRPr="00245051">
        <w:rPr>
          <w:rFonts w:ascii="TimesNewRoman" w:hAnsi="TimesNewRoman" w:cs="TimesNewRoman"/>
          <w:color w:val="010101"/>
          <w:szCs w:val="22"/>
        </w:rPr>
        <w:t>Montana</w:t>
      </w:r>
      <w:r w:rsidR="0011491B">
        <w:rPr>
          <w:rFonts w:ascii="TimesNewRoman" w:hAnsi="TimesNewRoman" w:cs="TimesNewRoman"/>
          <w:color w:val="010101"/>
          <w:szCs w:val="22"/>
        </w:rPr>
        <w:t>,</w:t>
      </w:r>
      <w:r w:rsidRPr="00245051">
        <w:rPr>
          <w:rFonts w:ascii="TimesNewRoman" w:hAnsi="TimesNewRoman" w:cs="TimesNewRoman"/>
          <w:color w:val="010101"/>
          <w:szCs w:val="22"/>
        </w:rPr>
        <w:t xml:space="preserve"> and Frontier Northwest (collectively, the Licensees) and Northwest Fiber (</w:t>
      </w:r>
      <w:r w:rsidR="00A416EE">
        <w:rPr>
          <w:rFonts w:ascii="TimesNewRoman" w:hAnsi="TimesNewRoman" w:cs="TimesNewRoman"/>
          <w:color w:val="010101"/>
          <w:szCs w:val="22"/>
        </w:rPr>
        <w:t xml:space="preserve">Licensees and Northwest Fiber, </w:t>
      </w:r>
      <w:r w:rsidRPr="00245051">
        <w:rPr>
          <w:rFonts w:ascii="TimesNewRoman" w:hAnsi="TimesNewRoman" w:cs="TimesNewRoman"/>
          <w:color w:val="010101"/>
          <w:szCs w:val="22"/>
        </w:rPr>
        <w:t xml:space="preserve">collectively, the Petitioners), </w:t>
      </w:r>
      <w:r w:rsidR="00623BD0">
        <w:rPr>
          <w:rFonts w:ascii="TimesNewRoman" w:hAnsi="TimesNewRoman" w:cs="TimesNewRoman"/>
          <w:color w:val="010101"/>
          <w:szCs w:val="22"/>
        </w:rPr>
        <w:t>jointly request a declaratory ruling, pursuant to section 310(b)(4) of the Act and section 1.</w:t>
      </w:r>
      <w:r w:rsidR="004F7AE5">
        <w:rPr>
          <w:rFonts w:ascii="TimesNewRoman" w:hAnsi="TimesNewRoman" w:cs="TimesNewRoman"/>
          <w:color w:val="010101"/>
          <w:szCs w:val="22"/>
        </w:rPr>
        <w:t>5000</w:t>
      </w:r>
      <w:r w:rsidR="00623BD0">
        <w:rPr>
          <w:rFonts w:ascii="TimesNewRoman" w:hAnsi="TimesNewRoman" w:cs="TimesNewRoman"/>
          <w:color w:val="010101"/>
          <w:szCs w:val="22"/>
        </w:rPr>
        <w:t>(a)</w:t>
      </w:r>
      <w:r w:rsidR="00B66683">
        <w:rPr>
          <w:rFonts w:ascii="TimesNewRoman" w:hAnsi="TimesNewRoman" w:cs="TimesNewRoman"/>
          <w:color w:val="010101"/>
          <w:szCs w:val="22"/>
        </w:rPr>
        <w:t>(1)</w:t>
      </w:r>
      <w:r w:rsidR="00623BD0">
        <w:rPr>
          <w:rFonts w:ascii="TimesNewRoman" w:hAnsi="TimesNewRoman" w:cs="TimesNewRoman"/>
          <w:color w:val="010101"/>
          <w:szCs w:val="22"/>
        </w:rPr>
        <w:t xml:space="preserve"> of the Commission’s rules,</w:t>
      </w:r>
      <w:r>
        <w:rPr>
          <w:rStyle w:val="FootnoteReference"/>
          <w:rFonts w:ascii="TimesNewRoman" w:hAnsi="TimesNewRoman" w:cs="TimesNewRoman"/>
          <w:color w:val="010101"/>
          <w:szCs w:val="22"/>
        </w:rPr>
        <w:footnoteReference w:id="28"/>
      </w:r>
      <w:r w:rsidR="00623BD0">
        <w:rPr>
          <w:rFonts w:ascii="TimesNewRoman" w:hAnsi="TimesNewRoman" w:cs="TimesNewRoman"/>
          <w:color w:val="010101"/>
          <w:sz w:val="14"/>
          <w:szCs w:val="14"/>
        </w:rPr>
        <w:t xml:space="preserve"> </w:t>
      </w:r>
      <w:r w:rsidR="00623BD0">
        <w:rPr>
          <w:rFonts w:ascii="TimesNewRoman" w:hAnsi="TimesNewRoman" w:cs="TimesNewRoman"/>
          <w:color w:val="010101"/>
          <w:szCs w:val="22"/>
        </w:rPr>
        <w:t xml:space="preserve">to </w:t>
      </w:r>
      <w:bookmarkStart w:id="17" w:name="_Hlk14958753"/>
      <w:r w:rsidR="00623BD0">
        <w:rPr>
          <w:rFonts w:ascii="TimesNewRoman" w:hAnsi="TimesNewRoman" w:cs="TimesNewRoman"/>
          <w:color w:val="010101"/>
          <w:szCs w:val="22"/>
        </w:rPr>
        <w:t>permit foreign ownership of the Licensees</w:t>
      </w:r>
      <w:r w:rsidR="00B1249D">
        <w:rPr>
          <w:rFonts w:ascii="TimesNewRoman" w:hAnsi="TimesNewRoman" w:cs="TimesNewRoman"/>
          <w:color w:val="010101"/>
          <w:szCs w:val="22"/>
        </w:rPr>
        <w:t>’ proposed, controlling U.S. parent (Northwest Fiber)</w:t>
      </w:r>
      <w:r w:rsidRPr="00245051">
        <w:rPr>
          <w:rFonts w:ascii="TimesNewRoman" w:hAnsi="TimesNewRoman" w:cs="TimesNewRoman"/>
          <w:color w:val="010101"/>
          <w:szCs w:val="22"/>
        </w:rPr>
        <w:t>, to exceed the</w:t>
      </w:r>
      <w:r>
        <w:rPr>
          <w:rFonts w:ascii="TimesNewRoman" w:hAnsi="TimesNewRoman" w:cs="TimesNewRoman"/>
          <w:color w:val="010101"/>
          <w:szCs w:val="22"/>
        </w:rPr>
        <w:t xml:space="preserve"> </w:t>
      </w:r>
      <w:r w:rsidRPr="00245051">
        <w:rPr>
          <w:rFonts w:ascii="TimesNewRoman" w:hAnsi="TimesNewRoman" w:cs="TimesNewRoman"/>
          <w:color w:val="010101"/>
          <w:szCs w:val="22"/>
        </w:rPr>
        <w:t xml:space="preserve">25-percent benchmark specified in </w:t>
      </w:r>
      <w:r w:rsidR="0011491B">
        <w:rPr>
          <w:rFonts w:ascii="TimesNewRoman" w:hAnsi="TimesNewRoman" w:cs="TimesNewRoman"/>
          <w:color w:val="010101"/>
          <w:szCs w:val="22"/>
        </w:rPr>
        <w:t>s</w:t>
      </w:r>
      <w:r w:rsidRPr="00245051">
        <w:rPr>
          <w:rFonts w:ascii="TimesNewRoman" w:hAnsi="TimesNewRoman" w:cs="TimesNewRoman"/>
          <w:color w:val="010101"/>
          <w:szCs w:val="22"/>
        </w:rPr>
        <w:t>ection 310(b)(4) of the Act</w:t>
      </w:r>
      <w:bookmarkEnd w:id="17"/>
      <w:r w:rsidRPr="00245051">
        <w:rPr>
          <w:rFonts w:ascii="TimesNewRoman" w:hAnsi="TimesNewRoman" w:cs="TimesNewRoman"/>
          <w:color w:val="010101"/>
          <w:szCs w:val="22"/>
        </w:rPr>
        <w:t>.</w:t>
      </w:r>
      <w:r>
        <w:rPr>
          <w:rFonts w:ascii="TimesNewRoman" w:hAnsi="TimesNewRoman" w:cs="TimesNewRoman"/>
          <w:color w:val="010101"/>
          <w:szCs w:val="22"/>
        </w:rPr>
        <w:t xml:space="preserve"> </w:t>
      </w:r>
      <w:bookmarkEnd w:id="16"/>
      <w:r>
        <w:rPr>
          <w:rFonts w:ascii="TimesNewRoman" w:hAnsi="TimesNewRoman" w:cs="TimesNewRoman"/>
          <w:color w:val="010101"/>
          <w:szCs w:val="22"/>
        </w:rPr>
        <w:t xml:space="preserve"> </w:t>
      </w:r>
      <w:r w:rsidR="00D720B1">
        <w:rPr>
          <w:rFonts w:ascii="TimesNewRoman" w:hAnsi="TimesNewRoman" w:cs="TimesNewRoman"/>
          <w:color w:val="010101"/>
          <w:szCs w:val="22"/>
        </w:rPr>
        <w:t>Petitioners assert that the proposed foreign ownership of the Licensee</w:t>
      </w:r>
      <w:r w:rsidR="0011491B">
        <w:rPr>
          <w:rFonts w:ascii="TimesNewRoman" w:hAnsi="TimesNewRoman" w:cs="TimesNewRoman"/>
          <w:color w:val="010101"/>
          <w:szCs w:val="22"/>
        </w:rPr>
        <w:t>s</w:t>
      </w:r>
      <w:r w:rsidR="00D720B1">
        <w:rPr>
          <w:rFonts w:ascii="TimesNewRoman" w:hAnsi="TimesNewRoman" w:cs="TimesNewRoman"/>
          <w:color w:val="010101"/>
          <w:szCs w:val="22"/>
        </w:rPr>
        <w:t xml:space="preserve">’ controlling U.S. parent, Northwest Fiber, would serve the public interest.  </w:t>
      </w:r>
    </w:p>
    <w:p w:rsidR="002F78B8" w:rsidP="00B73F61">
      <w:pPr>
        <w:autoSpaceDE w:val="0"/>
        <w:autoSpaceDN w:val="0"/>
        <w:adjustRightInd w:val="0"/>
        <w:rPr>
          <w:rFonts w:ascii="TimesNewRoman" w:hAnsi="TimesNewRoman" w:cs="TimesNewRoman"/>
          <w:color w:val="010101"/>
          <w:szCs w:val="22"/>
        </w:rPr>
      </w:pPr>
    </w:p>
    <w:p w:rsidR="000C46BB" w:rsidP="00B73F61">
      <w:pPr>
        <w:autoSpaceDE w:val="0"/>
        <w:autoSpaceDN w:val="0"/>
        <w:adjustRightInd w:val="0"/>
        <w:rPr>
          <w:rFonts w:ascii="TimesNewRoman" w:hAnsi="TimesNewRoman" w:cs="TimesNewRoman"/>
          <w:color w:val="010101"/>
          <w:szCs w:val="22"/>
        </w:rPr>
      </w:pPr>
      <w:r w:rsidRPr="002301AE">
        <w:rPr>
          <w:rFonts w:ascii="TimesNewRoman" w:hAnsi="TimesNewRoman" w:cs="TimesNewRoman"/>
          <w:color w:val="010101"/>
          <w:szCs w:val="22"/>
        </w:rPr>
        <w:t xml:space="preserve">The Petition states that, upon </w:t>
      </w:r>
      <w:r>
        <w:rPr>
          <w:rFonts w:ascii="TimesNewRoman" w:hAnsi="TimesNewRoman" w:cs="TimesNewRoman"/>
          <w:color w:val="010101"/>
          <w:szCs w:val="22"/>
        </w:rPr>
        <w:t xml:space="preserve">full completion </w:t>
      </w:r>
      <w:r w:rsidRPr="002301AE">
        <w:rPr>
          <w:rFonts w:ascii="TimesNewRoman" w:hAnsi="TimesNewRoman" w:cs="TimesNewRoman"/>
          <w:color w:val="010101"/>
          <w:szCs w:val="22"/>
        </w:rPr>
        <w:t xml:space="preserve">of the proposed transaction, </w:t>
      </w:r>
      <w:r>
        <w:rPr>
          <w:rFonts w:ascii="TimesNewRoman" w:hAnsi="TimesNewRoman" w:cs="TimesNewRoman"/>
          <w:color w:val="010101"/>
          <w:szCs w:val="22"/>
        </w:rPr>
        <w:t>Northwest Fiber would have aggregate direct and/or indirect foreign voting and equity interests of approximately 90</w:t>
      </w:r>
      <w:r w:rsidR="0011491B">
        <w:rPr>
          <w:rFonts w:ascii="TimesNewRoman" w:hAnsi="TimesNewRoman" w:cs="TimesNewRoman"/>
          <w:color w:val="010101"/>
          <w:szCs w:val="22"/>
        </w:rPr>
        <w:t>%</w:t>
      </w:r>
      <w:r>
        <w:rPr>
          <w:rFonts w:ascii="TimesNewRoman" w:hAnsi="TimesNewRoman" w:cs="TimesNewRoman"/>
          <w:color w:val="010101"/>
          <w:szCs w:val="22"/>
        </w:rPr>
        <w:t xml:space="preserve"> and 85</w:t>
      </w:r>
      <w:r w:rsidR="0011491B">
        <w:rPr>
          <w:rFonts w:ascii="TimesNewRoman" w:hAnsi="TimesNewRoman" w:cs="TimesNewRoman"/>
          <w:color w:val="010101"/>
          <w:szCs w:val="22"/>
        </w:rPr>
        <w:t>%</w:t>
      </w:r>
      <w:r>
        <w:rPr>
          <w:rFonts w:ascii="TimesNewRoman" w:hAnsi="TimesNewRoman" w:cs="TimesNewRoman"/>
          <w:color w:val="010101"/>
          <w:szCs w:val="22"/>
        </w:rPr>
        <w:t>, respectively</w:t>
      </w:r>
      <w:r w:rsidRPr="002301AE">
        <w:rPr>
          <w:rFonts w:ascii="TimesNewRoman" w:hAnsi="TimesNewRoman" w:cs="TimesNewRoman"/>
          <w:color w:val="010101"/>
          <w:szCs w:val="22"/>
        </w:rPr>
        <w:t xml:space="preserve">.  </w:t>
      </w:r>
      <w:r>
        <w:rPr>
          <w:color w:val="000000"/>
        </w:rPr>
        <w:t>Pursuant to section 1.5001(i) of the rules,</w:t>
      </w:r>
      <w:r>
        <w:rPr>
          <w:rStyle w:val="FootnoteReference"/>
          <w:color w:val="000000"/>
        </w:rPr>
        <w:footnoteReference w:id="29"/>
      </w:r>
      <w:r>
        <w:rPr>
          <w:color w:val="000000"/>
        </w:rPr>
        <w:t xml:space="preserve"> Petitioners request that the Commission specifically approve the direct </w:t>
      </w:r>
      <w:r w:rsidRPr="00B1379E">
        <w:rPr>
          <w:bCs/>
          <w:color w:val="000000"/>
        </w:rPr>
        <w:t>and/or</w:t>
      </w:r>
      <w:r>
        <w:rPr>
          <w:color w:val="000000"/>
        </w:rPr>
        <w:t xml:space="preserve"> indirect equity and/or voting interests that would be held in Northwest Fiber upon completion of the proposed transaction by foreign-organized entities and foreign individuals as follows:</w:t>
      </w:r>
      <w:r w:rsidR="00B1249D">
        <w:rPr>
          <w:rFonts w:ascii="TimesNewRoman" w:hAnsi="TimesNewRoman" w:cs="TimesNewRoman"/>
          <w:color w:val="010101"/>
          <w:szCs w:val="22"/>
        </w:rPr>
        <w:t xml:space="preserve">  </w:t>
      </w:r>
    </w:p>
    <w:p w:rsidR="000C46BB" w:rsidP="00B73F61">
      <w:pPr>
        <w:autoSpaceDE w:val="0"/>
        <w:autoSpaceDN w:val="0"/>
        <w:adjustRightInd w:val="0"/>
        <w:rPr>
          <w:rFonts w:ascii="TimesNewRoman" w:hAnsi="TimesNewRoman" w:cs="TimesNewRoman"/>
          <w:color w:val="010101"/>
          <w:szCs w:val="22"/>
        </w:rPr>
      </w:pP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Searchlight Capital Partners II GP</w:t>
      </w:r>
      <w:r w:rsidR="006152CF">
        <w:rPr>
          <w:rFonts w:ascii="TimesNewRoman" w:hAnsi="TimesNewRoman" w:cs="TimesNewRoman"/>
          <w:color w:val="010101"/>
          <w:szCs w:val="22"/>
        </w:rPr>
        <w:t>.</w:t>
      </w:r>
      <w:r>
        <w:rPr>
          <w:rFonts w:ascii="TimesNewRoman" w:hAnsi="TimesNewRoman" w:cs="TimesNewRoman"/>
          <w:color w:val="010101"/>
          <w:szCs w:val="22"/>
        </w:rPr>
        <w:t>, L</w:t>
      </w:r>
      <w:r w:rsidR="006152CF">
        <w:rPr>
          <w:rFonts w:ascii="TimesNewRoman" w:hAnsi="TimesNewRoman" w:cs="TimesNewRoman"/>
          <w:color w:val="010101"/>
          <w:szCs w:val="22"/>
        </w:rPr>
        <w:t>.P.</w:t>
      </w:r>
      <w:r>
        <w:rPr>
          <w:rFonts w:ascii="TimesNewRoman" w:hAnsi="TimesNewRoman" w:cs="TimesNewRoman"/>
          <w:color w:val="010101"/>
          <w:szCs w:val="22"/>
        </w:rPr>
        <w:t xml:space="preserve"> (</w:t>
      </w:r>
      <w:r w:rsidR="006152CF">
        <w:rPr>
          <w:rFonts w:ascii="TimesNewRoman" w:hAnsi="TimesNewRoman" w:cs="TimesNewRoman"/>
          <w:color w:val="010101"/>
          <w:szCs w:val="22"/>
        </w:rPr>
        <w:t>1% equity, 90% voting</w:t>
      </w:r>
      <w:r>
        <w:rPr>
          <w:rFonts w:ascii="TimesNewRoman" w:hAnsi="TimesNewRoman" w:cs="TimesNewRoman"/>
          <w:color w:val="010101"/>
          <w:szCs w:val="22"/>
        </w:rPr>
        <w:t>)</w:t>
      </w:r>
      <w:r w:rsidR="003A3C2F">
        <w:rPr>
          <w:rFonts w:ascii="TimesNewRoman" w:hAnsi="TimesNewRoman" w:cs="TimesNewRoman"/>
          <w:color w:val="010101"/>
          <w:szCs w:val="22"/>
        </w:rPr>
        <w:t xml:space="preserve"> (Cayman Islands)</w:t>
      </w:r>
      <w:r>
        <w:rPr>
          <w:rFonts w:ascii="TimesNewRoman" w:hAnsi="TimesNewRoman" w:cs="TimesNewRoman"/>
          <w:color w:val="010101"/>
          <w:szCs w:val="22"/>
        </w:rPr>
        <w:t xml:space="preserve">; </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Searchlight Capital II L.P. (</w:t>
      </w:r>
      <w:r w:rsidR="006152CF">
        <w:rPr>
          <w:rFonts w:ascii="TimesNewRoman" w:hAnsi="TimesNewRoman" w:cs="TimesNewRoman"/>
          <w:color w:val="010101"/>
          <w:szCs w:val="22"/>
        </w:rPr>
        <w:t>10% equity, 11% voting</w:t>
      </w:r>
      <w:r>
        <w:rPr>
          <w:rFonts w:ascii="TimesNewRoman" w:hAnsi="TimesNewRoman" w:cs="TimesNewRoman"/>
          <w:color w:val="010101"/>
          <w:szCs w:val="22"/>
        </w:rPr>
        <w:t>) (Cayman Islands);</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Searchlight Capital II OPT Feeder, LP (</w:t>
      </w:r>
      <w:r w:rsidR="006152CF">
        <w:rPr>
          <w:rFonts w:ascii="TimesNewRoman" w:hAnsi="TimesNewRoman" w:cs="TimesNewRoman"/>
          <w:color w:val="010101"/>
          <w:szCs w:val="22"/>
        </w:rPr>
        <w:t>13</w:t>
      </w:r>
      <w:r>
        <w:rPr>
          <w:rFonts w:ascii="TimesNewRoman" w:hAnsi="TimesNewRoman" w:cs="TimesNewRoman"/>
          <w:color w:val="010101"/>
          <w:szCs w:val="22"/>
        </w:rPr>
        <w:t>%</w:t>
      </w:r>
      <w:r w:rsidR="006152CF">
        <w:rPr>
          <w:rFonts w:ascii="TimesNewRoman" w:hAnsi="TimesNewRoman" w:cs="TimesNewRoman"/>
          <w:color w:val="010101"/>
          <w:szCs w:val="22"/>
        </w:rPr>
        <w:t xml:space="preserve"> equity, 14% voting</w:t>
      </w:r>
      <w:r>
        <w:rPr>
          <w:rFonts w:ascii="TimesNewRoman" w:hAnsi="TimesNewRoman" w:cs="TimesNewRoman"/>
          <w:color w:val="010101"/>
          <w:szCs w:val="22"/>
        </w:rPr>
        <w:t>) (Cayman Islands);</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Canada Pension Plan Investment Board (</w:t>
      </w:r>
      <w:r w:rsidR="003A3C2F">
        <w:rPr>
          <w:rFonts w:ascii="TimesNewRoman" w:hAnsi="TimesNewRoman" w:cs="TimesNewRoman"/>
          <w:color w:val="010101"/>
          <w:szCs w:val="22"/>
        </w:rPr>
        <w:t>19</w:t>
      </w:r>
      <w:r>
        <w:rPr>
          <w:rFonts w:ascii="TimesNewRoman" w:hAnsi="TimesNewRoman" w:cs="TimesNewRoman"/>
          <w:color w:val="010101"/>
          <w:szCs w:val="22"/>
        </w:rPr>
        <w:t>%</w:t>
      </w:r>
      <w:r w:rsidR="003A3C2F">
        <w:rPr>
          <w:rFonts w:ascii="TimesNewRoman" w:hAnsi="TimesNewRoman" w:cs="TimesNewRoman"/>
          <w:color w:val="010101"/>
          <w:szCs w:val="22"/>
        </w:rPr>
        <w:t xml:space="preserve"> equity, 30% voting</w:t>
      </w:r>
      <w:r>
        <w:rPr>
          <w:rFonts w:ascii="TimesNewRoman" w:hAnsi="TimesNewRoman" w:cs="TimesNewRoman"/>
          <w:color w:val="010101"/>
          <w:szCs w:val="22"/>
        </w:rPr>
        <w:t>)</w:t>
      </w:r>
      <w:r>
        <w:rPr>
          <w:rFonts w:ascii="TimesNewRoman" w:hAnsi="TimesNewRoman" w:cs="TimesNewRoman"/>
          <w:color w:val="010101"/>
          <w:szCs w:val="22"/>
        </w:rPr>
        <w:t xml:space="preserve"> (Canada)</w:t>
      </w:r>
      <w:r>
        <w:rPr>
          <w:rFonts w:ascii="TimesNewRoman" w:hAnsi="TimesNewRoman" w:cs="TimesNewRoman"/>
          <w:color w:val="010101"/>
          <w:szCs w:val="22"/>
        </w:rPr>
        <w:t xml:space="preserve">; </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CPP Investment Board private Holdings, Inc. (</w:t>
      </w:r>
      <w:r w:rsidR="003A3C2F">
        <w:rPr>
          <w:rFonts w:ascii="TimesNewRoman" w:hAnsi="TimesNewRoman" w:cs="TimesNewRoman"/>
          <w:color w:val="010101"/>
          <w:szCs w:val="22"/>
        </w:rPr>
        <w:t>19</w:t>
      </w:r>
      <w:r>
        <w:rPr>
          <w:rFonts w:ascii="TimesNewRoman" w:hAnsi="TimesNewRoman" w:cs="TimesNewRoman"/>
          <w:color w:val="010101"/>
          <w:szCs w:val="22"/>
        </w:rPr>
        <w:t>%</w:t>
      </w:r>
      <w:r w:rsidR="003A3C2F">
        <w:rPr>
          <w:rFonts w:ascii="TimesNewRoman" w:hAnsi="TimesNewRoman" w:cs="TimesNewRoman"/>
          <w:color w:val="010101"/>
          <w:szCs w:val="22"/>
        </w:rPr>
        <w:t xml:space="preserve"> equity, 30% voting</w:t>
      </w:r>
      <w:r>
        <w:rPr>
          <w:rFonts w:ascii="TimesNewRoman" w:hAnsi="TimesNewRoman" w:cs="TimesNewRoman"/>
          <w:color w:val="010101"/>
          <w:szCs w:val="22"/>
        </w:rPr>
        <w:t>)</w:t>
      </w:r>
      <w:r>
        <w:rPr>
          <w:rFonts w:ascii="TimesNewRoman" w:hAnsi="TimesNewRoman" w:cs="TimesNewRoman"/>
          <w:color w:val="010101"/>
          <w:szCs w:val="22"/>
        </w:rPr>
        <w:t xml:space="preserve"> (Canada)</w:t>
      </w:r>
      <w:r>
        <w:rPr>
          <w:rFonts w:ascii="TimesNewRoman" w:hAnsi="TimesNewRoman" w:cs="TimesNewRoman"/>
          <w:color w:val="010101"/>
          <w:szCs w:val="22"/>
        </w:rPr>
        <w:t xml:space="preserve">; </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British Colombia Investment Management Corporation (</w:t>
      </w:r>
      <w:r w:rsidR="003A3C2F">
        <w:rPr>
          <w:rFonts w:ascii="TimesNewRoman" w:hAnsi="TimesNewRoman" w:cs="TimesNewRoman"/>
          <w:color w:val="010101"/>
          <w:szCs w:val="22"/>
        </w:rPr>
        <w:t>18</w:t>
      </w:r>
      <w:r>
        <w:rPr>
          <w:rFonts w:ascii="TimesNewRoman" w:hAnsi="TimesNewRoman" w:cs="TimesNewRoman"/>
          <w:color w:val="010101"/>
          <w:szCs w:val="22"/>
        </w:rPr>
        <w:t>%</w:t>
      </w:r>
      <w:r w:rsidR="003A3C2F">
        <w:rPr>
          <w:rFonts w:ascii="TimesNewRoman" w:hAnsi="TimesNewRoman" w:cs="TimesNewRoman"/>
          <w:color w:val="010101"/>
          <w:szCs w:val="22"/>
        </w:rPr>
        <w:t xml:space="preserve"> equity, 29% voting</w:t>
      </w:r>
      <w:r>
        <w:rPr>
          <w:rFonts w:ascii="TimesNewRoman" w:hAnsi="TimesNewRoman" w:cs="TimesNewRoman"/>
          <w:color w:val="010101"/>
          <w:szCs w:val="22"/>
        </w:rPr>
        <w:t>)</w:t>
      </w:r>
      <w:r>
        <w:rPr>
          <w:rFonts w:ascii="TimesNewRoman" w:hAnsi="TimesNewRoman" w:cs="TimesNewRoman"/>
          <w:color w:val="010101"/>
          <w:szCs w:val="22"/>
        </w:rPr>
        <w:t xml:space="preserve"> (Canada)</w:t>
      </w:r>
      <w:r>
        <w:rPr>
          <w:rFonts w:ascii="TimesNewRoman" w:hAnsi="TimesNewRoman" w:cs="TimesNewRoman"/>
          <w:color w:val="010101"/>
          <w:szCs w:val="22"/>
        </w:rPr>
        <w:t xml:space="preserve">; </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IMCPE 2019 Inc. (</w:t>
      </w:r>
      <w:r w:rsidR="003A3C2F">
        <w:rPr>
          <w:rFonts w:ascii="TimesNewRoman" w:hAnsi="TimesNewRoman" w:cs="TimesNewRoman"/>
          <w:color w:val="010101"/>
          <w:szCs w:val="22"/>
        </w:rPr>
        <w:t>18</w:t>
      </w:r>
      <w:r>
        <w:rPr>
          <w:rFonts w:ascii="TimesNewRoman" w:hAnsi="TimesNewRoman" w:cs="TimesNewRoman"/>
          <w:color w:val="010101"/>
          <w:szCs w:val="22"/>
        </w:rPr>
        <w:t>%</w:t>
      </w:r>
      <w:r w:rsidR="003A3C2F">
        <w:rPr>
          <w:rFonts w:ascii="TimesNewRoman" w:hAnsi="TimesNewRoman" w:cs="TimesNewRoman"/>
          <w:color w:val="010101"/>
          <w:szCs w:val="22"/>
        </w:rPr>
        <w:t xml:space="preserve"> equity, 29% voting</w:t>
      </w:r>
      <w:r>
        <w:rPr>
          <w:rFonts w:ascii="TimesNewRoman" w:hAnsi="TimesNewRoman" w:cs="TimesNewRoman"/>
          <w:color w:val="010101"/>
          <w:szCs w:val="22"/>
        </w:rPr>
        <w:t>)</w:t>
      </w:r>
      <w:r>
        <w:rPr>
          <w:rFonts w:ascii="TimesNewRoman" w:hAnsi="TimesNewRoman" w:cs="TimesNewRoman"/>
          <w:color w:val="010101"/>
          <w:szCs w:val="22"/>
        </w:rPr>
        <w:t xml:space="preserve"> (Canada)</w:t>
      </w:r>
      <w:r>
        <w:rPr>
          <w:rFonts w:ascii="TimesNewRoman" w:hAnsi="TimesNewRoman" w:cs="TimesNewRoman"/>
          <w:color w:val="010101"/>
          <w:szCs w:val="22"/>
        </w:rPr>
        <w:t xml:space="preserve">; </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Public Sector Pension Investment Board (</w:t>
      </w:r>
      <w:r w:rsidR="003A3C2F">
        <w:rPr>
          <w:rFonts w:ascii="TimesNewRoman" w:hAnsi="TimesNewRoman" w:cs="TimesNewRoman"/>
          <w:color w:val="010101"/>
          <w:szCs w:val="22"/>
        </w:rPr>
        <w:t>30% equity, 47% voting</w:t>
      </w:r>
      <w:r>
        <w:rPr>
          <w:rFonts w:ascii="TimesNewRoman" w:hAnsi="TimesNewRoman" w:cs="TimesNewRoman"/>
          <w:color w:val="010101"/>
          <w:szCs w:val="22"/>
        </w:rPr>
        <w:t>)</w:t>
      </w:r>
      <w:r>
        <w:rPr>
          <w:rFonts w:ascii="TimesNewRoman" w:hAnsi="TimesNewRoman" w:cs="TimesNewRoman"/>
          <w:color w:val="010101"/>
          <w:szCs w:val="22"/>
        </w:rPr>
        <w:t xml:space="preserve"> (Canada)</w:t>
      </w:r>
      <w:r>
        <w:rPr>
          <w:rFonts w:ascii="TimesNewRoman" w:hAnsi="TimesNewRoman" w:cs="TimesNewRoman"/>
          <w:color w:val="010101"/>
          <w:szCs w:val="22"/>
        </w:rPr>
        <w:t xml:space="preserve">; </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Port-aux-Choix Private Investments Inc. (</w:t>
      </w:r>
      <w:r w:rsidR="003A3C2F">
        <w:rPr>
          <w:rFonts w:ascii="TimesNewRoman" w:hAnsi="TimesNewRoman" w:cs="TimesNewRoman"/>
          <w:color w:val="010101"/>
          <w:szCs w:val="22"/>
        </w:rPr>
        <w:t>30</w:t>
      </w:r>
      <w:r>
        <w:rPr>
          <w:rFonts w:ascii="TimesNewRoman" w:hAnsi="TimesNewRoman" w:cs="TimesNewRoman"/>
          <w:color w:val="010101"/>
          <w:szCs w:val="22"/>
        </w:rPr>
        <w:t>%</w:t>
      </w:r>
      <w:r w:rsidR="003A3C2F">
        <w:rPr>
          <w:rFonts w:ascii="TimesNewRoman" w:hAnsi="TimesNewRoman" w:cs="TimesNewRoman"/>
          <w:color w:val="010101"/>
          <w:szCs w:val="22"/>
        </w:rPr>
        <w:t xml:space="preserve"> equity, 47% voting</w:t>
      </w:r>
      <w:r>
        <w:rPr>
          <w:rFonts w:ascii="TimesNewRoman" w:hAnsi="TimesNewRoman" w:cs="TimesNewRoman"/>
          <w:color w:val="010101"/>
          <w:szCs w:val="22"/>
        </w:rPr>
        <w:t>)</w:t>
      </w:r>
      <w:r>
        <w:rPr>
          <w:rFonts w:ascii="TimesNewRoman" w:hAnsi="TimesNewRoman" w:cs="TimesNewRoman"/>
          <w:color w:val="010101"/>
          <w:szCs w:val="22"/>
        </w:rPr>
        <w:t xml:space="preserve"> (Canada)</w:t>
      </w:r>
      <w:r>
        <w:rPr>
          <w:rFonts w:ascii="TimesNewRoman" w:hAnsi="TimesNewRoman" w:cs="TimesNewRoman"/>
          <w:color w:val="010101"/>
          <w:szCs w:val="22"/>
        </w:rPr>
        <w:t xml:space="preserve">; </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Erol Uzumeri (</w:t>
      </w:r>
      <w:r w:rsidR="003A3C2F">
        <w:rPr>
          <w:rFonts w:ascii="TimesNewRoman" w:hAnsi="TimesNewRoman" w:cs="TimesNewRoman"/>
          <w:color w:val="010101"/>
          <w:szCs w:val="22"/>
        </w:rPr>
        <w:t>0</w:t>
      </w:r>
      <w:r>
        <w:rPr>
          <w:rFonts w:ascii="TimesNewRoman" w:hAnsi="TimesNewRoman" w:cs="TimesNewRoman"/>
          <w:color w:val="010101"/>
          <w:szCs w:val="22"/>
        </w:rPr>
        <w:t>%</w:t>
      </w:r>
      <w:r w:rsidR="003A3C2F">
        <w:rPr>
          <w:rFonts w:ascii="TimesNewRoman" w:hAnsi="TimesNewRoman" w:cs="TimesNewRoman"/>
          <w:color w:val="010101"/>
          <w:szCs w:val="22"/>
        </w:rPr>
        <w:t xml:space="preserve"> equity, 33.33% voting</w:t>
      </w:r>
      <w:r>
        <w:rPr>
          <w:rFonts w:ascii="TimesNewRoman" w:hAnsi="TimesNewRoman" w:cs="TimesNewRoman"/>
          <w:color w:val="010101"/>
          <w:szCs w:val="22"/>
        </w:rPr>
        <w:t>)</w:t>
      </w:r>
      <w:r>
        <w:rPr>
          <w:rFonts w:ascii="TimesNewRoman" w:hAnsi="TimesNewRoman" w:cs="TimesNewRoman"/>
          <w:color w:val="010101"/>
          <w:szCs w:val="22"/>
        </w:rPr>
        <w:t xml:space="preserve"> (Canada)</w:t>
      </w:r>
      <w:r>
        <w:rPr>
          <w:rFonts w:ascii="TimesNewRoman" w:hAnsi="TimesNewRoman" w:cs="TimesNewRoman"/>
          <w:color w:val="010101"/>
          <w:szCs w:val="22"/>
        </w:rPr>
        <w:t xml:space="preserve">; </w:t>
      </w:r>
      <w:r w:rsidR="0013287A">
        <w:rPr>
          <w:rFonts w:ascii="TimesNewRoman" w:hAnsi="TimesNewRoman" w:cs="TimesNewRoman"/>
          <w:color w:val="010101"/>
          <w:szCs w:val="22"/>
        </w:rPr>
        <w:t>and</w:t>
      </w:r>
    </w:p>
    <w:p w:rsidR="00A447BC"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Oliver Haarmann (</w:t>
      </w:r>
      <w:r w:rsidR="003A3C2F">
        <w:rPr>
          <w:rFonts w:ascii="TimesNewRoman" w:hAnsi="TimesNewRoman" w:cs="TimesNewRoman"/>
          <w:color w:val="010101"/>
          <w:szCs w:val="22"/>
        </w:rPr>
        <w:t>0</w:t>
      </w:r>
      <w:r>
        <w:rPr>
          <w:rFonts w:ascii="TimesNewRoman" w:hAnsi="TimesNewRoman" w:cs="TimesNewRoman"/>
          <w:color w:val="010101"/>
          <w:szCs w:val="22"/>
        </w:rPr>
        <w:t>%</w:t>
      </w:r>
      <w:r w:rsidR="003A3C2F">
        <w:rPr>
          <w:rFonts w:ascii="TimesNewRoman" w:hAnsi="TimesNewRoman" w:cs="TimesNewRoman"/>
          <w:color w:val="010101"/>
          <w:szCs w:val="22"/>
        </w:rPr>
        <w:t xml:space="preserve"> equity, 33.33% voting</w:t>
      </w:r>
      <w:r>
        <w:rPr>
          <w:rFonts w:ascii="TimesNewRoman" w:hAnsi="TimesNewRoman" w:cs="TimesNewRoman"/>
          <w:color w:val="010101"/>
          <w:szCs w:val="22"/>
        </w:rPr>
        <w:t>)</w:t>
      </w:r>
      <w:r>
        <w:rPr>
          <w:rFonts w:ascii="TimesNewRoman" w:hAnsi="TimesNewRoman" w:cs="TimesNewRoman"/>
          <w:color w:val="010101"/>
          <w:szCs w:val="22"/>
        </w:rPr>
        <w:t xml:space="preserve"> (Germany)</w:t>
      </w:r>
      <w:r>
        <w:rPr>
          <w:rFonts w:ascii="TimesNewRoman" w:hAnsi="TimesNewRoman" w:cs="TimesNewRoman"/>
          <w:color w:val="010101"/>
          <w:szCs w:val="22"/>
        </w:rPr>
        <w:t xml:space="preserve">.  </w:t>
      </w:r>
    </w:p>
    <w:p w:rsidR="00A447BC" w:rsidP="00B73F61">
      <w:pPr>
        <w:autoSpaceDE w:val="0"/>
        <w:autoSpaceDN w:val="0"/>
        <w:adjustRightInd w:val="0"/>
        <w:rPr>
          <w:rFonts w:ascii="TimesNewRoman" w:hAnsi="TimesNewRoman" w:cs="TimesNewRoman"/>
          <w:color w:val="010101"/>
          <w:szCs w:val="22"/>
        </w:rPr>
      </w:pPr>
    </w:p>
    <w:p w:rsidR="00B73F61"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Petitioners request advance approval</w:t>
      </w:r>
      <w:r w:rsidR="0013287A">
        <w:rPr>
          <w:rFonts w:ascii="TimesNewRoman" w:hAnsi="TimesNewRoman" w:cs="TimesNewRoman"/>
          <w:color w:val="010101"/>
          <w:szCs w:val="22"/>
        </w:rPr>
        <w:t>, pursuant to section 1.5001(k),</w:t>
      </w:r>
      <w:r>
        <w:rPr>
          <w:rStyle w:val="FootnoteReference"/>
          <w:rFonts w:ascii="TimesNewRoman" w:hAnsi="TimesNewRoman" w:cs="TimesNewRoman"/>
          <w:color w:val="010101"/>
          <w:szCs w:val="22"/>
        </w:rPr>
        <w:footnoteReference w:id="30"/>
      </w:r>
      <w:r>
        <w:rPr>
          <w:rFonts w:ascii="TimesNewRoman" w:hAnsi="TimesNewRoman" w:cs="TimesNewRoman"/>
          <w:color w:val="010101"/>
          <w:szCs w:val="22"/>
        </w:rPr>
        <w:t xml:space="preserve"> for </w:t>
      </w:r>
      <w:r w:rsidR="00B33B65">
        <w:rPr>
          <w:rFonts w:ascii="TimesNewRoman" w:hAnsi="TimesNewRoman" w:cs="TimesNewRoman"/>
          <w:color w:val="010101"/>
          <w:szCs w:val="22"/>
        </w:rPr>
        <w:t>each above-identified foreign investor to increase its direct or indirect equity and/or voting interests in Northwest Fiber up to a 49.99% non-controlling interest, provided the investor is not already deemed to have a controlling interest.  Petitioners also request approval for the identified foreign investors to own collectively, directly or indirectly, equity and/or voting interests of up to 100% in Northwest Fiber so long as no single</w:t>
      </w:r>
      <w:r w:rsidR="007A7806">
        <w:rPr>
          <w:rFonts w:ascii="TimesNewRoman" w:hAnsi="TimesNewRoman" w:cs="TimesNewRoman"/>
          <w:color w:val="010101"/>
          <w:szCs w:val="22"/>
        </w:rPr>
        <w:t xml:space="preserve"> foreign investor that is not currently deemed to have a controlling interest owns more than a 49.99% interest or a controlling interest.  Petitioners further </w:t>
      </w:r>
      <w:r w:rsidR="0011491B">
        <w:rPr>
          <w:rFonts w:ascii="TimesNewRoman" w:hAnsi="TimesNewRoman" w:cs="TimesNewRoman"/>
          <w:color w:val="010101"/>
          <w:szCs w:val="22"/>
        </w:rPr>
        <w:t xml:space="preserve">request </w:t>
      </w:r>
      <w:r w:rsidR="0013287A">
        <w:rPr>
          <w:rFonts w:ascii="TimesNewRoman" w:hAnsi="TimesNewRoman" w:cs="TimesNewRoman"/>
          <w:color w:val="010101"/>
          <w:szCs w:val="22"/>
        </w:rPr>
        <w:t xml:space="preserve">advance approval </w:t>
      </w:r>
      <w:r w:rsidR="007A7806">
        <w:rPr>
          <w:rFonts w:ascii="TimesNewRoman" w:hAnsi="TimesNewRoman" w:cs="TimesNewRoman"/>
          <w:color w:val="010101"/>
          <w:szCs w:val="22"/>
        </w:rPr>
        <w:t xml:space="preserve">to have additional unidentified foreign ownership of up to 100% of the equity and/or voting interests not held by the above-identified foreign investors provided that </w:t>
      </w:r>
      <w:r w:rsidR="0011491B">
        <w:rPr>
          <w:rFonts w:ascii="TimesNewRoman" w:hAnsi="TimesNewRoman" w:cs="TimesNewRoman"/>
          <w:color w:val="010101"/>
          <w:szCs w:val="22"/>
        </w:rPr>
        <w:t>they</w:t>
      </w:r>
      <w:r w:rsidR="007A7806">
        <w:rPr>
          <w:rFonts w:ascii="TimesNewRoman" w:hAnsi="TimesNewRoman" w:cs="TimesNewRoman"/>
          <w:color w:val="010101"/>
          <w:szCs w:val="22"/>
        </w:rPr>
        <w:t xml:space="preserve"> seek approval of any new individual foreign investor that would own 5% or more.</w:t>
      </w:r>
      <w:r w:rsidR="00F476D1">
        <w:rPr>
          <w:rFonts w:ascii="TimesNewRoman" w:hAnsi="TimesNewRoman" w:cs="TimesNewRoman"/>
          <w:color w:val="010101"/>
          <w:szCs w:val="22"/>
        </w:rPr>
        <w:t xml:space="preserve">  </w:t>
      </w:r>
      <w:r w:rsidR="00B33B65">
        <w:rPr>
          <w:rFonts w:ascii="TimesNewRoman" w:hAnsi="TimesNewRoman" w:cs="TimesNewRoman"/>
          <w:color w:val="010101"/>
          <w:szCs w:val="22"/>
        </w:rPr>
        <w:t xml:space="preserve"> </w:t>
      </w:r>
      <w:r>
        <w:rPr>
          <w:rFonts w:ascii="TimesNewRoman" w:hAnsi="TimesNewRoman" w:cs="TimesNewRoman"/>
          <w:color w:val="010101"/>
          <w:szCs w:val="22"/>
        </w:rPr>
        <w:t xml:space="preserve"> </w:t>
      </w:r>
    </w:p>
    <w:p w:rsidR="00CD0CC1" w:rsidP="00B73F61">
      <w:pPr>
        <w:autoSpaceDE w:val="0"/>
        <w:autoSpaceDN w:val="0"/>
        <w:adjustRightInd w:val="0"/>
        <w:rPr>
          <w:rFonts w:ascii="TimesNewRoman" w:hAnsi="TimesNewRoman" w:cs="TimesNewRoman"/>
          <w:color w:val="010101"/>
          <w:szCs w:val="22"/>
        </w:rPr>
      </w:pPr>
    </w:p>
    <w:p w:rsidR="00CD0CC1" w:rsidP="00B73F61">
      <w:pPr>
        <w:autoSpaceDE w:val="0"/>
        <w:autoSpaceDN w:val="0"/>
        <w:adjustRightInd w:val="0"/>
        <w:rPr>
          <w:rFonts w:ascii="TimesNewRoman" w:hAnsi="TimesNewRoman" w:cs="TimesNewRoman"/>
          <w:color w:val="010101"/>
          <w:szCs w:val="22"/>
        </w:rPr>
      </w:pPr>
      <w:r>
        <w:rPr>
          <w:rFonts w:ascii="TimesNewRoman" w:hAnsi="TimesNewRoman" w:cs="TimesNewRoman"/>
          <w:color w:val="010101"/>
          <w:szCs w:val="22"/>
        </w:rPr>
        <w:t>The Petition for Declaratory Ruling has been assigned File No. ISP-PDR-20190708-00006.</w:t>
      </w:r>
    </w:p>
    <w:p w:rsidR="00B73F61" w:rsidP="00B73F61">
      <w:pPr>
        <w:autoSpaceDE w:val="0"/>
        <w:autoSpaceDN w:val="0"/>
        <w:adjustRightInd w:val="0"/>
        <w:rPr>
          <w:rFonts w:ascii="TimesNewRoman" w:hAnsi="TimesNewRoman" w:cs="TimesNewRoman"/>
          <w:color w:val="010101"/>
          <w:szCs w:val="22"/>
        </w:rPr>
      </w:pPr>
    </w:p>
    <w:p w:rsidR="00EF113F" w:rsidRPr="0022664E" w:rsidP="0038750A">
      <w:pPr>
        <w:rPr>
          <w:color w:val="000000"/>
          <w:szCs w:val="22"/>
        </w:rPr>
      </w:pPr>
    </w:p>
    <w:sectPr w:rsidSect="002710BB">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22DF">
      <w:r>
        <w:separator/>
      </w:r>
    </w:p>
  </w:footnote>
  <w:footnote w:type="continuationSeparator" w:id="1">
    <w:p w:rsidR="00FA22DF">
      <w:r>
        <w:continuationSeparator/>
      </w:r>
    </w:p>
  </w:footnote>
  <w:footnote w:type="continuationNotice" w:id="2">
    <w:p w:rsidR="00FA22DF"/>
  </w:footnote>
  <w:footnote w:id="3">
    <w:p w:rsidR="007656E1" w:rsidRPr="00021F2D" w:rsidP="007656E1">
      <w:pPr>
        <w:pStyle w:val="FootnoteText"/>
        <w:rPr>
          <w:sz w:val="20"/>
        </w:rPr>
      </w:pPr>
      <w:r w:rsidRPr="00021F2D">
        <w:rPr>
          <w:rStyle w:val="FootnoteReference"/>
          <w:sz w:val="20"/>
        </w:rPr>
        <w:footnoteRef/>
      </w:r>
      <w:r w:rsidRPr="00021F2D">
        <w:rPr>
          <w:sz w:val="20"/>
        </w:rPr>
        <w:t xml:space="preserve"> 47 U.S.C. §§ 214, 310(d); 47 CFR §§ </w:t>
      </w:r>
      <w:r w:rsidR="00F4126D">
        <w:rPr>
          <w:sz w:val="20"/>
        </w:rPr>
        <w:t xml:space="preserve">1.948, </w:t>
      </w:r>
      <w:r w:rsidRPr="00021F2D">
        <w:rPr>
          <w:sz w:val="20"/>
        </w:rPr>
        <w:t>63.03-04, 63.18, 63.24</w:t>
      </w:r>
      <w:r w:rsidR="00E56DE7">
        <w:rPr>
          <w:sz w:val="20"/>
        </w:rPr>
        <w:t xml:space="preserve">; </w:t>
      </w:r>
      <w:r w:rsidRPr="00021F2D" w:rsidR="00E56DE7">
        <w:rPr>
          <w:sz w:val="20"/>
        </w:rPr>
        <w:t xml:space="preserve">Application for Consent to Partially Assign and Transfer Control of Domestic and International Authorizations Pursuant to Section 214 of the Communications Act of 1934, as Amended, and Sections 63.04, 63.18 and 63.24 of the Commission’s Rules, WC Docket No. 19-188 (filed June 28, 2019) (Lead </w:t>
      </w:r>
      <w:r w:rsidRPr="00FC5E62" w:rsidR="00E56DE7">
        <w:rPr>
          <w:sz w:val="20"/>
        </w:rPr>
        <w:t>Application)</w:t>
      </w:r>
      <w:r w:rsidR="001E284D">
        <w:rPr>
          <w:sz w:val="20"/>
        </w:rPr>
        <w:t>.  Applicants filed a supplement to their application on July 10, 2019.  Supplement to the Consolidated Application for the Partial Assignment and Transfer of Control of Domestic and International Section 214 Authorizations, WC Docket No. 19-188 (filed July 10, 2019) (</w:t>
      </w:r>
      <w:r w:rsidR="00610717">
        <w:rPr>
          <w:sz w:val="20"/>
        </w:rPr>
        <w:t xml:space="preserve">Applicants’ Supplement). </w:t>
      </w:r>
    </w:p>
  </w:footnote>
  <w:footnote w:id="4">
    <w:p w:rsidR="006C1429" w:rsidRPr="00D238CC" w:rsidP="006C1429">
      <w:pPr>
        <w:pStyle w:val="FootnoteText"/>
        <w:rPr>
          <w:sz w:val="20"/>
        </w:rPr>
      </w:pPr>
      <w:r w:rsidRPr="00D238CC">
        <w:rPr>
          <w:rStyle w:val="FootnoteReference"/>
          <w:sz w:val="20"/>
        </w:rPr>
        <w:footnoteRef/>
      </w:r>
      <w:r w:rsidRPr="00D238CC">
        <w:rPr>
          <w:sz w:val="20"/>
        </w:rPr>
        <w:t xml:space="preserve"> </w:t>
      </w:r>
      <w:r>
        <w:rPr>
          <w:sz w:val="20"/>
        </w:rPr>
        <w:t xml:space="preserve">47 U.S.C. § 310(b)(4); </w:t>
      </w:r>
      <w:r w:rsidRPr="00D238CC">
        <w:rPr>
          <w:sz w:val="20"/>
        </w:rPr>
        <w:t xml:space="preserve">47 CFR </w:t>
      </w:r>
      <w:r w:rsidRPr="003602FC">
        <w:rPr>
          <w:sz w:val="20"/>
        </w:rPr>
        <w:t>§</w:t>
      </w:r>
      <w:r w:rsidRPr="00D238CC">
        <w:rPr>
          <w:sz w:val="20"/>
        </w:rPr>
        <w:t xml:space="preserve"> 1.5000(a)(1).</w:t>
      </w:r>
    </w:p>
  </w:footnote>
  <w:footnote w:id="5">
    <w:p w:rsidR="00A84571" w:rsidRPr="003D3B9E" w:rsidP="0023198E">
      <w:pPr>
        <w:pStyle w:val="FootnoteText"/>
        <w:tabs>
          <w:tab w:val="left" w:pos="1140"/>
        </w:tabs>
        <w:rPr>
          <w:sz w:val="20"/>
        </w:rPr>
      </w:pPr>
      <w:r w:rsidRPr="003D3B9E">
        <w:rPr>
          <w:rStyle w:val="FootnoteReference"/>
          <w:sz w:val="20"/>
        </w:rPr>
        <w:footnoteRef/>
      </w:r>
      <w:r w:rsidRPr="003D3B9E">
        <w:rPr>
          <w:sz w:val="20"/>
        </w:rPr>
        <w:t xml:space="preserve"> </w:t>
      </w:r>
      <w:r w:rsidR="00CF3755">
        <w:rPr>
          <w:sz w:val="20"/>
        </w:rPr>
        <w:t>Lead Application</w:t>
      </w:r>
      <w:r w:rsidRPr="004E75F5" w:rsidR="004E75F5">
        <w:rPr>
          <w:sz w:val="20"/>
        </w:rPr>
        <w:t xml:space="preserve"> </w:t>
      </w:r>
      <w:r w:rsidR="00830D81">
        <w:rPr>
          <w:sz w:val="20"/>
        </w:rPr>
        <w:t xml:space="preserve">at </w:t>
      </w:r>
      <w:r w:rsidR="004E75F5">
        <w:rPr>
          <w:sz w:val="20"/>
        </w:rPr>
        <w:t>Exh. 1 (Description of the Parties; Description of the Transaction; Public Interest Statement; Administrative Matters)</w:t>
      </w:r>
      <w:r w:rsidR="00E7288D">
        <w:rPr>
          <w:sz w:val="20"/>
        </w:rPr>
        <w:t xml:space="preserve"> at</w:t>
      </w:r>
      <w:r w:rsidR="00C101C9">
        <w:rPr>
          <w:sz w:val="20"/>
        </w:rPr>
        <w:t xml:space="preserve"> </w:t>
      </w:r>
      <w:r w:rsidR="004E6121">
        <w:rPr>
          <w:sz w:val="20"/>
        </w:rPr>
        <w:t>7-</w:t>
      </w:r>
      <w:r w:rsidR="00CF3755">
        <w:rPr>
          <w:sz w:val="20"/>
        </w:rPr>
        <w:t>8</w:t>
      </w:r>
      <w:r w:rsidR="00C5659F">
        <w:rPr>
          <w:sz w:val="20"/>
        </w:rPr>
        <w:t>.</w:t>
      </w:r>
      <w:r w:rsidR="0023198E">
        <w:rPr>
          <w:sz w:val="20"/>
        </w:rPr>
        <w:tab/>
      </w:r>
    </w:p>
  </w:footnote>
  <w:footnote w:id="6">
    <w:p w:rsidR="00C5659F" w:rsidRPr="003D3B9E">
      <w:pPr>
        <w:pStyle w:val="FootnoteText"/>
        <w:rPr>
          <w:sz w:val="20"/>
        </w:rPr>
      </w:pPr>
      <w:r>
        <w:rPr>
          <w:rStyle w:val="FootnoteReference"/>
        </w:rPr>
        <w:footnoteRef/>
      </w:r>
      <w:r>
        <w:t xml:space="preserve"> </w:t>
      </w:r>
      <w:r w:rsidR="00C101C9">
        <w:rPr>
          <w:i/>
          <w:sz w:val="20"/>
        </w:rPr>
        <w:t>Id</w:t>
      </w:r>
      <w:r w:rsidRPr="00750F08" w:rsidR="00C101C9">
        <w:rPr>
          <w:sz w:val="20"/>
        </w:rPr>
        <w:t>.</w:t>
      </w:r>
      <w:r w:rsidR="006B188E">
        <w:rPr>
          <w:sz w:val="20"/>
        </w:rPr>
        <w:t xml:space="preserve"> </w:t>
      </w:r>
      <w:r w:rsidR="00830D81">
        <w:rPr>
          <w:sz w:val="20"/>
        </w:rPr>
        <w:t xml:space="preserve">at </w:t>
      </w:r>
      <w:r w:rsidR="006B3AA7">
        <w:rPr>
          <w:sz w:val="20"/>
        </w:rPr>
        <w:t>Exh. 1</w:t>
      </w:r>
      <w:r w:rsidR="00E7288D">
        <w:rPr>
          <w:sz w:val="20"/>
        </w:rPr>
        <w:t xml:space="preserve"> at</w:t>
      </w:r>
      <w:r w:rsidR="00385A21">
        <w:rPr>
          <w:sz w:val="20"/>
        </w:rPr>
        <w:t xml:space="preserve"> </w:t>
      </w:r>
      <w:r w:rsidR="006B3AA7">
        <w:rPr>
          <w:sz w:val="20"/>
        </w:rPr>
        <w:t>8.</w:t>
      </w:r>
    </w:p>
  </w:footnote>
  <w:footnote w:id="7">
    <w:p w:rsidR="00C5659F">
      <w:pPr>
        <w:pStyle w:val="FootnoteText"/>
      </w:pPr>
      <w:r>
        <w:rPr>
          <w:rStyle w:val="FootnoteReference"/>
        </w:rPr>
        <w:footnoteRef/>
      </w:r>
      <w:r>
        <w:t xml:space="preserve"> </w:t>
      </w:r>
      <w:r w:rsidRPr="004C58D8" w:rsidR="004C58D8">
        <w:rPr>
          <w:i/>
          <w:sz w:val="20"/>
        </w:rPr>
        <w:t>Id</w:t>
      </w:r>
      <w:r w:rsidRPr="004C58D8" w:rsidR="004C58D8">
        <w:rPr>
          <w:sz w:val="20"/>
        </w:rPr>
        <w:t xml:space="preserve">. at </w:t>
      </w:r>
      <w:r w:rsidR="003F61C4">
        <w:rPr>
          <w:sz w:val="20"/>
        </w:rPr>
        <w:t xml:space="preserve">Exh. 1 </w:t>
      </w:r>
      <w:r w:rsidR="00E847FE">
        <w:rPr>
          <w:sz w:val="20"/>
        </w:rPr>
        <w:t>at 7-8</w:t>
      </w:r>
      <w:r w:rsidRPr="004C58D8" w:rsidR="004C58D8">
        <w:rPr>
          <w:sz w:val="20"/>
        </w:rPr>
        <w:t>.</w:t>
      </w:r>
      <w:r w:rsidR="006234DC">
        <w:t xml:space="preserve"> </w:t>
      </w:r>
    </w:p>
  </w:footnote>
  <w:footnote w:id="8">
    <w:p w:rsidR="00203A5A" w:rsidRPr="007427E8" w:rsidP="00203A5A">
      <w:pPr>
        <w:pStyle w:val="FootnoteText"/>
        <w:rPr>
          <w:sz w:val="20"/>
        </w:rPr>
      </w:pPr>
      <w:r w:rsidRPr="007427E8">
        <w:rPr>
          <w:rStyle w:val="FootnoteReference"/>
          <w:sz w:val="20"/>
        </w:rPr>
        <w:footnoteRef/>
      </w:r>
      <w:r w:rsidRPr="007427E8">
        <w:rPr>
          <w:sz w:val="20"/>
        </w:rPr>
        <w:t xml:space="preserve"> </w:t>
      </w:r>
      <w:r w:rsidRPr="007427E8">
        <w:rPr>
          <w:i/>
          <w:sz w:val="20"/>
        </w:rPr>
        <w:t>Id</w:t>
      </w:r>
      <w:r w:rsidR="00D233E8">
        <w:rPr>
          <w:i/>
          <w:sz w:val="20"/>
        </w:rPr>
        <w:t>.</w:t>
      </w:r>
      <w:r w:rsidR="00610717">
        <w:rPr>
          <w:sz w:val="20"/>
        </w:rPr>
        <w:t xml:space="preserve">; Applicants’ Supplement at 5. </w:t>
      </w:r>
    </w:p>
  </w:footnote>
  <w:footnote w:id="9">
    <w:p w:rsidR="00E53CB9" w:rsidRPr="003D3B9E">
      <w:pPr>
        <w:pStyle w:val="FootnoteText"/>
        <w:rPr>
          <w:sz w:val="20"/>
        </w:rPr>
      </w:pPr>
      <w:r>
        <w:rPr>
          <w:rStyle w:val="FootnoteReference"/>
        </w:rPr>
        <w:footnoteRef/>
      </w:r>
      <w:r>
        <w:t xml:space="preserve"> </w:t>
      </w:r>
      <w:r w:rsidRPr="003D3B9E" w:rsidR="00154BAA">
        <w:rPr>
          <w:sz w:val="20"/>
        </w:rPr>
        <w:t xml:space="preserve">Applicants provide </w:t>
      </w:r>
      <w:r w:rsidR="00915AE3">
        <w:rPr>
          <w:sz w:val="20"/>
        </w:rPr>
        <w:t xml:space="preserve">a </w:t>
      </w:r>
      <w:r w:rsidRPr="003D3B9E" w:rsidR="00154BAA">
        <w:rPr>
          <w:sz w:val="20"/>
        </w:rPr>
        <w:t xml:space="preserve">detailed post-consummation ownership </w:t>
      </w:r>
      <w:r w:rsidR="00915AE3">
        <w:rPr>
          <w:sz w:val="20"/>
        </w:rPr>
        <w:t>structure</w:t>
      </w:r>
      <w:r w:rsidR="003D3B9E">
        <w:rPr>
          <w:sz w:val="20"/>
        </w:rPr>
        <w:t xml:space="preserve"> </w:t>
      </w:r>
      <w:r w:rsidRPr="003D3B9E">
        <w:rPr>
          <w:sz w:val="20"/>
        </w:rPr>
        <w:t xml:space="preserve">in the </w:t>
      </w:r>
      <w:r w:rsidRPr="003D3B9E" w:rsidR="00154BAA">
        <w:rPr>
          <w:sz w:val="20"/>
        </w:rPr>
        <w:t xml:space="preserve">Lead </w:t>
      </w:r>
      <w:r w:rsidRPr="003D3B9E">
        <w:rPr>
          <w:sz w:val="20"/>
        </w:rPr>
        <w:t xml:space="preserve">Application.  </w:t>
      </w:r>
      <w:r w:rsidR="005625D0">
        <w:rPr>
          <w:sz w:val="20"/>
        </w:rPr>
        <w:t>Lead Application</w:t>
      </w:r>
      <w:r w:rsidRPr="003D3B9E" w:rsidR="00154BAA">
        <w:rPr>
          <w:sz w:val="20"/>
        </w:rPr>
        <w:t xml:space="preserve"> </w:t>
      </w:r>
      <w:r w:rsidRPr="003D3B9E" w:rsidR="00520CFE">
        <w:rPr>
          <w:sz w:val="20"/>
        </w:rPr>
        <w:t>at 9-18</w:t>
      </w:r>
      <w:r w:rsidR="005625D0">
        <w:rPr>
          <w:sz w:val="20"/>
        </w:rPr>
        <w:t xml:space="preserve"> and</w:t>
      </w:r>
      <w:r w:rsidRPr="003D3B9E" w:rsidR="00520CFE">
        <w:rPr>
          <w:sz w:val="20"/>
        </w:rPr>
        <w:t xml:space="preserve"> </w:t>
      </w:r>
      <w:bookmarkStart w:id="5" w:name="_Hlk13485237"/>
      <w:r w:rsidR="001F15D2">
        <w:rPr>
          <w:sz w:val="20"/>
        </w:rPr>
        <w:t>Exh. 1</w:t>
      </w:r>
      <w:r w:rsidR="00E308A4">
        <w:rPr>
          <w:sz w:val="20"/>
        </w:rPr>
        <w:t xml:space="preserve"> at </w:t>
      </w:r>
      <w:bookmarkEnd w:id="5"/>
      <w:r w:rsidRPr="003D3B9E" w:rsidR="00520CFE">
        <w:rPr>
          <w:sz w:val="20"/>
        </w:rPr>
        <w:t xml:space="preserve">Attach. B </w:t>
      </w:r>
      <w:r w:rsidRPr="003D3B9E" w:rsidR="00154BAA">
        <w:rPr>
          <w:sz w:val="20"/>
        </w:rPr>
        <w:t>(Pre- and Post-Closing Ownership Structure)</w:t>
      </w:r>
      <w:r w:rsidR="003D3B9E">
        <w:rPr>
          <w:sz w:val="20"/>
        </w:rPr>
        <w:t>.</w:t>
      </w:r>
    </w:p>
  </w:footnote>
  <w:footnote w:id="10">
    <w:p w:rsidR="00E56DE7" w:rsidRPr="007427E8" w:rsidP="00E56DE7">
      <w:pPr>
        <w:pStyle w:val="FootnoteText"/>
        <w:rPr>
          <w:sz w:val="20"/>
        </w:rPr>
      </w:pPr>
      <w:r w:rsidRPr="007427E8">
        <w:rPr>
          <w:rStyle w:val="FootnoteReference"/>
          <w:sz w:val="20"/>
        </w:rPr>
        <w:footnoteRef/>
      </w:r>
      <w:r w:rsidRPr="007427E8">
        <w:rPr>
          <w:sz w:val="20"/>
        </w:rPr>
        <w:t xml:space="preserve"> WDC </w:t>
      </w:r>
      <w:r w:rsidR="00E847FE">
        <w:rPr>
          <w:sz w:val="20"/>
        </w:rPr>
        <w:t xml:space="preserve">has </w:t>
      </w:r>
      <w:r w:rsidRPr="007427E8">
        <w:rPr>
          <w:sz w:val="20"/>
        </w:rPr>
        <w:t>invested in various telecommunications entities in the United States and Canada, including Hargray Communications, MetroNet, RCN Telecom Services/Grande Communications/Wave Broadband</w:t>
      </w:r>
      <w:r>
        <w:rPr>
          <w:sz w:val="20"/>
        </w:rPr>
        <w:t>,</w:t>
      </w:r>
      <w:r w:rsidRPr="007427E8">
        <w:rPr>
          <w:sz w:val="20"/>
        </w:rPr>
        <w:t xml:space="preserve"> and Xplornet Communications.  Applicants state that there will be </w:t>
      </w:r>
      <w:r>
        <w:rPr>
          <w:sz w:val="20"/>
        </w:rPr>
        <w:t xml:space="preserve">an </w:t>
      </w:r>
      <w:r w:rsidRPr="007427E8">
        <w:rPr>
          <w:sz w:val="20"/>
        </w:rPr>
        <w:t xml:space="preserve">approximate </w:t>
      </w:r>
      <w:r w:rsidR="00E4619A">
        <w:rPr>
          <w:sz w:val="20"/>
        </w:rPr>
        <w:t>9%</w:t>
      </w:r>
      <w:r w:rsidRPr="007427E8">
        <w:rPr>
          <w:sz w:val="20"/>
        </w:rPr>
        <w:t xml:space="preserve"> overlap between the networks of RCN/Grande/Wave and Northwest Fiber.  Applicants </w:t>
      </w:r>
      <w:r w:rsidR="00E847FE">
        <w:rPr>
          <w:sz w:val="20"/>
        </w:rPr>
        <w:t xml:space="preserve">further </w:t>
      </w:r>
      <w:r w:rsidRPr="007427E8">
        <w:rPr>
          <w:sz w:val="20"/>
        </w:rPr>
        <w:t>state that other than RCN/Grande/Wave, there are no overlaps between any of WDC’s affiliates and Northwest Fiber.  Lead Application at 3</w:t>
      </w:r>
      <w:r w:rsidR="00E847FE">
        <w:rPr>
          <w:sz w:val="20"/>
        </w:rPr>
        <w:t>,</w:t>
      </w:r>
      <w:r w:rsidRPr="007427E8">
        <w:rPr>
          <w:sz w:val="20"/>
        </w:rPr>
        <w:t xml:space="preserve"> n.4</w:t>
      </w:r>
      <w:r w:rsidR="00915AE3">
        <w:rPr>
          <w:sz w:val="20"/>
        </w:rPr>
        <w:t xml:space="preserve"> and Exh. 2 (Investor Investments in Entities Subject to FCC Jurisdiction)</w:t>
      </w:r>
      <w:r w:rsidR="00E308A4">
        <w:rPr>
          <w:sz w:val="20"/>
        </w:rPr>
        <w:t xml:space="preserve"> at </w:t>
      </w:r>
      <w:r w:rsidR="00915AE3">
        <w:rPr>
          <w:sz w:val="20"/>
        </w:rPr>
        <w:t>6-7</w:t>
      </w:r>
      <w:r w:rsidRPr="007427E8">
        <w:rPr>
          <w:sz w:val="20"/>
        </w:rPr>
        <w:t xml:space="preserve">.  </w:t>
      </w:r>
    </w:p>
  </w:footnote>
  <w:footnote w:id="11">
    <w:p w:rsidR="00F81920" w:rsidRPr="003D3B9E">
      <w:pPr>
        <w:pStyle w:val="FootnoteText"/>
        <w:rPr>
          <w:sz w:val="20"/>
        </w:rPr>
      </w:pPr>
      <w:r w:rsidRPr="003D3B9E">
        <w:rPr>
          <w:rStyle w:val="FootnoteReference"/>
          <w:sz w:val="20"/>
        </w:rPr>
        <w:footnoteRef/>
      </w:r>
      <w:r w:rsidRPr="00665665" w:rsidR="009A532C">
        <w:rPr>
          <w:sz w:val="20"/>
        </w:rPr>
        <w:t xml:space="preserve"> </w:t>
      </w:r>
      <w:r w:rsidR="00830D81">
        <w:rPr>
          <w:sz w:val="20"/>
        </w:rPr>
        <w:t xml:space="preserve">Lead Application at </w:t>
      </w:r>
      <w:r w:rsidR="0056613C">
        <w:rPr>
          <w:sz w:val="20"/>
        </w:rPr>
        <w:t>Exh. 1</w:t>
      </w:r>
      <w:r w:rsidR="007D75A7">
        <w:rPr>
          <w:sz w:val="20"/>
        </w:rPr>
        <w:t xml:space="preserve"> at </w:t>
      </w:r>
      <w:r w:rsidR="0056613C">
        <w:rPr>
          <w:sz w:val="20"/>
        </w:rPr>
        <w:t xml:space="preserve">6.  </w:t>
      </w:r>
      <w:r w:rsidRPr="0056613C" w:rsidR="00641810">
        <w:rPr>
          <w:sz w:val="20"/>
        </w:rPr>
        <w:t>Searchlight</w:t>
      </w:r>
      <w:r w:rsidR="00641810">
        <w:rPr>
          <w:sz w:val="20"/>
        </w:rPr>
        <w:t xml:space="preserve"> Capital Partners, L.P. is controlled by Searchlight Capital Partners, LLC</w:t>
      </w:r>
      <w:r w:rsidR="0056613C">
        <w:rPr>
          <w:sz w:val="20"/>
        </w:rPr>
        <w:t>, a Delaware limited liability company and the ultimate controlling entity for the Searchlight Funds</w:t>
      </w:r>
      <w:r w:rsidR="00641810">
        <w:rPr>
          <w:sz w:val="20"/>
        </w:rPr>
        <w:t>.  Searchlight Capital Partners, L.P. and Searchlight Capital Partners, LLC, which are fund managers, will have no equity or voting interests in N</w:t>
      </w:r>
      <w:r w:rsidR="00260145">
        <w:rPr>
          <w:sz w:val="20"/>
        </w:rPr>
        <w:t>o</w:t>
      </w:r>
      <w:r w:rsidR="00641810">
        <w:rPr>
          <w:sz w:val="20"/>
        </w:rPr>
        <w:t>r</w:t>
      </w:r>
      <w:r w:rsidR="00260145">
        <w:rPr>
          <w:sz w:val="20"/>
        </w:rPr>
        <w:t>th</w:t>
      </w:r>
      <w:r w:rsidR="00641810">
        <w:rPr>
          <w:sz w:val="20"/>
        </w:rPr>
        <w:t xml:space="preserve">west Fiber.  </w:t>
      </w:r>
      <w:r w:rsidR="00830D81">
        <w:rPr>
          <w:i/>
          <w:sz w:val="20"/>
        </w:rPr>
        <w:t>Id</w:t>
      </w:r>
      <w:r w:rsidRPr="00750F08" w:rsidR="00830D81">
        <w:rPr>
          <w:sz w:val="20"/>
        </w:rPr>
        <w:t>.</w:t>
      </w:r>
      <w:r w:rsidRPr="00830D81">
        <w:rPr>
          <w:sz w:val="20"/>
        </w:rPr>
        <w:t xml:space="preserve"> </w:t>
      </w:r>
      <w:r w:rsidRPr="003D3B9E">
        <w:rPr>
          <w:sz w:val="20"/>
        </w:rPr>
        <w:t xml:space="preserve">at </w:t>
      </w:r>
      <w:r w:rsidRPr="001F15D2" w:rsidR="00641810">
        <w:rPr>
          <w:sz w:val="20"/>
        </w:rPr>
        <w:t>13</w:t>
      </w:r>
      <w:r w:rsidR="002172C3">
        <w:rPr>
          <w:sz w:val="20"/>
        </w:rPr>
        <w:t>,</w:t>
      </w:r>
      <w:r w:rsidR="00F4126D">
        <w:rPr>
          <w:sz w:val="20"/>
        </w:rPr>
        <w:t xml:space="preserve"> </w:t>
      </w:r>
      <w:r w:rsidR="002172C3">
        <w:rPr>
          <w:sz w:val="20"/>
        </w:rPr>
        <w:t>16</w:t>
      </w:r>
      <w:r w:rsidRPr="003D3B9E">
        <w:rPr>
          <w:sz w:val="20"/>
        </w:rPr>
        <w:t xml:space="preserve">. </w:t>
      </w:r>
    </w:p>
  </w:footnote>
  <w:footnote w:id="12">
    <w:p w:rsidR="009A654F" w:rsidRPr="003D3B9E">
      <w:pPr>
        <w:pStyle w:val="FootnoteText"/>
        <w:rPr>
          <w:sz w:val="20"/>
        </w:rPr>
      </w:pPr>
      <w:r w:rsidRPr="003D3B9E">
        <w:rPr>
          <w:sz w:val="20"/>
        </w:rPr>
        <w:t xml:space="preserve"> </w:t>
      </w:r>
      <w:r w:rsidRPr="003D3B9E">
        <w:rPr>
          <w:rStyle w:val="FootnoteReference"/>
          <w:sz w:val="20"/>
        </w:rPr>
        <w:footnoteRef/>
      </w:r>
      <w:r w:rsidRPr="003D3B9E">
        <w:rPr>
          <w:sz w:val="20"/>
        </w:rPr>
        <w:t xml:space="preserve"> </w:t>
      </w:r>
      <w:r w:rsidR="007F74E3">
        <w:rPr>
          <w:sz w:val="20"/>
        </w:rPr>
        <w:t>Lead Application</w:t>
      </w:r>
      <w:r w:rsidRPr="003D3B9E" w:rsidR="00520CFE">
        <w:rPr>
          <w:sz w:val="20"/>
        </w:rPr>
        <w:t xml:space="preserve"> at 2.  </w:t>
      </w:r>
    </w:p>
  </w:footnote>
  <w:footnote w:id="13">
    <w:p w:rsidR="00E85E4C" w:rsidRPr="007427E8" w:rsidP="00E85E4C">
      <w:pPr>
        <w:pStyle w:val="FootnoteText"/>
        <w:rPr>
          <w:sz w:val="20"/>
        </w:rPr>
      </w:pPr>
      <w:r w:rsidRPr="007427E8">
        <w:rPr>
          <w:rStyle w:val="FootnoteReference"/>
          <w:sz w:val="20"/>
        </w:rPr>
        <w:footnoteRef/>
      </w:r>
      <w:r w:rsidRPr="007427E8">
        <w:rPr>
          <w:sz w:val="20"/>
        </w:rPr>
        <w:t xml:space="preserve"> The following Canadian pension funds will hold a </w:t>
      </w:r>
      <w:r w:rsidR="003A15D6">
        <w:rPr>
          <w:sz w:val="20"/>
        </w:rPr>
        <w:t>10</w:t>
      </w:r>
      <w:r w:rsidR="00E4619A">
        <w:rPr>
          <w:sz w:val="20"/>
        </w:rPr>
        <w:t>%</w:t>
      </w:r>
      <w:r w:rsidRPr="007427E8">
        <w:rPr>
          <w:sz w:val="20"/>
        </w:rPr>
        <w:t xml:space="preserve"> or greater interest in Searchlight through co-investments in certain Searchlight funds: </w:t>
      </w:r>
      <w:r w:rsidR="00E847FE">
        <w:rPr>
          <w:sz w:val="20"/>
        </w:rPr>
        <w:t xml:space="preserve"> </w:t>
      </w:r>
      <w:r w:rsidRPr="007427E8">
        <w:rPr>
          <w:sz w:val="20"/>
        </w:rPr>
        <w:t>Canada Pension Plan Investment Board (</w:t>
      </w:r>
      <w:r>
        <w:rPr>
          <w:sz w:val="20"/>
        </w:rPr>
        <w:t>19</w:t>
      </w:r>
      <w:r w:rsidR="00E4619A">
        <w:rPr>
          <w:sz w:val="20"/>
        </w:rPr>
        <w:t>%</w:t>
      </w:r>
      <w:r w:rsidRPr="007427E8">
        <w:rPr>
          <w:sz w:val="20"/>
        </w:rPr>
        <w:t xml:space="preserve"> </w:t>
      </w:r>
      <w:r w:rsidR="001F15D2">
        <w:rPr>
          <w:sz w:val="20"/>
        </w:rPr>
        <w:t xml:space="preserve">indirect </w:t>
      </w:r>
      <w:r w:rsidRPr="007427E8">
        <w:rPr>
          <w:sz w:val="20"/>
        </w:rPr>
        <w:t>interest); British Columbia Investment Management Corporation (</w:t>
      </w:r>
      <w:r>
        <w:rPr>
          <w:sz w:val="20"/>
        </w:rPr>
        <w:t>18</w:t>
      </w:r>
      <w:r w:rsidR="00E4619A">
        <w:rPr>
          <w:sz w:val="20"/>
        </w:rPr>
        <w:t>%</w:t>
      </w:r>
      <w:r w:rsidR="001F15D2">
        <w:rPr>
          <w:sz w:val="20"/>
        </w:rPr>
        <w:t xml:space="preserve"> indirect</w:t>
      </w:r>
      <w:r w:rsidRPr="007427E8">
        <w:rPr>
          <w:sz w:val="20"/>
        </w:rPr>
        <w:t xml:space="preserve"> interest); and Public Sector Pension Investment Board (</w:t>
      </w:r>
      <w:r>
        <w:rPr>
          <w:sz w:val="20"/>
        </w:rPr>
        <w:t>30</w:t>
      </w:r>
      <w:r w:rsidR="00E4619A">
        <w:rPr>
          <w:sz w:val="20"/>
        </w:rPr>
        <w:t>%</w:t>
      </w:r>
      <w:r w:rsidR="001F15D2">
        <w:rPr>
          <w:sz w:val="20"/>
        </w:rPr>
        <w:t xml:space="preserve"> indirect </w:t>
      </w:r>
      <w:r w:rsidRPr="007427E8">
        <w:rPr>
          <w:sz w:val="20"/>
        </w:rPr>
        <w:t xml:space="preserve">interest).  Each of the pension funds will have the right to appoint one member of Northwest Fiber’s board of directors, </w:t>
      </w:r>
      <w:r w:rsidR="003A15D6">
        <w:rPr>
          <w:sz w:val="20"/>
        </w:rPr>
        <w:t xml:space="preserve">and </w:t>
      </w:r>
      <w:r w:rsidRPr="007427E8">
        <w:rPr>
          <w:sz w:val="20"/>
        </w:rPr>
        <w:t xml:space="preserve">they will not exercise control over the Transferring Companies.  </w:t>
      </w:r>
      <w:r w:rsidR="00EE3222">
        <w:rPr>
          <w:sz w:val="20"/>
        </w:rPr>
        <w:t>Lead Application</w:t>
      </w:r>
      <w:r w:rsidRPr="007427E8">
        <w:rPr>
          <w:sz w:val="20"/>
        </w:rPr>
        <w:t xml:space="preserve"> at 3-4. </w:t>
      </w:r>
      <w:r w:rsidR="00915AE3">
        <w:rPr>
          <w:sz w:val="20"/>
        </w:rPr>
        <w:t xml:space="preserve"> </w:t>
      </w:r>
      <w:r w:rsidR="007C7DB9">
        <w:rPr>
          <w:sz w:val="20"/>
        </w:rPr>
        <w:t xml:space="preserve">Applicants state that </w:t>
      </w:r>
      <w:r w:rsidR="00C765BC">
        <w:rPr>
          <w:sz w:val="20"/>
        </w:rPr>
        <w:t xml:space="preserve">Searchlight-affiliated funds and certain of these pension funds invest in several U.S.-based telecommunication entities, none of which provide service in the areas that Northwest Fiber seeks to acquire from Frontier.  </w:t>
      </w:r>
      <w:r w:rsidR="00E4619A">
        <w:rPr>
          <w:i/>
          <w:sz w:val="20"/>
        </w:rPr>
        <w:t>Id</w:t>
      </w:r>
      <w:r w:rsidRPr="00750F08" w:rsidR="00EE3222">
        <w:rPr>
          <w:sz w:val="20"/>
        </w:rPr>
        <w:t>. at</w:t>
      </w:r>
      <w:r w:rsidR="00C765BC">
        <w:rPr>
          <w:sz w:val="20"/>
        </w:rPr>
        <w:t xml:space="preserve"> Exh. 2</w:t>
      </w:r>
      <w:r w:rsidR="00255C77">
        <w:rPr>
          <w:sz w:val="20"/>
        </w:rPr>
        <w:t xml:space="preserve"> at</w:t>
      </w:r>
      <w:r w:rsidR="00EE3222">
        <w:rPr>
          <w:sz w:val="20"/>
        </w:rPr>
        <w:t xml:space="preserve"> </w:t>
      </w:r>
      <w:r w:rsidR="00C765BC">
        <w:rPr>
          <w:sz w:val="20"/>
        </w:rPr>
        <w:t>1-</w:t>
      </w:r>
      <w:r w:rsidR="00255C77">
        <w:rPr>
          <w:sz w:val="20"/>
        </w:rPr>
        <w:t>7</w:t>
      </w:r>
      <w:r w:rsidR="00C765BC">
        <w:rPr>
          <w:sz w:val="20"/>
        </w:rPr>
        <w:t xml:space="preserve">. </w:t>
      </w:r>
      <w:r w:rsidR="00610717">
        <w:rPr>
          <w:sz w:val="20"/>
        </w:rPr>
        <w:t xml:space="preserve"> Applicants further state that the Board would have a total of nine members, with Searchlight Capital Partners II GP, L.P., the entity that controls the Searchlight funds, holding the right to appoint five directors, two of whom must be independent directors.  WDC would have the right to name the remaining </w:t>
      </w:r>
      <w:r w:rsidR="001065C4">
        <w:rPr>
          <w:sz w:val="20"/>
        </w:rPr>
        <w:t>director</w:t>
      </w:r>
      <w:r w:rsidR="00610717">
        <w:rPr>
          <w:sz w:val="20"/>
        </w:rPr>
        <w:t xml:space="preserve">.  Applicants’ Supplement at 3-4. </w:t>
      </w:r>
    </w:p>
  </w:footnote>
  <w:footnote w:id="14">
    <w:p w:rsidR="009A654F" w:rsidRPr="003D3B9E">
      <w:pPr>
        <w:pStyle w:val="FootnoteText"/>
        <w:rPr>
          <w:sz w:val="20"/>
        </w:rPr>
      </w:pPr>
      <w:r>
        <w:rPr>
          <w:rStyle w:val="FootnoteReference"/>
        </w:rPr>
        <w:footnoteRef/>
      </w:r>
      <w:r w:rsidR="00C765BC">
        <w:t xml:space="preserve"> </w:t>
      </w:r>
      <w:bookmarkStart w:id="7" w:name="_Hlk14431027"/>
      <w:r w:rsidR="00936E8E">
        <w:rPr>
          <w:sz w:val="20"/>
        </w:rPr>
        <w:t>Lead Application at</w:t>
      </w:r>
      <w:r w:rsidR="00440A8E">
        <w:rPr>
          <w:sz w:val="20"/>
        </w:rPr>
        <w:t xml:space="preserve"> Exh. 1</w:t>
      </w:r>
      <w:r w:rsidR="00450CD3">
        <w:rPr>
          <w:sz w:val="20"/>
        </w:rPr>
        <w:t xml:space="preserve"> at</w:t>
      </w:r>
      <w:r w:rsidR="00440A8E">
        <w:rPr>
          <w:sz w:val="20"/>
        </w:rPr>
        <w:t xml:space="preserve"> 6</w:t>
      </w:r>
      <w:bookmarkEnd w:id="7"/>
      <w:r w:rsidR="00440A8E">
        <w:rPr>
          <w:sz w:val="20"/>
        </w:rPr>
        <w:t xml:space="preserve">.  </w:t>
      </w:r>
      <w:r w:rsidRPr="007427E8" w:rsidR="00440A8E">
        <w:rPr>
          <w:sz w:val="20"/>
        </w:rPr>
        <w:t xml:space="preserve">Mr. Weed holds less than a </w:t>
      </w:r>
      <w:r w:rsidR="00E4619A">
        <w:rPr>
          <w:sz w:val="20"/>
        </w:rPr>
        <w:t>2%</w:t>
      </w:r>
      <w:r w:rsidRPr="007427E8" w:rsidR="00440A8E">
        <w:rPr>
          <w:sz w:val="20"/>
        </w:rPr>
        <w:t xml:space="preserve"> interest in RCN/Grande/Wave, </w:t>
      </w:r>
      <w:r w:rsidR="00440A8E">
        <w:rPr>
          <w:sz w:val="20"/>
        </w:rPr>
        <w:t xml:space="preserve">and </w:t>
      </w:r>
      <w:r w:rsidRPr="007427E8" w:rsidR="00440A8E">
        <w:rPr>
          <w:sz w:val="20"/>
        </w:rPr>
        <w:t>he does not hold a management position and ha</w:t>
      </w:r>
      <w:r w:rsidR="00440A8E">
        <w:rPr>
          <w:sz w:val="20"/>
        </w:rPr>
        <w:t>s</w:t>
      </w:r>
      <w:r w:rsidRPr="007427E8" w:rsidR="00440A8E">
        <w:rPr>
          <w:sz w:val="20"/>
        </w:rPr>
        <w:t xml:space="preserve"> resigned from the board of directors of RCN Corporation.  Mr</w:t>
      </w:r>
      <w:r w:rsidR="00440A8E">
        <w:rPr>
          <w:sz w:val="20"/>
        </w:rPr>
        <w:t>.</w:t>
      </w:r>
      <w:r w:rsidRPr="007427E8" w:rsidR="00440A8E">
        <w:rPr>
          <w:sz w:val="20"/>
        </w:rPr>
        <w:t xml:space="preserve"> Weed has less than a 10</w:t>
      </w:r>
      <w:r w:rsidR="00E4619A">
        <w:rPr>
          <w:sz w:val="20"/>
        </w:rPr>
        <w:t>%</w:t>
      </w:r>
      <w:r w:rsidRPr="007427E8" w:rsidR="00440A8E">
        <w:rPr>
          <w:sz w:val="20"/>
        </w:rPr>
        <w:t xml:space="preserve"> interest in Hargray Communications and is a member of the board of directors. </w:t>
      </w:r>
      <w:r w:rsidR="00E1712B">
        <w:rPr>
          <w:sz w:val="20"/>
        </w:rPr>
        <w:t xml:space="preserve"> </w:t>
      </w:r>
      <w:r w:rsidRPr="003D3B9E" w:rsidR="00DB0D77">
        <w:rPr>
          <w:i/>
          <w:sz w:val="20"/>
        </w:rPr>
        <w:t>Id</w:t>
      </w:r>
      <w:r w:rsidRPr="003D3B9E" w:rsidR="00DB0D77">
        <w:rPr>
          <w:sz w:val="20"/>
        </w:rPr>
        <w:t>.</w:t>
      </w:r>
      <w:r w:rsidR="00DB0D77">
        <w:rPr>
          <w:sz w:val="20"/>
        </w:rPr>
        <w:t xml:space="preserve"> at </w:t>
      </w:r>
      <w:r w:rsidR="0045340B">
        <w:rPr>
          <w:sz w:val="20"/>
        </w:rPr>
        <w:t>Exh. 1</w:t>
      </w:r>
      <w:r w:rsidR="00450CD3">
        <w:rPr>
          <w:sz w:val="20"/>
        </w:rPr>
        <w:t xml:space="preserve"> at</w:t>
      </w:r>
      <w:r w:rsidR="0045340B">
        <w:rPr>
          <w:sz w:val="20"/>
        </w:rPr>
        <w:t xml:space="preserve"> </w:t>
      </w:r>
      <w:r w:rsidR="00DB0D77">
        <w:rPr>
          <w:sz w:val="20"/>
        </w:rPr>
        <w:t>6 n.10.</w:t>
      </w:r>
    </w:p>
  </w:footnote>
  <w:footnote w:id="15">
    <w:p w:rsidR="005133AF" w:rsidRPr="003D3B9E" w:rsidP="005133AF">
      <w:pPr>
        <w:pStyle w:val="FootnoteText"/>
        <w:rPr>
          <w:sz w:val="20"/>
        </w:rPr>
      </w:pPr>
      <w:r w:rsidRPr="003D3B9E">
        <w:rPr>
          <w:rStyle w:val="FootnoteReference"/>
          <w:sz w:val="20"/>
        </w:rPr>
        <w:footnoteRef/>
      </w:r>
      <w:r w:rsidRPr="003D3B9E">
        <w:rPr>
          <w:sz w:val="20"/>
        </w:rPr>
        <w:t xml:space="preserve"> </w:t>
      </w:r>
      <w:r w:rsidRPr="003D3B9E" w:rsidR="001F15D2">
        <w:rPr>
          <w:i/>
          <w:sz w:val="20"/>
        </w:rPr>
        <w:t>Id</w:t>
      </w:r>
      <w:r w:rsidR="001F15D2">
        <w:rPr>
          <w:sz w:val="20"/>
        </w:rPr>
        <w:t>.</w:t>
      </w:r>
      <w:r w:rsidRPr="003D3B9E">
        <w:rPr>
          <w:sz w:val="20"/>
        </w:rPr>
        <w:t xml:space="preserve"> </w:t>
      </w:r>
      <w:r w:rsidR="001447C3">
        <w:rPr>
          <w:sz w:val="20"/>
        </w:rPr>
        <w:t xml:space="preserve">at </w:t>
      </w:r>
      <w:r w:rsidR="002D3C2C">
        <w:rPr>
          <w:sz w:val="20"/>
        </w:rPr>
        <w:t>Exh. 1</w:t>
      </w:r>
      <w:r w:rsidR="00450CD3">
        <w:rPr>
          <w:sz w:val="20"/>
        </w:rPr>
        <w:t xml:space="preserve"> at </w:t>
      </w:r>
      <w:r w:rsidR="002D3C2C">
        <w:rPr>
          <w:sz w:val="20"/>
        </w:rPr>
        <w:t>2</w:t>
      </w:r>
      <w:r w:rsidRPr="003D3B9E">
        <w:rPr>
          <w:sz w:val="20"/>
        </w:rPr>
        <w:t xml:space="preserve">. </w:t>
      </w:r>
    </w:p>
  </w:footnote>
  <w:footnote w:id="16">
    <w:p w:rsidR="00E9648F">
      <w:pPr>
        <w:pStyle w:val="FootnoteText"/>
      </w:pPr>
      <w:r>
        <w:rPr>
          <w:rStyle w:val="FootnoteReference"/>
        </w:rPr>
        <w:footnoteRef/>
      </w:r>
      <w:r>
        <w:t xml:space="preserve"> </w:t>
      </w:r>
      <w:r w:rsidRPr="00E9648F">
        <w:rPr>
          <w:i/>
          <w:sz w:val="20"/>
        </w:rPr>
        <w:t>Id</w:t>
      </w:r>
      <w:r w:rsidRPr="00E9648F">
        <w:rPr>
          <w:sz w:val="20"/>
        </w:rPr>
        <w:t>.</w:t>
      </w:r>
      <w:r w:rsidR="004168DC">
        <w:rPr>
          <w:sz w:val="20"/>
        </w:rPr>
        <w:t xml:space="preserve"> at Exh. 1</w:t>
      </w:r>
      <w:r w:rsidR="00957A08">
        <w:rPr>
          <w:sz w:val="20"/>
        </w:rPr>
        <w:t xml:space="preserve"> at </w:t>
      </w:r>
      <w:r w:rsidRPr="00E9648F">
        <w:rPr>
          <w:sz w:val="20"/>
        </w:rPr>
        <w:t>8.</w:t>
      </w:r>
    </w:p>
  </w:footnote>
  <w:footnote w:id="17">
    <w:p w:rsidR="00E9648F">
      <w:pPr>
        <w:pStyle w:val="FootnoteText"/>
      </w:pPr>
      <w:r>
        <w:rPr>
          <w:rStyle w:val="FootnoteReference"/>
        </w:rPr>
        <w:footnoteRef/>
      </w:r>
      <w:r>
        <w:t xml:space="preserve"> </w:t>
      </w:r>
      <w:r w:rsidRPr="00E9648F">
        <w:rPr>
          <w:i/>
          <w:sz w:val="20"/>
        </w:rPr>
        <w:t>Id</w:t>
      </w:r>
      <w:r w:rsidRPr="00E9648F">
        <w:rPr>
          <w:sz w:val="20"/>
        </w:rPr>
        <w:t>.</w:t>
      </w:r>
      <w:r w:rsidR="004168DC">
        <w:rPr>
          <w:sz w:val="20"/>
        </w:rPr>
        <w:t xml:space="preserve"> at Exh.</w:t>
      </w:r>
      <w:r w:rsidR="00122C77">
        <w:rPr>
          <w:sz w:val="20"/>
        </w:rPr>
        <w:t xml:space="preserve"> 1</w:t>
      </w:r>
      <w:r w:rsidR="00957A08">
        <w:rPr>
          <w:sz w:val="20"/>
        </w:rPr>
        <w:t xml:space="preserve"> at </w:t>
      </w:r>
      <w:r w:rsidRPr="00E9648F">
        <w:rPr>
          <w:sz w:val="20"/>
        </w:rPr>
        <w:t>9.</w:t>
      </w:r>
    </w:p>
  </w:footnote>
  <w:footnote w:id="18">
    <w:p w:rsidR="00E9648F">
      <w:pPr>
        <w:pStyle w:val="FootnoteText"/>
      </w:pPr>
      <w:r>
        <w:rPr>
          <w:rStyle w:val="FootnoteReference"/>
        </w:rPr>
        <w:footnoteRef/>
      </w:r>
      <w:r>
        <w:t xml:space="preserve"> </w:t>
      </w:r>
      <w:r w:rsidRPr="00E9648F">
        <w:rPr>
          <w:i/>
          <w:sz w:val="20"/>
        </w:rPr>
        <w:t>Id</w:t>
      </w:r>
      <w:r w:rsidRPr="00E9648F">
        <w:rPr>
          <w:sz w:val="20"/>
        </w:rPr>
        <w:t>.</w:t>
      </w:r>
    </w:p>
  </w:footnote>
  <w:footnote w:id="19">
    <w:p w:rsidR="00E9648F" w:rsidRPr="00E9648F">
      <w:pPr>
        <w:pStyle w:val="FootnoteText"/>
        <w:rPr>
          <w:sz w:val="20"/>
        </w:rPr>
      </w:pPr>
      <w:r>
        <w:rPr>
          <w:rStyle w:val="FootnoteReference"/>
        </w:rPr>
        <w:footnoteRef/>
      </w:r>
      <w:r>
        <w:t xml:space="preserve"> </w:t>
      </w:r>
      <w:r w:rsidRPr="00E9648F">
        <w:rPr>
          <w:i/>
          <w:sz w:val="20"/>
        </w:rPr>
        <w:t>Id</w:t>
      </w:r>
      <w:r w:rsidRPr="00E9648F">
        <w:rPr>
          <w:sz w:val="20"/>
        </w:rPr>
        <w:t>.</w:t>
      </w:r>
      <w:r w:rsidR="004168DC">
        <w:rPr>
          <w:sz w:val="20"/>
        </w:rPr>
        <w:t xml:space="preserve"> at Exh. 1</w:t>
      </w:r>
      <w:r w:rsidR="00760761">
        <w:rPr>
          <w:sz w:val="20"/>
        </w:rPr>
        <w:t xml:space="preserve"> at </w:t>
      </w:r>
      <w:r w:rsidR="00D55044">
        <w:rPr>
          <w:sz w:val="20"/>
        </w:rPr>
        <w:t>1</w:t>
      </w:r>
      <w:r w:rsidRPr="00E9648F">
        <w:rPr>
          <w:sz w:val="20"/>
        </w:rPr>
        <w:t>.</w:t>
      </w:r>
    </w:p>
  </w:footnote>
  <w:footnote w:id="20">
    <w:p w:rsidR="00520CFE" w:rsidRPr="003D3B9E">
      <w:pPr>
        <w:pStyle w:val="FootnoteText"/>
        <w:rPr>
          <w:sz w:val="20"/>
        </w:rPr>
      </w:pPr>
      <w:r w:rsidRPr="003D3B9E">
        <w:rPr>
          <w:rStyle w:val="FootnoteReference"/>
          <w:sz w:val="20"/>
        </w:rPr>
        <w:footnoteRef/>
      </w:r>
      <w:r w:rsidRPr="003D3B9E">
        <w:rPr>
          <w:sz w:val="20"/>
        </w:rPr>
        <w:t xml:space="preserve"> </w:t>
      </w:r>
      <w:r w:rsidRPr="001F15D2" w:rsidR="001F15D2">
        <w:rPr>
          <w:i/>
          <w:sz w:val="20"/>
        </w:rPr>
        <w:t>Id</w:t>
      </w:r>
      <w:r w:rsidR="001F15D2">
        <w:rPr>
          <w:sz w:val="20"/>
        </w:rPr>
        <w:t>.</w:t>
      </w:r>
      <w:r w:rsidR="004168DC">
        <w:rPr>
          <w:sz w:val="20"/>
        </w:rPr>
        <w:t xml:space="preserve"> at Exh. 1</w:t>
      </w:r>
      <w:r w:rsidR="00760761">
        <w:rPr>
          <w:sz w:val="20"/>
        </w:rPr>
        <w:t xml:space="preserve"> at </w:t>
      </w:r>
      <w:r w:rsidR="00235E4B">
        <w:rPr>
          <w:sz w:val="20"/>
        </w:rPr>
        <w:t>3-5, 9-17</w:t>
      </w:r>
      <w:r w:rsidRPr="003D3B9E" w:rsidR="00F7738F">
        <w:rPr>
          <w:sz w:val="20"/>
        </w:rPr>
        <w:t>.</w:t>
      </w:r>
    </w:p>
  </w:footnote>
  <w:footnote w:id="21">
    <w:p w:rsidR="00F7738F" w:rsidRPr="003D3B9E">
      <w:pPr>
        <w:pStyle w:val="FootnoteText"/>
        <w:rPr>
          <w:sz w:val="20"/>
        </w:rPr>
      </w:pPr>
      <w:r w:rsidRPr="003D3B9E">
        <w:rPr>
          <w:rStyle w:val="FootnoteReference"/>
          <w:sz w:val="20"/>
        </w:rPr>
        <w:footnoteRef/>
      </w:r>
      <w:r w:rsidRPr="003D3B9E">
        <w:rPr>
          <w:sz w:val="20"/>
        </w:rPr>
        <w:t xml:space="preserve"> </w:t>
      </w:r>
      <w:r w:rsidRPr="003D3B9E">
        <w:rPr>
          <w:i/>
          <w:sz w:val="20"/>
        </w:rPr>
        <w:t>Id</w:t>
      </w:r>
      <w:r w:rsidR="0011491B">
        <w:rPr>
          <w:i/>
          <w:sz w:val="20"/>
        </w:rPr>
        <w:t>.</w:t>
      </w:r>
      <w:r w:rsidR="004168DC">
        <w:rPr>
          <w:i/>
          <w:sz w:val="20"/>
        </w:rPr>
        <w:t xml:space="preserve"> </w:t>
      </w:r>
      <w:r w:rsidRPr="00750F08" w:rsidR="004168DC">
        <w:rPr>
          <w:sz w:val="20"/>
        </w:rPr>
        <w:t>at Exh. 1</w:t>
      </w:r>
      <w:r w:rsidR="00760761">
        <w:rPr>
          <w:sz w:val="20"/>
        </w:rPr>
        <w:t xml:space="preserve"> at </w:t>
      </w:r>
      <w:r w:rsidRPr="003D3B9E" w:rsidR="00840583">
        <w:rPr>
          <w:sz w:val="20"/>
        </w:rPr>
        <w:t>1</w:t>
      </w:r>
      <w:r w:rsidR="002B1162">
        <w:rPr>
          <w:sz w:val="20"/>
        </w:rPr>
        <w:t>1</w:t>
      </w:r>
      <w:r w:rsidRPr="003D3B9E">
        <w:rPr>
          <w:sz w:val="20"/>
        </w:rPr>
        <w:t>.</w:t>
      </w:r>
    </w:p>
  </w:footnote>
  <w:footnote w:id="22">
    <w:p w:rsidR="00840583" w:rsidRPr="003D3B9E">
      <w:pPr>
        <w:pStyle w:val="FootnoteText"/>
        <w:rPr>
          <w:sz w:val="20"/>
        </w:rPr>
      </w:pPr>
      <w:r w:rsidRPr="003D3B9E">
        <w:rPr>
          <w:rStyle w:val="FootnoteReference"/>
          <w:sz w:val="20"/>
        </w:rPr>
        <w:footnoteRef/>
      </w:r>
      <w:r w:rsidRPr="003D3B9E">
        <w:rPr>
          <w:sz w:val="20"/>
        </w:rPr>
        <w:t xml:space="preserve"> </w:t>
      </w:r>
      <w:r w:rsidRPr="003D3B9E">
        <w:rPr>
          <w:i/>
          <w:sz w:val="20"/>
        </w:rPr>
        <w:t>Id</w:t>
      </w:r>
      <w:r w:rsidRPr="003D3B9E" w:rsidR="00B2279C">
        <w:rPr>
          <w:sz w:val="20"/>
        </w:rPr>
        <w:t>.</w:t>
      </w:r>
    </w:p>
  </w:footnote>
  <w:footnote w:id="23">
    <w:p w:rsidR="00B2279C" w:rsidRPr="003D3B9E">
      <w:pPr>
        <w:pStyle w:val="FootnoteText"/>
        <w:rPr>
          <w:sz w:val="20"/>
        </w:rPr>
      </w:pPr>
      <w:r w:rsidRPr="003D3B9E">
        <w:rPr>
          <w:rStyle w:val="FootnoteReference"/>
          <w:sz w:val="20"/>
        </w:rPr>
        <w:footnoteRef/>
      </w:r>
      <w:r w:rsidRPr="003D3B9E">
        <w:rPr>
          <w:sz w:val="20"/>
        </w:rPr>
        <w:t xml:space="preserve"> </w:t>
      </w:r>
      <w:r w:rsidRPr="003D3B9E">
        <w:rPr>
          <w:i/>
          <w:sz w:val="20"/>
        </w:rPr>
        <w:t>Id</w:t>
      </w:r>
      <w:r w:rsidRPr="003D3B9E">
        <w:rPr>
          <w:sz w:val="20"/>
        </w:rPr>
        <w:t>.</w:t>
      </w:r>
    </w:p>
  </w:footnote>
  <w:footnote w:id="24">
    <w:p w:rsidR="00AE108B">
      <w:pPr>
        <w:pStyle w:val="FootnoteText"/>
      </w:pPr>
      <w:r>
        <w:rPr>
          <w:rStyle w:val="FootnoteReference"/>
        </w:rPr>
        <w:footnoteRef/>
      </w:r>
      <w:r>
        <w:t xml:space="preserve"> </w:t>
      </w:r>
      <w:r w:rsidRPr="00AE108B">
        <w:rPr>
          <w:i/>
          <w:sz w:val="20"/>
        </w:rPr>
        <w:t>Id</w:t>
      </w:r>
      <w:r w:rsidRPr="00AE108B">
        <w:rPr>
          <w:sz w:val="20"/>
        </w:rPr>
        <w:t xml:space="preserve">. at </w:t>
      </w:r>
      <w:r w:rsidR="004168DC">
        <w:rPr>
          <w:sz w:val="20"/>
        </w:rPr>
        <w:t>Exh. 1</w:t>
      </w:r>
      <w:r w:rsidR="00645953">
        <w:rPr>
          <w:sz w:val="20"/>
        </w:rPr>
        <w:t xml:space="preserve"> at</w:t>
      </w:r>
      <w:r w:rsidR="004168DC">
        <w:rPr>
          <w:sz w:val="20"/>
        </w:rPr>
        <w:t xml:space="preserve"> </w:t>
      </w:r>
      <w:r w:rsidRPr="00AE108B">
        <w:rPr>
          <w:sz w:val="20"/>
        </w:rPr>
        <w:t>14.</w:t>
      </w:r>
    </w:p>
  </w:footnote>
  <w:footnote w:id="25">
    <w:p w:rsidR="00730608" w:rsidRPr="00A25827">
      <w:pPr>
        <w:pStyle w:val="FootnoteText"/>
        <w:rPr>
          <w:sz w:val="20"/>
        </w:rPr>
      </w:pPr>
      <w:r w:rsidRPr="00A25827">
        <w:rPr>
          <w:rStyle w:val="FootnoteReference"/>
          <w:sz w:val="20"/>
        </w:rPr>
        <w:footnoteRef/>
      </w:r>
      <w:r w:rsidRPr="00A25827">
        <w:rPr>
          <w:sz w:val="20"/>
        </w:rPr>
        <w:t xml:space="preserve"> </w:t>
      </w:r>
      <w:r w:rsidRPr="00A25827">
        <w:rPr>
          <w:i/>
          <w:sz w:val="20"/>
        </w:rPr>
        <w:t>Id</w:t>
      </w:r>
      <w:r w:rsidR="00AB33F9">
        <w:rPr>
          <w:sz w:val="20"/>
        </w:rPr>
        <w:t>.</w:t>
      </w:r>
      <w:r w:rsidRPr="00A25827">
        <w:rPr>
          <w:sz w:val="20"/>
        </w:rPr>
        <w:t xml:space="preserve"> at </w:t>
      </w:r>
      <w:r w:rsidR="004168DC">
        <w:rPr>
          <w:sz w:val="20"/>
        </w:rPr>
        <w:t>Exh. 1</w:t>
      </w:r>
      <w:r w:rsidR="00645953">
        <w:rPr>
          <w:sz w:val="20"/>
        </w:rPr>
        <w:t xml:space="preserve"> at </w:t>
      </w:r>
      <w:r w:rsidRPr="00A25827">
        <w:rPr>
          <w:sz w:val="20"/>
        </w:rPr>
        <w:t>17.</w:t>
      </w:r>
    </w:p>
  </w:footnote>
  <w:footnote w:id="26">
    <w:p w:rsidR="0009631D" w:rsidRPr="00634060" w:rsidP="0009631D">
      <w:pPr>
        <w:pStyle w:val="FootnoteText"/>
        <w:tabs>
          <w:tab w:val="clear" w:pos="720"/>
        </w:tabs>
        <w:spacing w:after="120"/>
        <w:rPr>
          <w:sz w:val="20"/>
        </w:rPr>
      </w:pPr>
      <w:r w:rsidRPr="00021F2D">
        <w:rPr>
          <w:rStyle w:val="FootnoteReference"/>
          <w:sz w:val="20"/>
        </w:rPr>
        <w:footnoteRef/>
      </w:r>
      <w:r w:rsidRPr="00021F2D">
        <w:rPr>
          <w:sz w:val="20"/>
        </w:rPr>
        <w:t xml:space="preserve"> </w:t>
      </w:r>
      <w:r w:rsidRPr="00634060">
        <w:rPr>
          <w:i/>
          <w:sz w:val="20"/>
        </w:rPr>
        <w:t>See</w:t>
      </w:r>
      <w:r w:rsidRPr="00634060">
        <w:rPr>
          <w:sz w:val="20"/>
        </w:rPr>
        <w:t xml:space="preserve"> 47 CFR § 1.45(c).</w:t>
      </w:r>
    </w:p>
  </w:footnote>
  <w:footnote w:id="27">
    <w:p w:rsidR="0038750A" w:rsidRPr="00021F2D" w:rsidP="0038750A">
      <w:pPr>
        <w:pStyle w:val="FootnoteText"/>
        <w:rPr>
          <w:color w:val="000000"/>
          <w:sz w:val="20"/>
        </w:rPr>
      </w:pPr>
      <w:r w:rsidRPr="00021F2D">
        <w:rPr>
          <w:rStyle w:val="FootnoteReference"/>
          <w:color w:val="000000"/>
          <w:sz w:val="20"/>
        </w:rPr>
        <w:footnoteRef/>
      </w:r>
      <w:r w:rsidRPr="00021F2D">
        <w:rPr>
          <w:color w:val="000000"/>
          <w:sz w:val="20"/>
        </w:rPr>
        <w:t xml:space="preserve"> 47 CFR § 63.03.</w:t>
      </w:r>
    </w:p>
  </w:footnote>
  <w:footnote w:id="28">
    <w:p w:rsidR="00CC45F8">
      <w:pPr>
        <w:pStyle w:val="FootnoteText"/>
      </w:pPr>
      <w:r>
        <w:rPr>
          <w:rStyle w:val="FootnoteReference"/>
        </w:rPr>
        <w:footnoteRef/>
      </w:r>
      <w:r>
        <w:t xml:space="preserve"> </w:t>
      </w:r>
      <w:r w:rsidRPr="00021F2D">
        <w:rPr>
          <w:sz w:val="20"/>
        </w:rPr>
        <w:t xml:space="preserve">47 U.S.C. § </w:t>
      </w:r>
      <w:r>
        <w:rPr>
          <w:sz w:val="20"/>
        </w:rPr>
        <w:t>310(</w:t>
      </w:r>
      <w:r w:rsidR="007A70E4">
        <w:rPr>
          <w:sz w:val="20"/>
        </w:rPr>
        <w:t>b)(4</w:t>
      </w:r>
      <w:r w:rsidR="004E408D">
        <w:rPr>
          <w:sz w:val="20"/>
        </w:rPr>
        <w:t>)</w:t>
      </w:r>
      <w:r w:rsidRPr="00021F2D">
        <w:rPr>
          <w:sz w:val="20"/>
        </w:rPr>
        <w:t xml:space="preserve">; 47 CFR § </w:t>
      </w:r>
      <w:r>
        <w:rPr>
          <w:sz w:val="20"/>
        </w:rPr>
        <w:t>1.</w:t>
      </w:r>
      <w:r w:rsidR="004E408D">
        <w:rPr>
          <w:sz w:val="20"/>
        </w:rPr>
        <w:t>5000(a)</w:t>
      </w:r>
      <w:r w:rsidR="00B66683">
        <w:rPr>
          <w:sz w:val="20"/>
        </w:rPr>
        <w:t>(1)</w:t>
      </w:r>
      <w:r w:rsidR="007A70E4">
        <w:rPr>
          <w:sz w:val="20"/>
        </w:rPr>
        <w:t>.</w:t>
      </w:r>
    </w:p>
  </w:footnote>
  <w:footnote w:id="29">
    <w:p w:rsidR="002F78B8" w:rsidRPr="004368B8" w:rsidP="002F78B8">
      <w:pPr>
        <w:pStyle w:val="FootnoteText"/>
        <w:rPr>
          <w:sz w:val="20"/>
        </w:rPr>
      </w:pPr>
      <w:r w:rsidRPr="004368B8">
        <w:rPr>
          <w:rStyle w:val="FootnoteReference"/>
          <w:sz w:val="20"/>
        </w:rPr>
        <w:footnoteRef/>
      </w:r>
      <w:r w:rsidRPr="004368B8">
        <w:rPr>
          <w:sz w:val="20"/>
        </w:rPr>
        <w:t xml:space="preserve"> 47 CFR </w:t>
      </w:r>
      <w:r w:rsidRPr="00C7118D">
        <w:rPr>
          <w:color w:val="000000"/>
          <w:sz w:val="20"/>
        </w:rPr>
        <w:t>§ 1.5001(i)</w:t>
      </w:r>
      <w:r w:rsidRPr="00597364">
        <w:rPr>
          <w:color w:val="000000"/>
          <w:sz w:val="20"/>
        </w:rPr>
        <w:t>.</w:t>
      </w:r>
    </w:p>
  </w:footnote>
  <w:footnote w:id="30">
    <w:p w:rsidR="0013287A" w:rsidRPr="004368B8" w:rsidP="0013287A">
      <w:pPr>
        <w:pStyle w:val="FootnoteText"/>
        <w:rPr>
          <w:sz w:val="20"/>
        </w:rPr>
      </w:pPr>
      <w:r w:rsidRPr="004368B8">
        <w:rPr>
          <w:rStyle w:val="FootnoteReference"/>
          <w:sz w:val="20"/>
        </w:rPr>
        <w:footnoteRef/>
      </w:r>
      <w:r w:rsidRPr="004368B8">
        <w:rPr>
          <w:sz w:val="20"/>
        </w:rPr>
        <w:t xml:space="preserve"> </w:t>
      </w:r>
      <w:r w:rsidRPr="004368B8" w:rsidR="00E847FE">
        <w:rPr>
          <w:sz w:val="20"/>
        </w:rPr>
        <w:t xml:space="preserve">47 CFR </w:t>
      </w:r>
      <w:r w:rsidRPr="00C7118D" w:rsidR="00E847FE">
        <w:rPr>
          <w:color w:val="000000"/>
          <w:sz w:val="20"/>
        </w:rPr>
        <w:t>§ 1.5001(</w:t>
      </w:r>
      <w:r w:rsidR="00E847FE">
        <w:rPr>
          <w:color w:val="000000"/>
          <w:sz w:val="20"/>
        </w:rPr>
        <w:t>k</w:t>
      </w:r>
      <w:r w:rsidRPr="00C7118D" w:rsidR="00E847FE">
        <w:rPr>
          <w:color w:val="000000"/>
          <w:sz w:val="20"/>
        </w:rPr>
        <w:t>)</w:t>
      </w:r>
      <w:r w:rsidRPr="00597364">
        <w:rPr>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5816"/>
    <w:rsid w:val="00021394"/>
    <w:rsid w:val="00021A67"/>
    <w:rsid w:val="00021B30"/>
    <w:rsid w:val="00021F2D"/>
    <w:rsid w:val="000224EB"/>
    <w:rsid w:val="0002343B"/>
    <w:rsid w:val="000264C0"/>
    <w:rsid w:val="00026C34"/>
    <w:rsid w:val="000275C0"/>
    <w:rsid w:val="000308A3"/>
    <w:rsid w:val="00036507"/>
    <w:rsid w:val="00036643"/>
    <w:rsid w:val="00037B27"/>
    <w:rsid w:val="00037BA9"/>
    <w:rsid w:val="00040A35"/>
    <w:rsid w:val="00051153"/>
    <w:rsid w:val="00053C09"/>
    <w:rsid w:val="00056FBA"/>
    <w:rsid w:val="0006083A"/>
    <w:rsid w:val="000622EA"/>
    <w:rsid w:val="000677AC"/>
    <w:rsid w:val="000715CE"/>
    <w:rsid w:val="00073655"/>
    <w:rsid w:val="00081F10"/>
    <w:rsid w:val="000842DE"/>
    <w:rsid w:val="000843F4"/>
    <w:rsid w:val="00084FD2"/>
    <w:rsid w:val="000861FE"/>
    <w:rsid w:val="0009631D"/>
    <w:rsid w:val="00097A4D"/>
    <w:rsid w:val="000B6195"/>
    <w:rsid w:val="000B7414"/>
    <w:rsid w:val="000C1734"/>
    <w:rsid w:val="000C29BF"/>
    <w:rsid w:val="000C3D4B"/>
    <w:rsid w:val="000C46BB"/>
    <w:rsid w:val="000D2F53"/>
    <w:rsid w:val="000D3FE6"/>
    <w:rsid w:val="000D557C"/>
    <w:rsid w:val="000D6E61"/>
    <w:rsid w:val="000E1FC6"/>
    <w:rsid w:val="000E240A"/>
    <w:rsid w:val="000E30CA"/>
    <w:rsid w:val="000E759F"/>
    <w:rsid w:val="000F2AF0"/>
    <w:rsid w:val="00102730"/>
    <w:rsid w:val="00102CB4"/>
    <w:rsid w:val="00105690"/>
    <w:rsid w:val="001065C4"/>
    <w:rsid w:val="00111189"/>
    <w:rsid w:val="0011491B"/>
    <w:rsid w:val="00115112"/>
    <w:rsid w:val="00115EE2"/>
    <w:rsid w:val="001212A4"/>
    <w:rsid w:val="00122C77"/>
    <w:rsid w:val="00130651"/>
    <w:rsid w:val="0013287A"/>
    <w:rsid w:val="00133246"/>
    <w:rsid w:val="001335D1"/>
    <w:rsid w:val="00135256"/>
    <w:rsid w:val="001369D6"/>
    <w:rsid w:val="001404EC"/>
    <w:rsid w:val="001419AD"/>
    <w:rsid w:val="001447C3"/>
    <w:rsid w:val="00145A03"/>
    <w:rsid w:val="00154BAA"/>
    <w:rsid w:val="001607FA"/>
    <w:rsid w:val="00161D32"/>
    <w:rsid w:val="00165A52"/>
    <w:rsid w:val="00167162"/>
    <w:rsid w:val="001746B2"/>
    <w:rsid w:val="00175AF0"/>
    <w:rsid w:val="00176EAA"/>
    <w:rsid w:val="00177E40"/>
    <w:rsid w:val="00182A74"/>
    <w:rsid w:val="00183BC5"/>
    <w:rsid w:val="00183F96"/>
    <w:rsid w:val="0018574B"/>
    <w:rsid w:val="00190AD1"/>
    <w:rsid w:val="0019308E"/>
    <w:rsid w:val="0019360E"/>
    <w:rsid w:val="00197863"/>
    <w:rsid w:val="00197FA0"/>
    <w:rsid w:val="001A6E16"/>
    <w:rsid w:val="001B01AF"/>
    <w:rsid w:val="001B158F"/>
    <w:rsid w:val="001B2C2C"/>
    <w:rsid w:val="001B4E69"/>
    <w:rsid w:val="001B5E2E"/>
    <w:rsid w:val="001C0061"/>
    <w:rsid w:val="001C0940"/>
    <w:rsid w:val="001C1487"/>
    <w:rsid w:val="001C2BAE"/>
    <w:rsid w:val="001D3ABA"/>
    <w:rsid w:val="001D3C4A"/>
    <w:rsid w:val="001D5BAB"/>
    <w:rsid w:val="001D69DC"/>
    <w:rsid w:val="001E1A49"/>
    <w:rsid w:val="001E284D"/>
    <w:rsid w:val="001E28FC"/>
    <w:rsid w:val="001E4A3D"/>
    <w:rsid w:val="001E4A8D"/>
    <w:rsid w:val="001E50F1"/>
    <w:rsid w:val="001F09B5"/>
    <w:rsid w:val="001F15D2"/>
    <w:rsid w:val="001F19CD"/>
    <w:rsid w:val="001F51CD"/>
    <w:rsid w:val="001F537A"/>
    <w:rsid w:val="001F5484"/>
    <w:rsid w:val="001F5B20"/>
    <w:rsid w:val="001F5C8B"/>
    <w:rsid w:val="002009DB"/>
    <w:rsid w:val="00200A46"/>
    <w:rsid w:val="00200E0F"/>
    <w:rsid w:val="00201ECC"/>
    <w:rsid w:val="00203A5A"/>
    <w:rsid w:val="0020607D"/>
    <w:rsid w:val="00216AE5"/>
    <w:rsid w:val="002172C3"/>
    <w:rsid w:val="00221347"/>
    <w:rsid w:val="0022419C"/>
    <w:rsid w:val="00224FC0"/>
    <w:rsid w:val="0022664E"/>
    <w:rsid w:val="00227167"/>
    <w:rsid w:val="002301AE"/>
    <w:rsid w:val="0023198E"/>
    <w:rsid w:val="00234975"/>
    <w:rsid w:val="002356B5"/>
    <w:rsid w:val="00235E4B"/>
    <w:rsid w:val="002360A2"/>
    <w:rsid w:val="00236297"/>
    <w:rsid w:val="00241BE5"/>
    <w:rsid w:val="00242548"/>
    <w:rsid w:val="00245051"/>
    <w:rsid w:val="00251418"/>
    <w:rsid w:val="00252919"/>
    <w:rsid w:val="0025377B"/>
    <w:rsid w:val="0025577D"/>
    <w:rsid w:val="00255C77"/>
    <w:rsid w:val="00256B4A"/>
    <w:rsid w:val="00260145"/>
    <w:rsid w:val="0026393B"/>
    <w:rsid w:val="00263DF9"/>
    <w:rsid w:val="002710BB"/>
    <w:rsid w:val="0027347D"/>
    <w:rsid w:val="0027368D"/>
    <w:rsid w:val="00277EC1"/>
    <w:rsid w:val="00277F1D"/>
    <w:rsid w:val="00280A19"/>
    <w:rsid w:val="00280D2A"/>
    <w:rsid w:val="00281C4B"/>
    <w:rsid w:val="0028593D"/>
    <w:rsid w:val="00293F50"/>
    <w:rsid w:val="002A0611"/>
    <w:rsid w:val="002A0F17"/>
    <w:rsid w:val="002A1A50"/>
    <w:rsid w:val="002A1F0F"/>
    <w:rsid w:val="002A3D28"/>
    <w:rsid w:val="002B1162"/>
    <w:rsid w:val="002B416D"/>
    <w:rsid w:val="002B452F"/>
    <w:rsid w:val="002D10D9"/>
    <w:rsid w:val="002D3C2C"/>
    <w:rsid w:val="002D3ED6"/>
    <w:rsid w:val="002D70E5"/>
    <w:rsid w:val="002E0A3E"/>
    <w:rsid w:val="002E148F"/>
    <w:rsid w:val="002E2BBB"/>
    <w:rsid w:val="002E4F92"/>
    <w:rsid w:val="002E64F4"/>
    <w:rsid w:val="002F21C4"/>
    <w:rsid w:val="002F5A0D"/>
    <w:rsid w:val="002F68BA"/>
    <w:rsid w:val="002F78B8"/>
    <w:rsid w:val="00300258"/>
    <w:rsid w:val="00305B61"/>
    <w:rsid w:val="0030659D"/>
    <w:rsid w:val="00312F6E"/>
    <w:rsid w:val="00313AB4"/>
    <w:rsid w:val="00316C41"/>
    <w:rsid w:val="0031751E"/>
    <w:rsid w:val="00321466"/>
    <w:rsid w:val="00326C90"/>
    <w:rsid w:val="00326DAB"/>
    <w:rsid w:val="00330DD0"/>
    <w:rsid w:val="00332E1C"/>
    <w:rsid w:val="003348A2"/>
    <w:rsid w:val="00340CBB"/>
    <w:rsid w:val="003452E3"/>
    <w:rsid w:val="00352202"/>
    <w:rsid w:val="00354BAE"/>
    <w:rsid w:val="00356A33"/>
    <w:rsid w:val="003602FC"/>
    <w:rsid w:val="00362735"/>
    <w:rsid w:val="003713FE"/>
    <w:rsid w:val="0037536F"/>
    <w:rsid w:val="00375720"/>
    <w:rsid w:val="00377A13"/>
    <w:rsid w:val="00377CC1"/>
    <w:rsid w:val="003805A7"/>
    <w:rsid w:val="00381027"/>
    <w:rsid w:val="003826DE"/>
    <w:rsid w:val="00385A21"/>
    <w:rsid w:val="00385D22"/>
    <w:rsid w:val="0038750A"/>
    <w:rsid w:val="00387CB5"/>
    <w:rsid w:val="00391A26"/>
    <w:rsid w:val="003958CC"/>
    <w:rsid w:val="003A0623"/>
    <w:rsid w:val="003A15D6"/>
    <w:rsid w:val="003A3C2F"/>
    <w:rsid w:val="003A46D8"/>
    <w:rsid w:val="003B1C8B"/>
    <w:rsid w:val="003B2B00"/>
    <w:rsid w:val="003B6314"/>
    <w:rsid w:val="003D0F5F"/>
    <w:rsid w:val="003D2CC0"/>
    <w:rsid w:val="003D3B9E"/>
    <w:rsid w:val="003D3C17"/>
    <w:rsid w:val="003D53C3"/>
    <w:rsid w:val="003E7B36"/>
    <w:rsid w:val="003E7CC1"/>
    <w:rsid w:val="003F5DCE"/>
    <w:rsid w:val="003F61C4"/>
    <w:rsid w:val="004021E8"/>
    <w:rsid w:val="00405233"/>
    <w:rsid w:val="004119ED"/>
    <w:rsid w:val="00414987"/>
    <w:rsid w:val="004168DC"/>
    <w:rsid w:val="00420703"/>
    <w:rsid w:val="004241B2"/>
    <w:rsid w:val="00424CB4"/>
    <w:rsid w:val="00425372"/>
    <w:rsid w:val="00434E94"/>
    <w:rsid w:val="004368B8"/>
    <w:rsid w:val="00440A8E"/>
    <w:rsid w:val="004423CD"/>
    <w:rsid w:val="00443169"/>
    <w:rsid w:val="0044545B"/>
    <w:rsid w:val="004473B9"/>
    <w:rsid w:val="00447D27"/>
    <w:rsid w:val="00450B2A"/>
    <w:rsid w:val="00450CD3"/>
    <w:rsid w:val="0045340B"/>
    <w:rsid w:val="00453AC3"/>
    <w:rsid w:val="00457DA2"/>
    <w:rsid w:val="00461B7F"/>
    <w:rsid w:val="0046789B"/>
    <w:rsid w:val="00473B72"/>
    <w:rsid w:val="004767C7"/>
    <w:rsid w:val="004778DF"/>
    <w:rsid w:val="00482FAA"/>
    <w:rsid w:val="00486DC0"/>
    <w:rsid w:val="00487146"/>
    <w:rsid w:val="00493B38"/>
    <w:rsid w:val="0049507C"/>
    <w:rsid w:val="00495966"/>
    <w:rsid w:val="004A348A"/>
    <w:rsid w:val="004A421B"/>
    <w:rsid w:val="004A46C9"/>
    <w:rsid w:val="004A60DC"/>
    <w:rsid w:val="004A71CD"/>
    <w:rsid w:val="004A7791"/>
    <w:rsid w:val="004B04FC"/>
    <w:rsid w:val="004B18DF"/>
    <w:rsid w:val="004B3411"/>
    <w:rsid w:val="004B495B"/>
    <w:rsid w:val="004B6973"/>
    <w:rsid w:val="004B7234"/>
    <w:rsid w:val="004C2281"/>
    <w:rsid w:val="004C23C5"/>
    <w:rsid w:val="004C324C"/>
    <w:rsid w:val="004C49EF"/>
    <w:rsid w:val="004C58D8"/>
    <w:rsid w:val="004C5B2A"/>
    <w:rsid w:val="004D082B"/>
    <w:rsid w:val="004D15D9"/>
    <w:rsid w:val="004D2F8C"/>
    <w:rsid w:val="004D31A3"/>
    <w:rsid w:val="004D36B9"/>
    <w:rsid w:val="004D54D0"/>
    <w:rsid w:val="004E0968"/>
    <w:rsid w:val="004E18FD"/>
    <w:rsid w:val="004E1A72"/>
    <w:rsid w:val="004E1CCD"/>
    <w:rsid w:val="004E26B5"/>
    <w:rsid w:val="004E31B7"/>
    <w:rsid w:val="004E408D"/>
    <w:rsid w:val="004E4528"/>
    <w:rsid w:val="004E6121"/>
    <w:rsid w:val="004E75F5"/>
    <w:rsid w:val="004F1086"/>
    <w:rsid w:val="004F7AE5"/>
    <w:rsid w:val="00502046"/>
    <w:rsid w:val="005074E3"/>
    <w:rsid w:val="005100C2"/>
    <w:rsid w:val="005129CA"/>
    <w:rsid w:val="005133AF"/>
    <w:rsid w:val="005136DE"/>
    <w:rsid w:val="00520052"/>
    <w:rsid w:val="005200CE"/>
    <w:rsid w:val="00520CFE"/>
    <w:rsid w:val="00522012"/>
    <w:rsid w:val="00522391"/>
    <w:rsid w:val="00522514"/>
    <w:rsid w:val="005259AC"/>
    <w:rsid w:val="00526992"/>
    <w:rsid w:val="0053003F"/>
    <w:rsid w:val="00535182"/>
    <w:rsid w:val="00541B00"/>
    <w:rsid w:val="0054376A"/>
    <w:rsid w:val="00546673"/>
    <w:rsid w:val="00560A35"/>
    <w:rsid w:val="00560DCA"/>
    <w:rsid w:val="00561463"/>
    <w:rsid w:val="00562113"/>
    <w:rsid w:val="005625D0"/>
    <w:rsid w:val="0056613C"/>
    <w:rsid w:val="00572EC5"/>
    <w:rsid w:val="005746C3"/>
    <w:rsid w:val="00575E6B"/>
    <w:rsid w:val="005766C0"/>
    <w:rsid w:val="00577D34"/>
    <w:rsid w:val="00580295"/>
    <w:rsid w:val="005829A6"/>
    <w:rsid w:val="00583816"/>
    <w:rsid w:val="00583917"/>
    <w:rsid w:val="00585942"/>
    <w:rsid w:val="00590D65"/>
    <w:rsid w:val="0059120F"/>
    <w:rsid w:val="005912AC"/>
    <w:rsid w:val="005917A5"/>
    <w:rsid w:val="005937B2"/>
    <w:rsid w:val="00593AB4"/>
    <w:rsid w:val="00596619"/>
    <w:rsid w:val="00597364"/>
    <w:rsid w:val="005A033D"/>
    <w:rsid w:val="005A2709"/>
    <w:rsid w:val="005A31E8"/>
    <w:rsid w:val="005A4408"/>
    <w:rsid w:val="005A5CBB"/>
    <w:rsid w:val="005B25B5"/>
    <w:rsid w:val="005B4DEE"/>
    <w:rsid w:val="005B4EFF"/>
    <w:rsid w:val="005B643A"/>
    <w:rsid w:val="005C1C87"/>
    <w:rsid w:val="005C34C3"/>
    <w:rsid w:val="005D2008"/>
    <w:rsid w:val="005D252C"/>
    <w:rsid w:val="005D7414"/>
    <w:rsid w:val="005D7703"/>
    <w:rsid w:val="005E7171"/>
    <w:rsid w:val="005F0E8E"/>
    <w:rsid w:val="005F24AE"/>
    <w:rsid w:val="005F4D6E"/>
    <w:rsid w:val="005F7B41"/>
    <w:rsid w:val="0060549D"/>
    <w:rsid w:val="00610717"/>
    <w:rsid w:val="00612FE9"/>
    <w:rsid w:val="006152CF"/>
    <w:rsid w:val="0061693A"/>
    <w:rsid w:val="00617F02"/>
    <w:rsid w:val="00620E39"/>
    <w:rsid w:val="006234DC"/>
    <w:rsid w:val="00623BD0"/>
    <w:rsid w:val="006253CB"/>
    <w:rsid w:val="00630BE2"/>
    <w:rsid w:val="00630CA6"/>
    <w:rsid w:val="006324B2"/>
    <w:rsid w:val="00633A19"/>
    <w:rsid w:val="00634060"/>
    <w:rsid w:val="006350EA"/>
    <w:rsid w:val="00635535"/>
    <w:rsid w:val="00641810"/>
    <w:rsid w:val="00641EEB"/>
    <w:rsid w:val="00645068"/>
    <w:rsid w:val="00645953"/>
    <w:rsid w:val="006519AD"/>
    <w:rsid w:val="00652D35"/>
    <w:rsid w:val="00652F94"/>
    <w:rsid w:val="006538F7"/>
    <w:rsid w:val="00655921"/>
    <w:rsid w:val="00661062"/>
    <w:rsid w:val="00663E39"/>
    <w:rsid w:val="00665665"/>
    <w:rsid w:val="00673C29"/>
    <w:rsid w:val="00675C9D"/>
    <w:rsid w:val="00680A52"/>
    <w:rsid w:val="00681E42"/>
    <w:rsid w:val="00681F18"/>
    <w:rsid w:val="0068351B"/>
    <w:rsid w:val="00685356"/>
    <w:rsid w:val="00687ED6"/>
    <w:rsid w:val="006917C9"/>
    <w:rsid w:val="00691FC2"/>
    <w:rsid w:val="006933D5"/>
    <w:rsid w:val="006938BC"/>
    <w:rsid w:val="006950EB"/>
    <w:rsid w:val="006956A7"/>
    <w:rsid w:val="00695882"/>
    <w:rsid w:val="006A145A"/>
    <w:rsid w:val="006A1CCC"/>
    <w:rsid w:val="006B188E"/>
    <w:rsid w:val="006B29E2"/>
    <w:rsid w:val="006B3AA7"/>
    <w:rsid w:val="006B3B24"/>
    <w:rsid w:val="006B4201"/>
    <w:rsid w:val="006B7F06"/>
    <w:rsid w:val="006C0744"/>
    <w:rsid w:val="006C1429"/>
    <w:rsid w:val="006D1338"/>
    <w:rsid w:val="006D5004"/>
    <w:rsid w:val="006D71A2"/>
    <w:rsid w:val="006E00BC"/>
    <w:rsid w:val="006E619A"/>
    <w:rsid w:val="006F3BD7"/>
    <w:rsid w:val="00702A0D"/>
    <w:rsid w:val="00704B2F"/>
    <w:rsid w:val="007057D1"/>
    <w:rsid w:val="00705FEC"/>
    <w:rsid w:val="00707813"/>
    <w:rsid w:val="00715142"/>
    <w:rsid w:val="0071571A"/>
    <w:rsid w:val="00720946"/>
    <w:rsid w:val="00720CBA"/>
    <w:rsid w:val="007218EB"/>
    <w:rsid w:val="00730608"/>
    <w:rsid w:val="00731FA9"/>
    <w:rsid w:val="00732C04"/>
    <w:rsid w:val="00734092"/>
    <w:rsid w:val="00735492"/>
    <w:rsid w:val="00740EE1"/>
    <w:rsid w:val="007427E8"/>
    <w:rsid w:val="00743073"/>
    <w:rsid w:val="00743456"/>
    <w:rsid w:val="00747341"/>
    <w:rsid w:val="00750F08"/>
    <w:rsid w:val="007558D7"/>
    <w:rsid w:val="00760761"/>
    <w:rsid w:val="007644F1"/>
    <w:rsid w:val="007656E1"/>
    <w:rsid w:val="00767EC4"/>
    <w:rsid w:val="0077609C"/>
    <w:rsid w:val="00782554"/>
    <w:rsid w:val="00784137"/>
    <w:rsid w:val="0078725E"/>
    <w:rsid w:val="00790945"/>
    <w:rsid w:val="00791C6D"/>
    <w:rsid w:val="00792642"/>
    <w:rsid w:val="00794A8B"/>
    <w:rsid w:val="00797C32"/>
    <w:rsid w:val="007A6B8F"/>
    <w:rsid w:val="007A70E4"/>
    <w:rsid w:val="007A7806"/>
    <w:rsid w:val="007B1B03"/>
    <w:rsid w:val="007B32EB"/>
    <w:rsid w:val="007B72DB"/>
    <w:rsid w:val="007C1BBF"/>
    <w:rsid w:val="007C3463"/>
    <w:rsid w:val="007C50D7"/>
    <w:rsid w:val="007C7DB9"/>
    <w:rsid w:val="007D352B"/>
    <w:rsid w:val="007D3E3E"/>
    <w:rsid w:val="007D6CFA"/>
    <w:rsid w:val="007D75A7"/>
    <w:rsid w:val="007E1866"/>
    <w:rsid w:val="007E6405"/>
    <w:rsid w:val="007F43F2"/>
    <w:rsid w:val="007F5383"/>
    <w:rsid w:val="007F69B5"/>
    <w:rsid w:val="007F74E3"/>
    <w:rsid w:val="00802B98"/>
    <w:rsid w:val="008045DD"/>
    <w:rsid w:val="00806A59"/>
    <w:rsid w:val="008074D3"/>
    <w:rsid w:val="008138F2"/>
    <w:rsid w:val="0081425C"/>
    <w:rsid w:val="00827549"/>
    <w:rsid w:val="00830116"/>
    <w:rsid w:val="00830D81"/>
    <w:rsid w:val="00831C83"/>
    <w:rsid w:val="008356D9"/>
    <w:rsid w:val="00837255"/>
    <w:rsid w:val="00840107"/>
    <w:rsid w:val="00840583"/>
    <w:rsid w:val="00840AD0"/>
    <w:rsid w:val="00845964"/>
    <w:rsid w:val="008546EB"/>
    <w:rsid w:val="00863B9D"/>
    <w:rsid w:val="0086589F"/>
    <w:rsid w:val="00866DA2"/>
    <w:rsid w:val="008700D8"/>
    <w:rsid w:val="00870D0F"/>
    <w:rsid w:val="008763BF"/>
    <w:rsid w:val="00881112"/>
    <w:rsid w:val="00885F4A"/>
    <w:rsid w:val="008939D9"/>
    <w:rsid w:val="0089522B"/>
    <w:rsid w:val="00897029"/>
    <w:rsid w:val="008A1E75"/>
    <w:rsid w:val="008A53FB"/>
    <w:rsid w:val="008A753C"/>
    <w:rsid w:val="008C49B6"/>
    <w:rsid w:val="008D0A8D"/>
    <w:rsid w:val="008D3514"/>
    <w:rsid w:val="008D584B"/>
    <w:rsid w:val="008D7345"/>
    <w:rsid w:val="008D7E11"/>
    <w:rsid w:val="008E012F"/>
    <w:rsid w:val="008E28E2"/>
    <w:rsid w:val="008E4710"/>
    <w:rsid w:val="008E581F"/>
    <w:rsid w:val="008E6637"/>
    <w:rsid w:val="008F000C"/>
    <w:rsid w:val="00904094"/>
    <w:rsid w:val="009106FA"/>
    <w:rsid w:val="00915AE3"/>
    <w:rsid w:val="009160E4"/>
    <w:rsid w:val="00917CD9"/>
    <w:rsid w:val="009226D0"/>
    <w:rsid w:val="0092572F"/>
    <w:rsid w:val="00936752"/>
    <w:rsid w:val="00936E8E"/>
    <w:rsid w:val="00940695"/>
    <w:rsid w:val="00940AAE"/>
    <w:rsid w:val="00943E51"/>
    <w:rsid w:val="00944B3A"/>
    <w:rsid w:val="00950931"/>
    <w:rsid w:val="00951E8A"/>
    <w:rsid w:val="0095530B"/>
    <w:rsid w:val="00956FCF"/>
    <w:rsid w:val="00957A08"/>
    <w:rsid w:val="00960AE0"/>
    <w:rsid w:val="00970500"/>
    <w:rsid w:val="0098019A"/>
    <w:rsid w:val="00982B20"/>
    <w:rsid w:val="009831F8"/>
    <w:rsid w:val="009838CF"/>
    <w:rsid w:val="00991DB0"/>
    <w:rsid w:val="0099315B"/>
    <w:rsid w:val="00994130"/>
    <w:rsid w:val="00994FA7"/>
    <w:rsid w:val="00995BC1"/>
    <w:rsid w:val="009A4D61"/>
    <w:rsid w:val="009A5295"/>
    <w:rsid w:val="009A532C"/>
    <w:rsid w:val="009A654F"/>
    <w:rsid w:val="009A75BB"/>
    <w:rsid w:val="009B0256"/>
    <w:rsid w:val="009B162C"/>
    <w:rsid w:val="009B5143"/>
    <w:rsid w:val="009B64FB"/>
    <w:rsid w:val="009B6A22"/>
    <w:rsid w:val="009C243B"/>
    <w:rsid w:val="009C3364"/>
    <w:rsid w:val="009C6AFA"/>
    <w:rsid w:val="009D0445"/>
    <w:rsid w:val="009D24EA"/>
    <w:rsid w:val="009E360F"/>
    <w:rsid w:val="009E70A5"/>
    <w:rsid w:val="009F1CF9"/>
    <w:rsid w:val="009F1D82"/>
    <w:rsid w:val="00A01EF0"/>
    <w:rsid w:val="00A02F23"/>
    <w:rsid w:val="00A05155"/>
    <w:rsid w:val="00A068C5"/>
    <w:rsid w:val="00A07085"/>
    <w:rsid w:val="00A121C3"/>
    <w:rsid w:val="00A2001F"/>
    <w:rsid w:val="00A233DD"/>
    <w:rsid w:val="00A23947"/>
    <w:rsid w:val="00A25827"/>
    <w:rsid w:val="00A26B04"/>
    <w:rsid w:val="00A27542"/>
    <w:rsid w:val="00A27BF4"/>
    <w:rsid w:val="00A3606F"/>
    <w:rsid w:val="00A36EAE"/>
    <w:rsid w:val="00A416EE"/>
    <w:rsid w:val="00A41F59"/>
    <w:rsid w:val="00A447BC"/>
    <w:rsid w:val="00A56C55"/>
    <w:rsid w:val="00A6163F"/>
    <w:rsid w:val="00A65835"/>
    <w:rsid w:val="00A66F66"/>
    <w:rsid w:val="00A67047"/>
    <w:rsid w:val="00A6784F"/>
    <w:rsid w:val="00A71A74"/>
    <w:rsid w:val="00A71EE1"/>
    <w:rsid w:val="00A77513"/>
    <w:rsid w:val="00A81900"/>
    <w:rsid w:val="00A84571"/>
    <w:rsid w:val="00A87DB7"/>
    <w:rsid w:val="00A91022"/>
    <w:rsid w:val="00A91D5A"/>
    <w:rsid w:val="00A95AC8"/>
    <w:rsid w:val="00A96512"/>
    <w:rsid w:val="00AA0722"/>
    <w:rsid w:val="00AA2B1D"/>
    <w:rsid w:val="00AA5716"/>
    <w:rsid w:val="00AA7D57"/>
    <w:rsid w:val="00AB33F9"/>
    <w:rsid w:val="00AC28AC"/>
    <w:rsid w:val="00AD1D5E"/>
    <w:rsid w:val="00AE0645"/>
    <w:rsid w:val="00AE108B"/>
    <w:rsid w:val="00AF1348"/>
    <w:rsid w:val="00B040DD"/>
    <w:rsid w:val="00B07D18"/>
    <w:rsid w:val="00B1249D"/>
    <w:rsid w:val="00B12756"/>
    <w:rsid w:val="00B13303"/>
    <w:rsid w:val="00B1379E"/>
    <w:rsid w:val="00B13C3F"/>
    <w:rsid w:val="00B15470"/>
    <w:rsid w:val="00B21EC8"/>
    <w:rsid w:val="00B2279C"/>
    <w:rsid w:val="00B25760"/>
    <w:rsid w:val="00B25BBF"/>
    <w:rsid w:val="00B32D4F"/>
    <w:rsid w:val="00B33B65"/>
    <w:rsid w:val="00B34C39"/>
    <w:rsid w:val="00B36F96"/>
    <w:rsid w:val="00B41621"/>
    <w:rsid w:val="00B4425B"/>
    <w:rsid w:val="00B444DB"/>
    <w:rsid w:val="00B44D3E"/>
    <w:rsid w:val="00B4521B"/>
    <w:rsid w:val="00B45C1E"/>
    <w:rsid w:val="00B47F9F"/>
    <w:rsid w:val="00B50071"/>
    <w:rsid w:val="00B575BF"/>
    <w:rsid w:val="00B60358"/>
    <w:rsid w:val="00B60DB5"/>
    <w:rsid w:val="00B62EDB"/>
    <w:rsid w:val="00B65A6B"/>
    <w:rsid w:val="00B66683"/>
    <w:rsid w:val="00B66F80"/>
    <w:rsid w:val="00B702A7"/>
    <w:rsid w:val="00B73F61"/>
    <w:rsid w:val="00B75B3E"/>
    <w:rsid w:val="00B77B57"/>
    <w:rsid w:val="00B8723A"/>
    <w:rsid w:val="00B87B12"/>
    <w:rsid w:val="00B93990"/>
    <w:rsid w:val="00BA06A9"/>
    <w:rsid w:val="00BA2B1A"/>
    <w:rsid w:val="00BA4F2C"/>
    <w:rsid w:val="00BB2151"/>
    <w:rsid w:val="00BB5C18"/>
    <w:rsid w:val="00BC5A76"/>
    <w:rsid w:val="00BD19F7"/>
    <w:rsid w:val="00BE1693"/>
    <w:rsid w:val="00BE5548"/>
    <w:rsid w:val="00BE66B7"/>
    <w:rsid w:val="00BF176B"/>
    <w:rsid w:val="00BF1FF9"/>
    <w:rsid w:val="00BF38EB"/>
    <w:rsid w:val="00BF533B"/>
    <w:rsid w:val="00BF5C4F"/>
    <w:rsid w:val="00C00EF3"/>
    <w:rsid w:val="00C01164"/>
    <w:rsid w:val="00C029AB"/>
    <w:rsid w:val="00C04314"/>
    <w:rsid w:val="00C04DC2"/>
    <w:rsid w:val="00C06CF8"/>
    <w:rsid w:val="00C101C9"/>
    <w:rsid w:val="00C10C58"/>
    <w:rsid w:val="00C11A2B"/>
    <w:rsid w:val="00C25C13"/>
    <w:rsid w:val="00C279E5"/>
    <w:rsid w:val="00C30886"/>
    <w:rsid w:val="00C30C53"/>
    <w:rsid w:val="00C32A79"/>
    <w:rsid w:val="00C34A2D"/>
    <w:rsid w:val="00C34FB1"/>
    <w:rsid w:val="00C350D5"/>
    <w:rsid w:val="00C5081A"/>
    <w:rsid w:val="00C5268E"/>
    <w:rsid w:val="00C52B80"/>
    <w:rsid w:val="00C54E73"/>
    <w:rsid w:val="00C5569D"/>
    <w:rsid w:val="00C5659F"/>
    <w:rsid w:val="00C65277"/>
    <w:rsid w:val="00C70090"/>
    <w:rsid w:val="00C70279"/>
    <w:rsid w:val="00C7118D"/>
    <w:rsid w:val="00C76572"/>
    <w:rsid w:val="00C765BC"/>
    <w:rsid w:val="00C86B1E"/>
    <w:rsid w:val="00C87A92"/>
    <w:rsid w:val="00C920D5"/>
    <w:rsid w:val="00C929F8"/>
    <w:rsid w:val="00C96682"/>
    <w:rsid w:val="00CA09A3"/>
    <w:rsid w:val="00CA0D2C"/>
    <w:rsid w:val="00CA29F2"/>
    <w:rsid w:val="00CA3C71"/>
    <w:rsid w:val="00CA4566"/>
    <w:rsid w:val="00CA78D0"/>
    <w:rsid w:val="00CB14FF"/>
    <w:rsid w:val="00CB2D67"/>
    <w:rsid w:val="00CB4813"/>
    <w:rsid w:val="00CC1EDE"/>
    <w:rsid w:val="00CC317A"/>
    <w:rsid w:val="00CC3F33"/>
    <w:rsid w:val="00CC45F8"/>
    <w:rsid w:val="00CC4A75"/>
    <w:rsid w:val="00CC5510"/>
    <w:rsid w:val="00CC7532"/>
    <w:rsid w:val="00CD0CC1"/>
    <w:rsid w:val="00CD125D"/>
    <w:rsid w:val="00CE3E5D"/>
    <w:rsid w:val="00CF3755"/>
    <w:rsid w:val="00CF77E2"/>
    <w:rsid w:val="00CF7B0C"/>
    <w:rsid w:val="00D0078B"/>
    <w:rsid w:val="00D018B5"/>
    <w:rsid w:val="00D05431"/>
    <w:rsid w:val="00D05F64"/>
    <w:rsid w:val="00D076BF"/>
    <w:rsid w:val="00D07E66"/>
    <w:rsid w:val="00D151BC"/>
    <w:rsid w:val="00D165AD"/>
    <w:rsid w:val="00D16CA0"/>
    <w:rsid w:val="00D17F76"/>
    <w:rsid w:val="00D208CD"/>
    <w:rsid w:val="00D20E28"/>
    <w:rsid w:val="00D20E80"/>
    <w:rsid w:val="00D233E8"/>
    <w:rsid w:val="00D238CC"/>
    <w:rsid w:val="00D24EA9"/>
    <w:rsid w:val="00D43D8B"/>
    <w:rsid w:val="00D453DB"/>
    <w:rsid w:val="00D463D2"/>
    <w:rsid w:val="00D52F09"/>
    <w:rsid w:val="00D55044"/>
    <w:rsid w:val="00D639F9"/>
    <w:rsid w:val="00D64860"/>
    <w:rsid w:val="00D70FFB"/>
    <w:rsid w:val="00D720B1"/>
    <w:rsid w:val="00D7212F"/>
    <w:rsid w:val="00D74AFE"/>
    <w:rsid w:val="00D86BB8"/>
    <w:rsid w:val="00D86E33"/>
    <w:rsid w:val="00D900F4"/>
    <w:rsid w:val="00D92BE8"/>
    <w:rsid w:val="00D9432D"/>
    <w:rsid w:val="00DA1975"/>
    <w:rsid w:val="00DA39CC"/>
    <w:rsid w:val="00DB0D77"/>
    <w:rsid w:val="00DD1807"/>
    <w:rsid w:val="00DD6FA8"/>
    <w:rsid w:val="00DE0494"/>
    <w:rsid w:val="00DE163F"/>
    <w:rsid w:val="00DE2829"/>
    <w:rsid w:val="00DE3DEA"/>
    <w:rsid w:val="00DE5CD2"/>
    <w:rsid w:val="00DF1C7A"/>
    <w:rsid w:val="00DF240A"/>
    <w:rsid w:val="00DF3B52"/>
    <w:rsid w:val="00DF671B"/>
    <w:rsid w:val="00E055EC"/>
    <w:rsid w:val="00E1712B"/>
    <w:rsid w:val="00E17818"/>
    <w:rsid w:val="00E20623"/>
    <w:rsid w:val="00E20A06"/>
    <w:rsid w:val="00E2221B"/>
    <w:rsid w:val="00E261C6"/>
    <w:rsid w:val="00E30201"/>
    <w:rsid w:val="00E308A4"/>
    <w:rsid w:val="00E317EE"/>
    <w:rsid w:val="00E33739"/>
    <w:rsid w:val="00E36283"/>
    <w:rsid w:val="00E40AFA"/>
    <w:rsid w:val="00E42CE8"/>
    <w:rsid w:val="00E4619A"/>
    <w:rsid w:val="00E465EF"/>
    <w:rsid w:val="00E477C8"/>
    <w:rsid w:val="00E51245"/>
    <w:rsid w:val="00E52982"/>
    <w:rsid w:val="00E53381"/>
    <w:rsid w:val="00E53CB9"/>
    <w:rsid w:val="00E56DE7"/>
    <w:rsid w:val="00E66559"/>
    <w:rsid w:val="00E70C97"/>
    <w:rsid w:val="00E7288D"/>
    <w:rsid w:val="00E745AD"/>
    <w:rsid w:val="00E83D4A"/>
    <w:rsid w:val="00E847FE"/>
    <w:rsid w:val="00E8515F"/>
    <w:rsid w:val="00E85877"/>
    <w:rsid w:val="00E85E4C"/>
    <w:rsid w:val="00E9648F"/>
    <w:rsid w:val="00EA3499"/>
    <w:rsid w:val="00EA65D6"/>
    <w:rsid w:val="00EB005C"/>
    <w:rsid w:val="00EB0C6F"/>
    <w:rsid w:val="00EC0E5B"/>
    <w:rsid w:val="00EC3E9E"/>
    <w:rsid w:val="00EC452C"/>
    <w:rsid w:val="00ED5460"/>
    <w:rsid w:val="00ED5A5B"/>
    <w:rsid w:val="00EE3222"/>
    <w:rsid w:val="00EE708C"/>
    <w:rsid w:val="00EE75DA"/>
    <w:rsid w:val="00EF024C"/>
    <w:rsid w:val="00EF113F"/>
    <w:rsid w:val="00EF18E6"/>
    <w:rsid w:val="00EF41AB"/>
    <w:rsid w:val="00EF6D04"/>
    <w:rsid w:val="00F04C2C"/>
    <w:rsid w:val="00F10081"/>
    <w:rsid w:val="00F1649D"/>
    <w:rsid w:val="00F20D8E"/>
    <w:rsid w:val="00F2190A"/>
    <w:rsid w:val="00F22BC1"/>
    <w:rsid w:val="00F24C03"/>
    <w:rsid w:val="00F27619"/>
    <w:rsid w:val="00F300FB"/>
    <w:rsid w:val="00F33002"/>
    <w:rsid w:val="00F352D6"/>
    <w:rsid w:val="00F36BBE"/>
    <w:rsid w:val="00F40FFC"/>
    <w:rsid w:val="00F4126D"/>
    <w:rsid w:val="00F43706"/>
    <w:rsid w:val="00F476D1"/>
    <w:rsid w:val="00F50085"/>
    <w:rsid w:val="00F51098"/>
    <w:rsid w:val="00F52F66"/>
    <w:rsid w:val="00F54506"/>
    <w:rsid w:val="00F55292"/>
    <w:rsid w:val="00F55FA7"/>
    <w:rsid w:val="00F57C5C"/>
    <w:rsid w:val="00F607F4"/>
    <w:rsid w:val="00F61A0A"/>
    <w:rsid w:val="00F6230C"/>
    <w:rsid w:val="00F63A43"/>
    <w:rsid w:val="00F64938"/>
    <w:rsid w:val="00F67A48"/>
    <w:rsid w:val="00F7738F"/>
    <w:rsid w:val="00F81920"/>
    <w:rsid w:val="00FA22DF"/>
    <w:rsid w:val="00FA27FB"/>
    <w:rsid w:val="00FA2B12"/>
    <w:rsid w:val="00FA5C02"/>
    <w:rsid w:val="00FA5EA9"/>
    <w:rsid w:val="00FA6093"/>
    <w:rsid w:val="00FB2556"/>
    <w:rsid w:val="00FB3EDD"/>
    <w:rsid w:val="00FB51FC"/>
    <w:rsid w:val="00FB5C45"/>
    <w:rsid w:val="00FB61D8"/>
    <w:rsid w:val="00FB734E"/>
    <w:rsid w:val="00FC1D9F"/>
    <w:rsid w:val="00FC3E64"/>
    <w:rsid w:val="00FC5E62"/>
    <w:rsid w:val="00FC6449"/>
    <w:rsid w:val="00FC6731"/>
    <w:rsid w:val="00FD1D1F"/>
    <w:rsid w:val="00FD3EDA"/>
    <w:rsid w:val="00FD7BB0"/>
    <w:rsid w:val="00FD7F34"/>
    <w:rsid w:val="00FE2A23"/>
    <w:rsid w:val="00FE3F67"/>
    <w:rsid w:val="00FE61D5"/>
    <w:rsid w:val="00FF192A"/>
    <w:rsid w:val="00FF1E77"/>
    <w:rsid w:val="00FF6D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06DB4A68-511C-4E96-8D17-198591B9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dennis.johnson@fcc.gov" TargetMode="External" /><Relationship Id="rId13" Type="http://schemas.openxmlformats.org/officeDocument/2006/relationships/hyperlink" Target="mailto:annick.banoun@fcc.gov" TargetMode="External" /><Relationship Id="rId14" Type="http://schemas.openxmlformats.org/officeDocument/2006/relationships/hyperlink" Target="mailto:david.krech@fcc.gov" TargetMode="External" /><Relationship Id="rId15" Type="http://schemas.openxmlformats.org/officeDocument/2006/relationships/hyperlink" Target="mailto:linda.ray@fcc.gov" TargetMode="External" /><Relationship Id="rId16" Type="http://schemas.openxmlformats.org/officeDocument/2006/relationships/hyperlink" Target="mailto:jim.bird@fcc.gov" TargetMode="Externa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