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013A8B" w:rsidRPr="00B20363" w:rsidP="00013A8B" w14:paraId="48A5B559" w14:textId="77777777">
      <w:pPr>
        <w:jc w:val="right"/>
        <w:rPr>
          <w:b/>
          <w:sz w:val="24"/>
        </w:rPr>
      </w:pPr>
      <w:r>
        <w:rPr>
          <w:b/>
          <w:sz w:val="24"/>
        </w:rPr>
        <w:t>DA 19-</w:t>
      </w:r>
      <w:r w:rsidR="00601D1F">
        <w:rPr>
          <w:b/>
          <w:sz w:val="24"/>
        </w:rPr>
        <w:t>723</w:t>
      </w:r>
    </w:p>
    <w:p w:rsidR="00013A8B" w:rsidRPr="00B20363" w:rsidP="00013A8B" w14:paraId="182AF8D1" w14:textId="77777777">
      <w:pPr>
        <w:spacing w:before="60"/>
        <w:jc w:val="right"/>
        <w:rPr>
          <w:b/>
          <w:sz w:val="24"/>
        </w:rPr>
      </w:pPr>
      <w:r>
        <w:rPr>
          <w:b/>
          <w:sz w:val="24"/>
        </w:rPr>
        <w:t xml:space="preserve">Released:  </w:t>
      </w:r>
      <w:r w:rsidR="007B3733">
        <w:rPr>
          <w:b/>
          <w:sz w:val="24"/>
        </w:rPr>
        <w:t>July 30, 2019</w:t>
      </w:r>
    </w:p>
    <w:p w:rsidR="00013A8B" w:rsidP="00013A8B" w14:paraId="43982977" w14:textId="77777777">
      <w:pPr>
        <w:jc w:val="right"/>
        <w:rPr>
          <w:sz w:val="24"/>
        </w:rPr>
      </w:pPr>
    </w:p>
    <w:p w:rsidR="007B3733" w:rsidP="007B3733" w14:paraId="3F7B9545" w14:textId="77777777">
      <w:pPr>
        <w:jc w:val="center"/>
        <w:rPr>
          <w:rFonts w:ascii="Times New Roman Bold" w:hAnsi="Times New Roman Bold"/>
          <w:b/>
          <w:bCs/>
          <w:caps/>
          <w:sz w:val="24"/>
        </w:rPr>
      </w:pPr>
      <w:r w:rsidRPr="007B3733">
        <w:rPr>
          <w:rFonts w:ascii="Times New Roman Bold" w:hAnsi="Times New Roman Bold"/>
          <w:b/>
          <w:bCs/>
          <w:caps/>
          <w:sz w:val="24"/>
        </w:rPr>
        <w:t>PUBLIC SAFETY AND HOMELAND SECURITY BUREAU SEEKS</w:t>
      </w:r>
      <w:r>
        <w:rPr>
          <w:rFonts w:ascii="Times New Roman Bold" w:hAnsi="Times New Roman Bold"/>
          <w:b/>
          <w:bCs/>
          <w:caps/>
          <w:sz w:val="24"/>
        </w:rPr>
        <w:t xml:space="preserve"> </w:t>
      </w:r>
      <w:r w:rsidRPr="007B3733">
        <w:rPr>
          <w:rFonts w:ascii="Times New Roman Bold" w:hAnsi="Times New Roman Bold"/>
          <w:b/>
          <w:bCs/>
          <w:caps/>
          <w:sz w:val="24"/>
        </w:rPr>
        <w:t>COMMENT ON PETITION FOR</w:t>
      </w:r>
      <w:r>
        <w:rPr>
          <w:rFonts w:ascii="Times New Roman Bold" w:hAnsi="Times New Roman Bold"/>
          <w:b/>
          <w:bCs/>
          <w:caps/>
          <w:sz w:val="24"/>
        </w:rPr>
        <w:t xml:space="preserve"> </w:t>
      </w:r>
      <w:r w:rsidRPr="007B3733">
        <w:rPr>
          <w:rFonts w:ascii="Times New Roman Bold" w:hAnsi="Times New Roman Bold"/>
          <w:b/>
          <w:bCs/>
          <w:caps/>
          <w:sz w:val="24"/>
        </w:rPr>
        <w:t>RULEMAKING FILED BY THE NATIONAL TELECOMMUNICATIONS AND INFORMATION ADMINISTRATION TO REVISE THE RULES FOR THE TELECOMMUNICATIONS SERVICE</w:t>
      </w:r>
    </w:p>
    <w:p w:rsidR="007B3733" w:rsidRPr="007B3733" w:rsidP="007B3733" w14:paraId="031A4625" w14:textId="77777777">
      <w:pPr>
        <w:jc w:val="center"/>
        <w:rPr>
          <w:rFonts w:ascii="Times New Roman Bold" w:hAnsi="Times New Roman Bold"/>
          <w:b/>
          <w:bCs/>
          <w:caps/>
          <w:sz w:val="24"/>
        </w:rPr>
      </w:pPr>
      <w:r w:rsidRPr="007B3733">
        <w:rPr>
          <w:rFonts w:ascii="Times New Roman Bold" w:hAnsi="Times New Roman Bold"/>
          <w:b/>
          <w:bCs/>
          <w:caps/>
          <w:sz w:val="24"/>
        </w:rPr>
        <w:t xml:space="preserve"> PRIORITY (TSP) SYSTEM</w:t>
      </w:r>
    </w:p>
    <w:p w:rsidR="007B3733" w:rsidP="00013A8B" w14:paraId="2201B742" w14:textId="77777777">
      <w:pPr>
        <w:jc w:val="center"/>
        <w:rPr>
          <w:b/>
          <w:sz w:val="24"/>
        </w:rPr>
      </w:pPr>
    </w:p>
    <w:p w:rsidR="00013A8B" w:rsidP="00013A8B" w14:paraId="36E03333" w14:textId="77777777">
      <w:pPr>
        <w:jc w:val="center"/>
        <w:rPr>
          <w:b/>
          <w:sz w:val="24"/>
        </w:rPr>
      </w:pPr>
      <w:r>
        <w:rPr>
          <w:b/>
          <w:sz w:val="24"/>
        </w:rPr>
        <w:t>WT Docket No 96-86</w:t>
      </w:r>
    </w:p>
    <w:p w:rsidR="00F96F63" w:rsidP="00F96F63" w14:paraId="5218FC4D" w14:textId="77777777">
      <w:pPr>
        <w:rPr>
          <w:sz w:val="24"/>
        </w:rPr>
      </w:pPr>
    </w:p>
    <w:p w:rsidR="007B3733" w:rsidRPr="00BA7A44" w:rsidP="00BA7A44" w14:paraId="2393E879" w14:textId="77777777">
      <w:pPr>
        <w:widowControl/>
        <w:spacing w:line="259" w:lineRule="auto"/>
        <w:rPr>
          <w:rFonts w:eastAsia="Calibri"/>
          <w:b/>
          <w:snapToGrid/>
          <w:kern w:val="0"/>
          <w:sz w:val="24"/>
          <w:szCs w:val="24"/>
        </w:rPr>
      </w:pPr>
      <w:r w:rsidRPr="00BA7A44">
        <w:rPr>
          <w:rFonts w:eastAsia="Calibri"/>
          <w:b/>
          <w:snapToGrid/>
          <w:kern w:val="0"/>
          <w:sz w:val="24"/>
          <w:szCs w:val="24"/>
        </w:rPr>
        <w:t>Comments: August 30, 2019</w:t>
      </w:r>
    </w:p>
    <w:p w:rsidR="007B3733" w:rsidRPr="00BA7A44" w:rsidP="007B3733" w14:paraId="7C4A1CE8" w14:textId="77777777">
      <w:pPr>
        <w:widowControl/>
        <w:spacing w:after="160" w:line="259" w:lineRule="auto"/>
        <w:rPr>
          <w:rFonts w:eastAsia="Calibri"/>
          <w:b/>
          <w:snapToGrid/>
          <w:kern w:val="0"/>
          <w:sz w:val="24"/>
          <w:szCs w:val="24"/>
        </w:rPr>
      </w:pPr>
      <w:r w:rsidRPr="00BA7A44">
        <w:rPr>
          <w:rFonts w:eastAsia="Calibri"/>
          <w:b/>
          <w:snapToGrid/>
          <w:kern w:val="0"/>
          <w:sz w:val="24"/>
          <w:szCs w:val="24"/>
        </w:rPr>
        <w:t>Reply Comments: September 16, 2019</w:t>
      </w:r>
    </w:p>
    <w:p w:rsidR="007B3733" w:rsidP="007041A3" w14:paraId="4243DDE7" w14:textId="77777777">
      <w:pPr>
        <w:widowControl/>
        <w:spacing w:after="160" w:line="259" w:lineRule="auto"/>
        <w:ind w:firstLine="720"/>
        <w:rPr>
          <w:rFonts w:eastAsia="Calibri"/>
          <w:snapToGrid/>
          <w:kern w:val="0"/>
          <w:szCs w:val="22"/>
        </w:rPr>
      </w:pPr>
      <w:r w:rsidRPr="007B3733">
        <w:rPr>
          <w:rFonts w:eastAsia="Calibri"/>
          <w:snapToGrid/>
          <w:kern w:val="0"/>
          <w:szCs w:val="22"/>
        </w:rPr>
        <w:t>The Public Safety and Homeland Security Bureau seeks comment on a </w:t>
      </w:r>
      <w:r w:rsidRPr="007B3733">
        <w:rPr>
          <w:rFonts w:eastAsia="Calibri"/>
          <w:bCs/>
          <w:snapToGrid/>
          <w:kern w:val="0"/>
          <w:szCs w:val="22"/>
        </w:rPr>
        <w:t>Petition</w:t>
      </w:r>
      <w:r w:rsidRPr="007B3733">
        <w:rPr>
          <w:rFonts w:eastAsia="Calibri"/>
          <w:snapToGrid/>
          <w:kern w:val="0"/>
          <w:szCs w:val="22"/>
        </w:rPr>
        <w:t> </w:t>
      </w:r>
      <w:r w:rsidRPr="007B3733">
        <w:rPr>
          <w:rFonts w:eastAsia="Calibri"/>
          <w:bCs/>
          <w:snapToGrid/>
          <w:kern w:val="0"/>
          <w:szCs w:val="22"/>
        </w:rPr>
        <w:t>for</w:t>
      </w:r>
      <w:r w:rsidRPr="007B3733">
        <w:rPr>
          <w:rFonts w:eastAsia="Calibri"/>
          <w:snapToGrid/>
          <w:kern w:val="0"/>
          <w:szCs w:val="22"/>
        </w:rPr>
        <w:t> Rulemaking</w:t>
      </w:r>
      <w:r>
        <w:rPr>
          <w:rFonts w:eastAsia="Calibri"/>
          <w:snapToGrid/>
          <w:kern w:val="0"/>
          <w:szCs w:val="22"/>
          <w:vertAlign w:val="superscript"/>
        </w:rPr>
        <w:footnoteReference w:id="3"/>
      </w:r>
      <w:r w:rsidRPr="007B3733">
        <w:rPr>
          <w:rFonts w:eastAsia="Calibri"/>
          <w:snapToGrid/>
          <w:kern w:val="0"/>
          <w:szCs w:val="22"/>
        </w:rPr>
        <w:t xml:space="preserve"> filed by the National Telecommunications and Information Administration (</w:t>
      </w:r>
      <w:r w:rsidRPr="007B3733">
        <w:rPr>
          <w:rFonts w:eastAsia="Calibri"/>
          <w:bCs/>
          <w:snapToGrid/>
          <w:kern w:val="0"/>
          <w:szCs w:val="22"/>
        </w:rPr>
        <w:t>NTIA</w:t>
      </w:r>
      <w:r w:rsidRPr="007B3733">
        <w:rPr>
          <w:rFonts w:eastAsia="Calibri"/>
          <w:snapToGrid/>
          <w:kern w:val="0"/>
          <w:szCs w:val="22"/>
        </w:rPr>
        <w:t xml:space="preserve">) requesting </w:t>
      </w:r>
      <w:r w:rsidR="00142E4F">
        <w:rPr>
          <w:rFonts w:eastAsia="Calibri"/>
          <w:snapToGrid/>
          <w:kern w:val="0"/>
          <w:szCs w:val="22"/>
        </w:rPr>
        <w:t xml:space="preserve">that </w:t>
      </w:r>
      <w:r w:rsidRPr="007B3733">
        <w:rPr>
          <w:rFonts w:eastAsia="Calibri"/>
          <w:snapToGrid/>
          <w:kern w:val="0"/>
          <w:szCs w:val="22"/>
        </w:rPr>
        <w:t>the Federal Communications Commission initiate a rulemaking proceeding to update the rules and requirements for the Telecommunications Service Priority (TSP) system.</w:t>
      </w:r>
      <w:r>
        <w:rPr>
          <w:rFonts w:eastAsia="Calibri"/>
          <w:snapToGrid/>
          <w:kern w:val="0"/>
          <w:szCs w:val="22"/>
          <w:vertAlign w:val="superscript"/>
        </w:rPr>
        <w:footnoteReference w:id="4"/>
      </w:r>
      <w:r w:rsidRPr="007B3733">
        <w:rPr>
          <w:rFonts w:eastAsia="Calibri"/>
          <w:snapToGrid/>
          <w:kern w:val="0"/>
          <w:szCs w:val="22"/>
        </w:rPr>
        <w:t xml:space="preserve"> </w:t>
      </w:r>
      <w:r w:rsidR="009B3AB0">
        <w:rPr>
          <w:rFonts w:eastAsia="Calibri"/>
          <w:snapToGrid/>
          <w:kern w:val="0"/>
          <w:szCs w:val="22"/>
        </w:rPr>
        <w:t xml:space="preserve"> </w:t>
      </w:r>
      <w:r w:rsidR="007041A3">
        <w:rPr>
          <w:rFonts w:eastAsia="Calibri"/>
          <w:snapToGrid/>
          <w:kern w:val="0"/>
          <w:szCs w:val="22"/>
        </w:rPr>
        <w:t xml:space="preserve">In its petition, </w:t>
      </w:r>
      <w:r w:rsidRPr="00450A87" w:rsidR="00450A87">
        <w:rPr>
          <w:rFonts w:eastAsia="Calibri"/>
          <w:snapToGrid/>
          <w:kern w:val="0"/>
          <w:szCs w:val="22"/>
        </w:rPr>
        <w:t>NTIA describes the TSP’s primary purposes as: “(1) to ensure expedited provisioning and restoration of critical NS/EP [National Security and Emergency Preparedness] voice and data circuits; and (2) to support national leadership, Federal, state, local tribal and territorial governments and other NS/EP users, to include private sector entities.”</w:t>
      </w:r>
      <w:r>
        <w:rPr>
          <w:rStyle w:val="FootnoteReference"/>
          <w:rFonts w:eastAsia="Calibri"/>
          <w:snapToGrid/>
          <w:kern w:val="0"/>
          <w:szCs w:val="22"/>
        </w:rPr>
        <w:footnoteReference w:id="5"/>
      </w:r>
      <w:r w:rsidRPr="00450A87" w:rsidR="00450A87">
        <w:rPr>
          <w:rFonts w:eastAsia="Calibri"/>
          <w:snapToGrid/>
          <w:kern w:val="0"/>
          <w:szCs w:val="22"/>
        </w:rPr>
        <w:t xml:space="preserve">  </w:t>
      </w:r>
      <w:r w:rsidRPr="007B3733">
        <w:rPr>
          <w:rFonts w:eastAsia="Calibri"/>
          <w:snapToGrid/>
          <w:kern w:val="0"/>
          <w:szCs w:val="22"/>
        </w:rPr>
        <w:t>NTIA states that the</w:t>
      </w:r>
      <w:r w:rsidR="009B3AB0">
        <w:rPr>
          <w:rFonts w:eastAsia="Calibri"/>
          <w:snapToGrid/>
          <w:kern w:val="0"/>
          <w:szCs w:val="22"/>
        </w:rPr>
        <w:t xml:space="preserve"> TSP</w:t>
      </w:r>
      <w:r w:rsidRPr="007B3733">
        <w:rPr>
          <w:rFonts w:eastAsia="Calibri"/>
          <w:snapToGrid/>
          <w:kern w:val="0"/>
          <w:szCs w:val="22"/>
        </w:rPr>
        <w:t xml:space="preserve"> rules and requirements should be updated to “reflect the current operations of TSP, the current Executive Branch governance structure for the service and the </w:t>
      </w:r>
      <w:r w:rsidRPr="007B3733">
        <w:rPr>
          <w:rFonts w:eastAsia="Calibri"/>
          <w:snapToGrid/>
          <w:kern w:val="0"/>
          <w:szCs w:val="22"/>
        </w:rPr>
        <w:t>need to reflect new communications providers and technologies available to National Security and Emergency Preparedness (NS/EP) users.”</w:t>
      </w:r>
      <w:r>
        <w:rPr>
          <w:rFonts w:eastAsia="Calibri"/>
          <w:snapToGrid/>
          <w:kern w:val="0"/>
          <w:szCs w:val="22"/>
          <w:vertAlign w:val="superscript"/>
        </w:rPr>
        <w:footnoteReference w:id="6"/>
      </w:r>
      <w:r w:rsidR="00450A87">
        <w:rPr>
          <w:rFonts w:eastAsia="Calibri"/>
          <w:snapToGrid/>
          <w:kern w:val="0"/>
          <w:szCs w:val="22"/>
        </w:rPr>
        <w:t xml:space="preserve"> </w:t>
      </w:r>
    </w:p>
    <w:p w:rsidR="007B3733" w:rsidRPr="007B3733" w:rsidP="007B3733" w14:paraId="40A4B6DE" w14:textId="77777777">
      <w:pPr>
        <w:widowControl/>
        <w:spacing w:after="160" w:line="259" w:lineRule="auto"/>
        <w:ind w:firstLine="720"/>
        <w:rPr>
          <w:rFonts w:eastAsia="Calibri"/>
          <w:snapToGrid/>
          <w:kern w:val="0"/>
          <w:szCs w:val="22"/>
        </w:rPr>
      </w:pPr>
      <w:r>
        <w:rPr>
          <w:rFonts w:eastAsia="Calibri"/>
          <w:snapToGrid/>
          <w:kern w:val="0"/>
          <w:szCs w:val="22"/>
        </w:rPr>
        <w:t xml:space="preserve">Parties may file comments and reply comments to this </w:t>
      </w:r>
      <w:r w:rsidRPr="00C04889">
        <w:rPr>
          <w:rFonts w:eastAsia="Calibri"/>
          <w:i/>
          <w:snapToGrid/>
          <w:kern w:val="0"/>
          <w:szCs w:val="22"/>
        </w:rPr>
        <w:t xml:space="preserve">Public </w:t>
      </w:r>
      <w:r>
        <w:rPr>
          <w:rFonts w:eastAsia="Calibri"/>
          <w:i/>
          <w:snapToGrid/>
          <w:kern w:val="0"/>
          <w:szCs w:val="22"/>
        </w:rPr>
        <w:t>N</w:t>
      </w:r>
      <w:r w:rsidRPr="00C04889">
        <w:rPr>
          <w:rFonts w:eastAsia="Calibri"/>
          <w:i/>
          <w:snapToGrid/>
          <w:kern w:val="0"/>
          <w:szCs w:val="22"/>
        </w:rPr>
        <w:t>otice</w:t>
      </w:r>
      <w:r>
        <w:rPr>
          <w:rFonts w:eastAsia="Calibri"/>
          <w:snapToGrid/>
          <w:kern w:val="0"/>
          <w:szCs w:val="22"/>
        </w:rPr>
        <w:t xml:space="preserve"> on the dates in the above caption and, i</w:t>
      </w:r>
      <w:r w:rsidR="00450A87">
        <w:rPr>
          <w:rFonts w:eastAsia="Calibri"/>
          <w:snapToGrid/>
          <w:kern w:val="0"/>
          <w:szCs w:val="22"/>
        </w:rPr>
        <w:t xml:space="preserve">n </w:t>
      </w:r>
      <w:r>
        <w:rPr>
          <w:rFonts w:eastAsia="Calibri"/>
          <w:snapToGrid/>
          <w:kern w:val="0"/>
          <w:szCs w:val="22"/>
        </w:rPr>
        <w:t xml:space="preserve">responding </w:t>
      </w:r>
      <w:r w:rsidR="007041A3">
        <w:rPr>
          <w:rFonts w:eastAsia="Calibri"/>
          <w:snapToGrid/>
          <w:kern w:val="0"/>
          <w:szCs w:val="22"/>
        </w:rPr>
        <w:t xml:space="preserve">to this </w:t>
      </w:r>
      <w:r w:rsidRPr="007041A3" w:rsidR="007041A3">
        <w:rPr>
          <w:rFonts w:eastAsia="Calibri"/>
          <w:i/>
          <w:snapToGrid/>
          <w:kern w:val="0"/>
          <w:szCs w:val="22"/>
        </w:rPr>
        <w:t>Public Notice</w:t>
      </w:r>
      <w:r w:rsidRPr="00CC487C" w:rsidR="00CC487C">
        <w:rPr>
          <w:rFonts w:eastAsia="Calibri"/>
          <w:snapToGrid/>
          <w:kern w:val="0"/>
          <w:szCs w:val="22"/>
        </w:rPr>
        <w:t>,</w:t>
      </w:r>
      <w:r w:rsidR="007041A3">
        <w:rPr>
          <w:rFonts w:eastAsia="Calibri"/>
          <w:snapToGrid/>
          <w:kern w:val="0"/>
          <w:szCs w:val="22"/>
        </w:rPr>
        <w:t xml:space="preserve"> </w:t>
      </w:r>
      <w:r w:rsidRPr="007B3733">
        <w:rPr>
          <w:rFonts w:eastAsia="Calibri"/>
          <w:snapToGrid/>
          <w:kern w:val="0"/>
          <w:szCs w:val="22"/>
        </w:rPr>
        <w:t>may</w:t>
      </w:r>
      <w:r w:rsidR="00450A87">
        <w:rPr>
          <w:rFonts w:eastAsia="Calibri"/>
          <w:snapToGrid/>
          <w:kern w:val="0"/>
          <w:szCs w:val="22"/>
        </w:rPr>
        <w:t xml:space="preserve"> also</w:t>
      </w:r>
      <w:r>
        <w:rPr>
          <w:rFonts w:eastAsia="Calibri"/>
          <w:snapToGrid/>
          <w:kern w:val="0"/>
          <w:szCs w:val="22"/>
        </w:rPr>
        <w:t xml:space="preserve"> </w:t>
      </w:r>
      <w:r w:rsidRPr="007B3733">
        <w:rPr>
          <w:rFonts w:eastAsia="Calibri"/>
          <w:snapToGrid/>
          <w:kern w:val="0"/>
          <w:szCs w:val="22"/>
        </w:rPr>
        <w:t>refresh and update their comments filed in response to the 2018</w:t>
      </w:r>
      <w:r w:rsidRPr="007B3733">
        <w:rPr>
          <w:rFonts w:eastAsia="Calibri"/>
          <w:i/>
          <w:snapToGrid/>
          <w:kern w:val="0"/>
          <w:szCs w:val="22"/>
        </w:rPr>
        <w:t xml:space="preserve"> WPS Public Notice</w:t>
      </w:r>
      <w:r w:rsidRPr="007B3733">
        <w:rPr>
          <w:rFonts w:eastAsia="Calibri"/>
          <w:snapToGrid/>
          <w:kern w:val="0"/>
          <w:szCs w:val="22"/>
        </w:rPr>
        <w:t>.</w:t>
      </w:r>
      <w:r>
        <w:rPr>
          <w:rStyle w:val="FootnoteReference"/>
          <w:rFonts w:eastAsia="Calibri"/>
          <w:snapToGrid/>
          <w:kern w:val="0"/>
          <w:szCs w:val="22"/>
        </w:rPr>
        <w:footnoteReference w:id="7"/>
      </w:r>
      <w:r w:rsidRPr="007B3733">
        <w:rPr>
          <w:rFonts w:eastAsia="Calibri"/>
          <w:snapToGrid/>
          <w:kern w:val="0"/>
          <w:szCs w:val="22"/>
        </w:rPr>
        <w:t xml:space="preserve"> </w:t>
      </w:r>
    </w:p>
    <w:p w:rsidR="007B3733" w:rsidRPr="007B3733" w:rsidP="007B3733" w14:paraId="0A083539" w14:textId="77777777">
      <w:pPr>
        <w:widowControl/>
        <w:spacing w:after="160" w:line="259" w:lineRule="auto"/>
        <w:ind w:firstLine="720"/>
        <w:rPr>
          <w:rFonts w:eastAsia="Calibri"/>
          <w:snapToGrid/>
          <w:kern w:val="0"/>
          <w:szCs w:val="22"/>
        </w:rPr>
      </w:pPr>
      <w:r w:rsidRPr="007B3733">
        <w:rPr>
          <w:rFonts w:eastAsia="Calibri"/>
          <w:snapToGrid/>
          <w:kern w:val="0"/>
          <w:szCs w:val="22"/>
        </w:rPr>
        <w:t>Pursuant to sections 1.415 and 1.419 of the Commission's rules</w:t>
      </w:r>
      <w:r w:rsidRPr="007B3733">
        <w:rPr>
          <w:rFonts w:eastAsia="Calibri"/>
          <w:snapToGrid/>
          <w:color w:val="000000"/>
          <w:kern w:val="0"/>
          <w:szCs w:val="22"/>
        </w:rPr>
        <w:t>, </w:t>
      </w:r>
      <w:hyperlink r:id="rId5" w:history="1">
        <w:r w:rsidRPr="007B3733">
          <w:rPr>
            <w:rFonts w:eastAsia="Calibri"/>
            <w:snapToGrid/>
            <w:color w:val="000000"/>
            <w:kern w:val="0"/>
            <w:szCs w:val="22"/>
          </w:rPr>
          <w:t>47 CFR §§ 1.415</w:t>
        </w:r>
      </w:hyperlink>
      <w:r w:rsidRPr="007B3733">
        <w:rPr>
          <w:rFonts w:eastAsia="Calibri"/>
          <w:snapToGrid/>
          <w:color w:val="000000"/>
          <w:kern w:val="0"/>
          <w:szCs w:val="22"/>
        </w:rPr>
        <w:t>, </w:t>
      </w:r>
      <w:hyperlink r:id="rId6" w:history="1">
        <w:r w:rsidRPr="007B3733">
          <w:rPr>
            <w:rFonts w:eastAsia="Calibri"/>
            <w:snapToGrid/>
            <w:color w:val="000000"/>
            <w:kern w:val="0"/>
            <w:szCs w:val="22"/>
          </w:rPr>
          <w:t>1.419</w:t>
        </w:r>
      </w:hyperlink>
      <w:r w:rsidRPr="007B3733">
        <w:rPr>
          <w:rFonts w:eastAsia="Calibri"/>
          <w:snapToGrid/>
          <w:kern w:val="0"/>
          <w:szCs w:val="22"/>
        </w:rPr>
        <w:t>, interested parties may file comments and reply comments on or before the dates indicated above and must reference WT Docket No. 96-86. Comments may be filed using the Commission's Electronic Comment Filing System (ECFS). </w:t>
      </w:r>
      <w:r w:rsidRPr="007B3733">
        <w:rPr>
          <w:rFonts w:eastAsia="Calibri"/>
          <w:i/>
          <w:iCs/>
          <w:snapToGrid/>
          <w:color w:val="000000"/>
          <w:kern w:val="0"/>
          <w:szCs w:val="22"/>
        </w:rPr>
        <w:t>See </w:t>
      </w:r>
      <w:hyperlink r:id="rId7" w:anchor="co_pp_sp_1037_24121" w:history="1">
        <w:r w:rsidRPr="007B3733">
          <w:rPr>
            <w:rFonts w:eastAsia="Calibri"/>
            <w:i/>
            <w:iCs/>
            <w:snapToGrid/>
            <w:color w:val="000000"/>
            <w:kern w:val="0"/>
            <w:szCs w:val="22"/>
          </w:rPr>
          <w:t>Electronic Filing of Documents in Rulemaking Proceedings</w:t>
        </w:r>
        <w:r w:rsidRPr="007B3733">
          <w:rPr>
            <w:rFonts w:eastAsia="Calibri"/>
            <w:snapToGrid/>
            <w:color w:val="000000"/>
            <w:kern w:val="0"/>
            <w:szCs w:val="22"/>
          </w:rPr>
          <w:t>, 63 FR 24121 (1998)</w:t>
        </w:r>
      </w:hyperlink>
      <w:r w:rsidRPr="007B3733">
        <w:rPr>
          <w:rFonts w:eastAsia="Calibri"/>
          <w:snapToGrid/>
          <w:kern w:val="0"/>
          <w:szCs w:val="22"/>
        </w:rPr>
        <w:t>.</w:t>
      </w:r>
    </w:p>
    <w:p w:rsidR="007B3733" w:rsidRPr="007B3733" w:rsidP="007B3733" w14:paraId="77EE85A0" w14:textId="77777777">
      <w:pPr>
        <w:widowControl/>
        <w:spacing w:after="160" w:line="259" w:lineRule="auto"/>
        <w:ind w:firstLine="720"/>
        <w:rPr>
          <w:rFonts w:eastAsia="Calibri"/>
          <w:snapToGrid/>
          <w:kern w:val="0"/>
          <w:szCs w:val="22"/>
        </w:rPr>
      </w:pPr>
      <w:r w:rsidRPr="007B3733">
        <w:rPr>
          <w:rFonts w:eastAsia="Calibri"/>
          <w:snapToGrid/>
          <w:kern w:val="0"/>
          <w:szCs w:val="22"/>
          <w:u w:val="single"/>
        </w:rPr>
        <w:t>Electronic Filers</w:t>
      </w:r>
      <w:r w:rsidRPr="007B3733">
        <w:rPr>
          <w:rFonts w:eastAsia="Calibri"/>
          <w:snapToGrid/>
          <w:kern w:val="0"/>
          <w:szCs w:val="22"/>
        </w:rPr>
        <w:t>: Comments may be filed electronically using the Internet by accessing the ECFS: </w:t>
      </w:r>
      <w:r w:rsidRPr="007B3733">
        <w:rPr>
          <w:rFonts w:eastAsia="Calibri"/>
          <w:snapToGrid/>
          <w:kern w:val="0"/>
          <w:szCs w:val="22"/>
          <w:u w:val="single"/>
        </w:rPr>
        <w:t>http://apps.fcc.gov/ecfs/</w:t>
      </w:r>
      <w:r w:rsidRPr="007B3733">
        <w:rPr>
          <w:rFonts w:eastAsia="Calibri"/>
          <w:snapToGrid/>
          <w:kern w:val="0"/>
          <w:szCs w:val="22"/>
        </w:rPr>
        <w:t>.</w:t>
      </w:r>
    </w:p>
    <w:p w:rsidR="007B3733" w:rsidRPr="007B3733" w:rsidP="007B3733" w14:paraId="148934A1" w14:textId="77777777">
      <w:pPr>
        <w:widowControl/>
        <w:spacing w:after="160" w:line="259" w:lineRule="auto"/>
        <w:ind w:firstLine="720"/>
        <w:rPr>
          <w:rFonts w:eastAsia="Calibri"/>
          <w:snapToGrid/>
          <w:kern w:val="0"/>
          <w:szCs w:val="22"/>
        </w:rPr>
      </w:pPr>
      <w:r w:rsidRPr="007B3733">
        <w:rPr>
          <w:rFonts w:eastAsia="Calibri"/>
          <w:snapToGrid/>
          <w:kern w:val="0"/>
          <w:szCs w:val="22"/>
          <w:u w:val="single"/>
        </w:rPr>
        <w:t>Paper Filers</w:t>
      </w:r>
      <w:r w:rsidRPr="007B3733">
        <w:rPr>
          <w:rFonts w:eastAsia="Calibri"/>
          <w:snapToGrid/>
          <w:kern w:val="0"/>
          <w:szCs w:val="22"/>
        </w:rPr>
        <w:t>: Parties who choose to file by paper must file an original and one copy of each filing. If more than one docket or rulemaking number appears in the caption of this proceeding, filers must submit two additional copies for each additional docket or rulemaking number.</w:t>
      </w:r>
    </w:p>
    <w:p w:rsidR="007B3733" w:rsidRPr="007B3733" w:rsidP="007B3733" w14:paraId="6EB4AE5F" w14:textId="77777777">
      <w:pPr>
        <w:widowControl/>
        <w:spacing w:after="160" w:line="259" w:lineRule="auto"/>
        <w:ind w:firstLine="720"/>
        <w:rPr>
          <w:rFonts w:eastAsia="Calibri"/>
          <w:snapToGrid/>
          <w:kern w:val="0"/>
          <w:szCs w:val="22"/>
        </w:rPr>
      </w:pPr>
      <w:r w:rsidRPr="007B3733">
        <w:rPr>
          <w:rFonts w:eastAsia="Calibri"/>
          <w:snapToGrid/>
          <w:kern w:val="0"/>
          <w:szCs w:val="22"/>
        </w:rPr>
        <w:t>Filings can be sent by hand or messenger delivery, by commercial overnight courier, or by first-class or overnight U.S. Postal Service mail. All filings must be addressed to the Commission's Secretary, Office of the Secretary, Federal Communications Commission.</w:t>
      </w:r>
    </w:p>
    <w:p w:rsidR="007B3733" w:rsidRPr="007B3733" w:rsidP="007B3733" w14:paraId="249260F5" w14:textId="77777777">
      <w:pPr>
        <w:widowControl/>
        <w:spacing w:after="160" w:line="259" w:lineRule="auto"/>
        <w:ind w:firstLine="720"/>
        <w:rPr>
          <w:rFonts w:eastAsia="Calibri"/>
          <w:snapToGrid/>
          <w:kern w:val="0"/>
          <w:szCs w:val="22"/>
        </w:rPr>
      </w:pPr>
      <w:r w:rsidRPr="007B3733">
        <w:rPr>
          <w:rFonts w:eastAsia="Calibri"/>
          <w:snapToGrid/>
          <w:kern w:val="0"/>
          <w:szCs w:val="22"/>
        </w:rPr>
        <w:t>All hand-delivered or messenger-delivered paper filings for the Commission's Secretary must be delivered to FCC Headquarters at 445 12th St., SW, Room TW-A325, Washington, DC 20554. The filing hours are 8:00 a.m. to 7:00 p.m. All hand deliveries must be held together with rubber bands or fasteners. Any envelopes and boxes must be disposed of </w:t>
      </w:r>
      <w:r w:rsidRPr="007B3733">
        <w:rPr>
          <w:rFonts w:eastAsia="Calibri"/>
          <w:snapToGrid/>
          <w:kern w:val="0"/>
          <w:szCs w:val="22"/>
          <w:u w:val="single"/>
        </w:rPr>
        <w:t>before</w:t>
      </w:r>
      <w:r w:rsidRPr="007B3733">
        <w:rPr>
          <w:rFonts w:eastAsia="Calibri"/>
          <w:snapToGrid/>
          <w:kern w:val="0"/>
          <w:szCs w:val="22"/>
        </w:rPr>
        <w:t> entering the building.</w:t>
      </w:r>
    </w:p>
    <w:p w:rsidR="007B3733" w:rsidRPr="007B3733" w:rsidP="007B3733" w14:paraId="1E9E66F4" w14:textId="77777777">
      <w:pPr>
        <w:widowControl/>
        <w:spacing w:after="160" w:line="259" w:lineRule="auto"/>
        <w:ind w:firstLine="720"/>
        <w:rPr>
          <w:rFonts w:eastAsia="Calibri"/>
          <w:snapToGrid/>
          <w:kern w:val="0"/>
          <w:szCs w:val="22"/>
        </w:rPr>
      </w:pPr>
      <w:r w:rsidRPr="007B3733">
        <w:rPr>
          <w:rFonts w:eastAsia="Calibri"/>
          <w:snapToGrid/>
          <w:kern w:val="0"/>
          <w:szCs w:val="22"/>
        </w:rPr>
        <w:t>Commercial overnight mail (other than U.S. Postal Service Express Mail and Priority Mail) must be sent to 9050 Junction Drive, Annapolis Junction, MD 20701.</w:t>
      </w:r>
    </w:p>
    <w:p w:rsidR="007B3733" w:rsidRPr="007B3733" w:rsidP="007B3733" w14:paraId="3DE07136" w14:textId="77777777">
      <w:pPr>
        <w:widowControl/>
        <w:spacing w:after="160" w:line="259" w:lineRule="auto"/>
        <w:ind w:firstLine="720"/>
        <w:rPr>
          <w:rFonts w:eastAsia="Calibri"/>
          <w:snapToGrid/>
          <w:kern w:val="0"/>
          <w:szCs w:val="22"/>
        </w:rPr>
      </w:pPr>
      <w:r w:rsidRPr="007B3733">
        <w:rPr>
          <w:rFonts w:eastAsia="Calibri"/>
          <w:snapToGrid/>
          <w:kern w:val="0"/>
          <w:szCs w:val="22"/>
        </w:rPr>
        <w:t>U.S. Postal Service first-class, Express, and Priority mail must be addressed to 445 12th Street, SW, Washington DC 20554.</w:t>
      </w:r>
    </w:p>
    <w:p w:rsidR="007B3733" w:rsidRPr="007B3733" w:rsidP="007B3733" w14:paraId="666404E6" w14:textId="77777777">
      <w:pPr>
        <w:widowControl/>
        <w:spacing w:after="160" w:line="259" w:lineRule="auto"/>
        <w:ind w:firstLine="720"/>
        <w:rPr>
          <w:rFonts w:eastAsia="Calibri"/>
          <w:snapToGrid/>
          <w:kern w:val="0"/>
          <w:szCs w:val="22"/>
        </w:rPr>
      </w:pPr>
      <w:r w:rsidRPr="007B3733">
        <w:rPr>
          <w:rFonts w:eastAsia="Calibri"/>
          <w:snapToGrid/>
          <w:kern w:val="0"/>
          <w:szCs w:val="22"/>
          <w:u w:val="single"/>
        </w:rPr>
        <w:t>People with Disabilities</w:t>
      </w:r>
      <w:r w:rsidRPr="007B3733">
        <w:rPr>
          <w:rFonts w:eastAsia="Calibri"/>
          <w:snapToGrid/>
          <w:kern w:val="0"/>
          <w:szCs w:val="22"/>
        </w:rPr>
        <w:t>: To request materials in accessible formats for people with disabilities (braille, large print, electronic files, audio format), send an e-mail to fcc504@fcc.gov or call the Consumer &amp; Governmental Affairs Bureau at 202-418-0530 (voice), 202-418-0432 (</w:t>
      </w:r>
      <w:r w:rsidRPr="007B3733">
        <w:rPr>
          <w:rFonts w:eastAsia="Calibri"/>
          <w:snapToGrid/>
          <w:kern w:val="0"/>
          <w:szCs w:val="22"/>
        </w:rPr>
        <w:t>tty</w:t>
      </w:r>
      <w:r w:rsidRPr="007B3733">
        <w:rPr>
          <w:rFonts w:eastAsia="Calibri"/>
          <w:snapToGrid/>
          <w:kern w:val="0"/>
          <w:szCs w:val="22"/>
        </w:rPr>
        <w:t>).</w:t>
      </w:r>
    </w:p>
    <w:p w:rsidR="007B3733" w:rsidRPr="007B3733" w:rsidP="007B3733" w14:paraId="261CD50E" w14:textId="77777777">
      <w:pPr>
        <w:widowControl/>
        <w:spacing w:after="160" w:line="259" w:lineRule="auto"/>
        <w:ind w:firstLine="720"/>
        <w:rPr>
          <w:rFonts w:eastAsia="Calibri"/>
          <w:snapToGrid/>
          <w:kern w:val="0"/>
          <w:szCs w:val="22"/>
        </w:rPr>
      </w:pPr>
      <w:r w:rsidRPr="007B3733">
        <w:rPr>
          <w:rFonts w:eastAsia="Calibri"/>
          <w:bCs/>
          <w:snapToGrid/>
          <w:kern w:val="0"/>
          <w:szCs w:val="22"/>
          <w:u w:val="single"/>
        </w:rPr>
        <w:t>Permit-but-disclose proceeding</w:t>
      </w:r>
      <w:r w:rsidRPr="007B3733">
        <w:rPr>
          <w:rFonts w:eastAsia="Calibri"/>
          <w:snapToGrid/>
          <w:kern w:val="0"/>
          <w:szCs w:val="22"/>
        </w:rPr>
        <w:t>. This proceeding shall be treated as a ““permit-but-disclose” proceeding in accordance with the Commission's </w:t>
      </w:r>
      <w:r w:rsidRPr="007B3733">
        <w:rPr>
          <w:rFonts w:eastAsia="Calibri"/>
          <w:i/>
          <w:iCs/>
          <w:snapToGrid/>
          <w:kern w:val="0"/>
          <w:szCs w:val="22"/>
        </w:rPr>
        <w:t>ex parte</w:t>
      </w:r>
      <w:r w:rsidRPr="007B3733">
        <w:rPr>
          <w:rFonts w:eastAsia="Calibri"/>
          <w:snapToGrid/>
          <w:kern w:val="0"/>
          <w:szCs w:val="22"/>
        </w:rPr>
        <w:t> rules.</w:t>
      </w:r>
      <w:r>
        <w:rPr>
          <w:rFonts w:eastAsia="Calibri"/>
          <w:snapToGrid/>
          <w:kern w:val="0"/>
          <w:szCs w:val="22"/>
          <w:vertAlign w:val="superscript"/>
        </w:rPr>
        <w:footnoteReference w:id="8"/>
      </w:r>
      <w:r w:rsidRPr="007B3733">
        <w:rPr>
          <w:rFonts w:eastAsia="Calibri"/>
          <w:snapToGrid/>
          <w:kern w:val="0"/>
          <w:szCs w:val="22"/>
        </w:rPr>
        <w:t xml:space="preserve"> Persons making </w:t>
      </w:r>
      <w:r w:rsidRPr="007B3733">
        <w:rPr>
          <w:rFonts w:eastAsia="Calibri"/>
          <w:i/>
          <w:iCs/>
          <w:snapToGrid/>
          <w:kern w:val="0"/>
          <w:szCs w:val="22"/>
        </w:rPr>
        <w:t>ex parte</w:t>
      </w:r>
      <w:r w:rsidRPr="007B3733">
        <w:rPr>
          <w:rFonts w:eastAsia="Calibri"/>
          <w:snapToGrid/>
          <w:kern w:val="0"/>
          <w:szCs w:val="22"/>
        </w:rPr>
        <w:t> presentations must file a copy of any written presentation or a memorandum summarizing any oral presentation within two business days after the presentation (unless a different deadline applicable to the Sunshine period applies). Persons making oral </w:t>
      </w:r>
      <w:r w:rsidRPr="007B3733">
        <w:rPr>
          <w:rFonts w:eastAsia="Calibri"/>
          <w:i/>
          <w:iCs/>
          <w:snapToGrid/>
          <w:kern w:val="0"/>
          <w:szCs w:val="22"/>
        </w:rPr>
        <w:t>ex parte</w:t>
      </w:r>
      <w:r w:rsidRPr="007B3733">
        <w:rPr>
          <w:rFonts w:eastAsia="Calibri"/>
          <w:snapToGrid/>
          <w:kern w:val="0"/>
          <w:szCs w:val="22"/>
        </w:rPr>
        <w:t> presentations are reminded that memoranda summarizing the presentation must (1) list all persons attending or otherwise participating in the meeting at which the </w:t>
      </w:r>
      <w:r w:rsidRPr="007B3733">
        <w:rPr>
          <w:rFonts w:eastAsia="Calibri"/>
          <w:i/>
          <w:iCs/>
          <w:snapToGrid/>
          <w:kern w:val="0"/>
          <w:szCs w:val="22"/>
        </w:rPr>
        <w:t>ex parte</w:t>
      </w:r>
      <w:r w:rsidRPr="007B3733">
        <w:rPr>
          <w:rFonts w:eastAsia="Calibri"/>
          <w:snapToGrid/>
          <w:kern w:val="0"/>
          <w:szCs w:val="22"/>
        </w:rPr>
        <w:t xml:space="preserv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w:t>
      </w:r>
      <w:r w:rsidRPr="007B3733">
        <w:rPr>
          <w:rFonts w:eastAsia="Calibri"/>
          <w:snapToGrid/>
          <w:kern w:val="0"/>
          <w:szCs w:val="22"/>
        </w:rPr>
        <w:t>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7B3733">
        <w:rPr>
          <w:rFonts w:eastAsia="Calibri"/>
          <w:i/>
          <w:iCs/>
          <w:snapToGrid/>
          <w:kern w:val="0"/>
          <w:szCs w:val="22"/>
        </w:rPr>
        <w:t>ex parte</w:t>
      </w:r>
      <w:r w:rsidRPr="007B3733">
        <w:rPr>
          <w:rFonts w:eastAsia="Calibri"/>
          <w:snapToGrid/>
          <w:kern w:val="0"/>
          <w:szCs w:val="22"/>
        </w:rPr>
        <w:t> meetings are deemed to be written </w:t>
      </w:r>
      <w:r w:rsidRPr="007B3733">
        <w:rPr>
          <w:rFonts w:eastAsia="Calibri"/>
          <w:i/>
          <w:iCs/>
          <w:snapToGrid/>
          <w:kern w:val="0"/>
          <w:szCs w:val="22"/>
        </w:rPr>
        <w:t>ex parte</w:t>
      </w:r>
      <w:r w:rsidRPr="007B3733">
        <w:rPr>
          <w:rFonts w:eastAsia="Calibri"/>
          <w:snapToGrid/>
          <w:kern w:val="0"/>
          <w:szCs w:val="22"/>
        </w:rPr>
        <w:t> presentations and must be filed consistent with rule 1.1206(b). In proceedings governed by rule 1.49(f) or for which the Commission has made available a method of electronic filing, written </w:t>
      </w:r>
      <w:r w:rsidRPr="007B3733">
        <w:rPr>
          <w:rFonts w:eastAsia="Calibri"/>
          <w:i/>
          <w:iCs/>
          <w:snapToGrid/>
          <w:kern w:val="0"/>
          <w:szCs w:val="22"/>
        </w:rPr>
        <w:t>ex parte</w:t>
      </w:r>
      <w:r w:rsidRPr="007B3733">
        <w:rPr>
          <w:rFonts w:eastAsia="Calibri"/>
          <w:snapToGrid/>
          <w:kern w:val="0"/>
          <w:szCs w:val="22"/>
        </w:rPr>
        <w:t> presentations and memoranda summarizing oral </w:t>
      </w:r>
      <w:r w:rsidRPr="007B3733">
        <w:rPr>
          <w:rFonts w:eastAsia="Calibri"/>
          <w:i/>
          <w:iCs/>
          <w:snapToGrid/>
          <w:kern w:val="0"/>
          <w:szCs w:val="22"/>
        </w:rPr>
        <w:t>ex parte</w:t>
      </w:r>
      <w:r w:rsidRPr="007B3733">
        <w:rPr>
          <w:rFonts w:eastAsia="Calibri"/>
          <w:snapToGrid/>
          <w:kern w:val="0"/>
          <w:szCs w:val="22"/>
        </w:rPr>
        <w:t> presentations, and all attachments thereto, must be filed through the electronic comment filing system available for that proceeding, and must be filed in their native format (e.g.,.doc,.xml,.ppt, searchable.pdf). Participants in this proceeding should familiarize themselves with the Commission's </w:t>
      </w:r>
      <w:r w:rsidRPr="007B3733">
        <w:rPr>
          <w:rFonts w:eastAsia="Calibri"/>
          <w:i/>
          <w:iCs/>
          <w:snapToGrid/>
          <w:kern w:val="0"/>
          <w:szCs w:val="22"/>
        </w:rPr>
        <w:t>ex parte</w:t>
      </w:r>
      <w:r w:rsidRPr="007B3733">
        <w:rPr>
          <w:rFonts w:eastAsia="Calibri"/>
          <w:snapToGrid/>
          <w:kern w:val="0"/>
          <w:szCs w:val="22"/>
        </w:rPr>
        <w:t> rules.</w:t>
      </w:r>
    </w:p>
    <w:p w:rsidR="007B3733" w:rsidP="009B3AB0" w14:paraId="3B264A56" w14:textId="77777777">
      <w:pPr>
        <w:widowControl/>
        <w:spacing w:after="160" w:line="259" w:lineRule="auto"/>
        <w:ind w:firstLine="720"/>
        <w:rPr>
          <w:rFonts w:eastAsia="Calibri"/>
          <w:snapToGrid/>
          <w:kern w:val="0"/>
          <w:szCs w:val="22"/>
        </w:rPr>
      </w:pPr>
      <w:r w:rsidRPr="007B3733">
        <w:rPr>
          <w:rFonts w:eastAsia="Calibri"/>
          <w:snapToGrid/>
          <w:kern w:val="0"/>
          <w:szCs w:val="22"/>
        </w:rPr>
        <w:t xml:space="preserve">For further information, please contact Linda Pintro, Attorney-Advisor, Policy and Licensing Division, Public Safety and Homeland Security Bureau at 202-418-7490 or </w:t>
      </w:r>
      <w:hyperlink r:id="rId8" w:history="1">
        <w:r w:rsidRPr="007B3733">
          <w:rPr>
            <w:rStyle w:val="Hyperlink"/>
            <w:rFonts w:eastAsia="Calibri"/>
            <w:snapToGrid/>
            <w:color w:val="000000" w:themeColor="text1"/>
            <w:kern w:val="0"/>
            <w:szCs w:val="22"/>
            <w:u w:val="none"/>
          </w:rPr>
          <w:t>Linda.Pintro@fcc.gov</w:t>
        </w:r>
      </w:hyperlink>
      <w:r w:rsidRPr="007B3733">
        <w:rPr>
          <w:rFonts w:eastAsia="Calibri"/>
          <w:snapToGrid/>
          <w:kern w:val="0"/>
          <w:szCs w:val="22"/>
        </w:rPr>
        <w:t>.</w:t>
      </w:r>
    </w:p>
    <w:p w:rsidR="007B3733" w:rsidRPr="007B3733" w:rsidP="007B3733" w14:paraId="46FE8D53" w14:textId="77777777">
      <w:pPr>
        <w:widowControl/>
        <w:spacing w:after="160" w:line="259" w:lineRule="auto"/>
        <w:jc w:val="center"/>
        <w:rPr>
          <w:rFonts w:eastAsia="Calibri"/>
          <w:b/>
          <w:snapToGrid/>
          <w:kern w:val="0"/>
          <w:szCs w:val="22"/>
        </w:rPr>
      </w:pPr>
      <w:r w:rsidRPr="007B3733">
        <w:rPr>
          <w:rFonts w:eastAsia="Calibri"/>
          <w:b/>
          <w:snapToGrid/>
          <w:kern w:val="0"/>
          <w:szCs w:val="22"/>
        </w:rPr>
        <w:t>-FCC-</w:t>
      </w:r>
    </w:p>
    <w:p w:rsidR="00930ECF" w:rsidRPr="007B3733" w:rsidP="00F96F63" w14:paraId="2E8078F4" w14:textId="77777777">
      <w:pPr>
        <w:rPr>
          <w:sz w:val="24"/>
        </w:rPr>
      </w:pPr>
    </w:p>
    <w:sectPr w:rsidSect="000E5884">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756D01B2"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71E70EA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1AC38B21" w14:textId="77777777">
    <w:pPr>
      <w:pStyle w:val="Footer"/>
      <w:jc w:val="center"/>
    </w:pPr>
    <w:r>
      <w:fldChar w:fldCharType="begin"/>
    </w:r>
    <w:r>
      <w:instrText xml:space="preserve"> PAGE   \* MERGEFORMAT </w:instrText>
    </w:r>
    <w:r>
      <w:fldChar w:fldCharType="separate"/>
    </w:r>
    <w:r w:rsidR="00CC32FF">
      <w:rPr>
        <w:noProof/>
      </w:rPr>
      <w:t>3</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2E37292E"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3D3AE8" w14:paraId="17730F6E" w14:textId="77777777">
      <w:r>
        <w:separator/>
      </w:r>
    </w:p>
  </w:footnote>
  <w:footnote w:type="continuationSeparator" w:id="1">
    <w:p w:rsidR="003D3AE8" w:rsidRPr="009B3AB0" w:rsidP="009B3AB0" w14:paraId="591AF1D4" w14:textId="77777777">
      <w:pPr>
        <w:pStyle w:val="Footer"/>
      </w:pPr>
    </w:p>
  </w:footnote>
  <w:footnote w:type="continuationNotice" w:id="2">
    <w:p w:rsidR="003D3AE8" w:rsidRPr="007B3733" w:rsidP="007B3733" w14:paraId="44AE8DED" w14:textId="77777777">
      <w:pPr>
        <w:pStyle w:val="Footer"/>
      </w:pPr>
    </w:p>
  </w:footnote>
  <w:footnote w:id="3">
    <w:p w:rsidR="007B3733" w:rsidP="00BA7A44" w14:paraId="7548FCAB" w14:textId="77777777">
      <w:pPr>
        <w:widowControl/>
        <w:spacing w:after="120" w:line="259" w:lineRule="auto"/>
      </w:pPr>
      <w:r>
        <w:rPr>
          <w:rStyle w:val="FootnoteReference"/>
        </w:rPr>
        <w:footnoteRef/>
      </w:r>
      <w:r>
        <w:t xml:space="preserve"> </w:t>
      </w:r>
      <w:r w:rsidRPr="00BA7A44">
        <w:rPr>
          <w:sz w:val="20"/>
        </w:rPr>
        <w:t>Petition for Rulemaking filed July 17, 2019 by the National Telecommunications and Information Administration (Petition) available at:</w:t>
      </w:r>
      <w:r w:rsidRPr="00BA7A44">
        <w:rPr>
          <w:color w:val="000000" w:themeColor="text1"/>
          <w:sz w:val="20"/>
        </w:rPr>
        <w:t xml:space="preserve"> </w:t>
      </w:r>
      <w:hyperlink r:id="rId1" w:history="1">
        <w:r w:rsidRPr="00BA7A44">
          <w:rPr>
            <w:rStyle w:val="Hyperlink"/>
            <w:color w:val="000000" w:themeColor="text1"/>
            <w:sz w:val="20"/>
            <w:u w:val="none"/>
          </w:rPr>
          <w:t>https://ecfsapi.fcc.gov/file/10717271312819/NTIA%20TSP%20Petition%20for%20Rulemaking%207.17.19.pdf</w:t>
        </w:r>
      </w:hyperlink>
      <w:r w:rsidRPr="007B3733">
        <w:rPr>
          <w:color w:val="000000" w:themeColor="text1"/>
        </w:rPr>
        <w:t>.</w:t>
      </w:r>
    </w:p>
  </w:footnote>
  <w:footnote w:id="4">
    <w:p w:rsidR="007B3733" w:rsidP="00BA7A44" w14:paraId="0C122AC1" w14:textId="77777777">
      <w:pPr>
        <w:widowControl/>
        <w:spacing w:after="120"/>
      </w:pPr>
      <w:r>
        <w:rPr>
          <w:rStyle w:val="FootnoteReference"/>
        </w:rPr>
        <w:footnoteRef/>
      </w:r>
      <w:r>
        <w:t xml:space="preserve"> </w:t>
      </w:r>
      <w:r w:rsidRPr="00BA7A44">
        <w:rPr>
          <w:sz w:val="20"/>
        </w:rPr>
        <w:t xml:space="preserve">Petition at 2.  </w:t>
      </w:r>
      <w:r w:rsidR="00CC487C">
        <w:rPr>
          <w:sz w:val="20"/>
        </w:rPr>
        <w:t xml:space="preserve">In addition to the Petition, </w:t>
      </w:r>
      <w:r w:rsidRPr="00BA7A44" w:rsidR="00142E4F">
        <w:rPr>
          <w:rFonts w:eastAsia="Calibri"/>
          <w:kern w:val="0"/>
          <w:sz w:val="20"/>
        </w:rPr>
        <w:t xml:space="preserve">NTIA filed </w:t>
      </w:r>
      <w:r w:rsidRPr="00BA7A44" w:rsidR="00450A87">
        <w:rPr>
          <w:rFonts w:eastAsia="Calibri"/>
          <w:kern w:val="0"/>
          <w:sz w:val="20"/>
        </w:rPr>
        <w:t>supplement</w:t>
      </w:r>
      <w:r w:rsidR="00142E4F">
        <w:rPr>
          <w:rFonts w:eastAsia="Calibri"/>
          <w:kern w:val="0"/>
          <w:sz w:val="20"/>
        </w:rPr>
        <w:t>al comments</w:t>
      </w:r>
      <w:r w:rsidR="00CC487C">
        <w:rPr>
          <w:rFonts w:eastAsia="Calibri"/>
          <w:kern w:val="0"/>
          <w:sz w:val="20"/>
        </w:rPr>
        <w:t xml:space="preserve"> on Wireless Priority Services (WPS).</w:t>
      </w:r>
      <w:r w:rsidR="00142E4F">
        <w:rPr>
          <w:rFonts w:eastAsia="Calibri"/>
          <w:kern w:val="0"/>
          <w:sz w:val="20"/>
        </w:rPr>
        <w:t xml:space="preserve"> </w:t>
      </w:r>
      <w:r w:rsidRPr="00BA7A44" w:rsidR="00C04889">
        <w:rPr>
          <w:rFonts w:eastAsia="Calibri"/>
          <w:kern w:val="0"/>
          <w:sz w:val="20"/>
        </w:rPr>
        <w:t xml:space="preserve"> Ex parte </w:t>
      </w:r>
      <w:r w:rsidRPr="00BA7A44" w:rsidR="007041A3">
        <w:rPr>
          <w:rFonts w:eastAsia="Calibri"/>
          <w:kern w:val="0"/>
          <w:sz w:val="20"/>
        </w:rPr>
        <w:t>Comments of NTIA</w:t>
      </w:r>
      <w:r w:rsidRPr="00BA7A44" w:rsidR="007041A3">
        <w:rPr>
          <w:sz w:val="20"/>
        </w:rPr>
        <w:t xml:space="preserve"> </w:t>
      </w:r>
      <w:r w:rsidRPr="00BA7A44" w:rsidR="007041A3">
        <w:rPr>
          <w:rFonts w:eastAsia="Calibri"/>
          <w:kern w:val="0"/>
          <w:sz w:val="20"/>
        </w:rPr>
        <w:t xml:space="preserve">available at: </w:t>
      </w:r>
      <w:hyperlink r:id="rId2" w:history="1">
        <w:r w:rsidRPr="00BA7A44" w:rsidR="007041A3">
          <w:rPr>
            <w:rStyle w:val="Hyperlink"/>
            <w:rFonts w:eastAsia="Calibri"/>
            <w:color w:val="000000" w:themeColor="text1"/>
            <w:kern w:val="0"/>
            <w:sz w:val="20"/>
            <w:u w:val="none"/>
          </w:rPr>
          <w:t>https://ecfsapi.fcc.gov/file/10717858004691/NTIA%20WPS%20ExParte%20Comment%207.17.19.pdf</w:t>
        </w:r>
      </w:hyperlink>
      <w:r w:rsidRPr="00BA7A44" w:rsidR="007041A3">
        <w:rPr>
          <w:rFonts w:eastAsia="Calibri"/>
          <w:color w:val="000000" w:themeColor="text1"/>
          <w:kern w:val="0"/>
          <w:sz w:val="20"/>
        </w:rPr>
        <w:t xml:space="preserve">.  The supplement updates NTIA’s </w:t>
      </w:r>
      <w:r w:rsidRPr="00BA7A44" w:rsidR="00450A87">
        <w:rPr>
          <w:rFonts w:eastAsia="Calibri"/>
          <w:kern w:val="0"/>
          <w:sz w:val="20"/>
        </w:rPr>
        <w:t>previous petition for rulemaking</w:t>
      </w:r>
      <w:r w:rsidRPr="00BA7A44" w:rsidR="00450A87">
        <w:rPr>
          <w:rFonts w:eastAsia="Calibri"/>
          <w:kern w:val="0"/>
          <w:sz w:val="20"/>
          <w:vertAlign w:val="superscript"/>
        </w:rPr>
        <w:t xml:space="preserve">, </w:t>
      </w:r>
      <w:r w:rsidRPr="00BA7A44" w:rsidR="00C04889">
        <w:rPr>
          <w:rFonts w:eastAsia="Calibri"/>
          <w:kern w:val="0"/>
          <w:sz w:val="20"/>
        </w:rPr>
        <w:t xml:space="preserve">seeking revisions to the </w:t>
      </w:r>
      <w:r w:rsidR="00CC487C">
        <w:rPr>
          <w:rFonts w:eastAsia="Calibri"/>
          <w:kern w:val="0"/>
          <w:sz w:val="20"/>
        </w:rPr>
        <w:t xml:space="preserve">WPS </w:t>
      </w:r>
      <w:r w:rsidRPr="00BA7A44" w:rsidR="00C04889">
        <w:rPr>
          <w:rFonts w:eastAsia="Calibri"/>
          <w:kern w:val="0"/>
          <w:sz w:val="20"/>
        </w:rPr>
        <w:t>rules.</w:t>
      </w:r>
      <w:r w:rsidRPr="00BA7A44" w:rsidR="007041A3">
        <w:rPr>
          <w:color w:val="000000"/>
          <w:sz w:val="20"/>
        </w:rPr>
        <w:t xml:space="preserve"> </w:t>
      </w:r>
      <w:r w:rsidRPr="00BA7A44" w:rsidR="007041A3">
        <w:rPr>
          <w:i/>
          <w:sz w:val="20"/>
        </w:rPr>
        <w:t>See Public Safety and Homeland Security Bureau Seeks Comment on Petition for Rulemaking Filed by the National Telecommunications and Information Administration to Revise the Rules for Wireless Priority Service</w:t>
      </w:r>
      <w:r w:rsidRPr="00BA7A44" w:rsidR="007041A3">
        <w:rPr>
          <w:sz w:val="20"/>
        </w:rPr>
        <w:t>, Public Notice, 33 FCC Rcd 8131 (2018) (</w:t>
      </w:r>
      <w:r w:rsidRPr="00BA7A44" w:rsidR="007041A3">
        <w:rPr>
          <w:i/>
          <w:sz w:val="20"/>
        </w:rPr>
        <w:t>WPS Public Notice</w:t>
      </w:r>
      <w:r w:rsidRPr="00BA7A44" w:rsidR="007041A3">
        <w:rPr>
          <w:sz w:val="20"/>
        </w:rPr>
        <w:t xml:space="preserve">).  </w:t>
      </w:r>
      <w:r w:rsidRPr="00BA7A44" w:rsidR="00450A87">
        <w:rPr>
          <w:rFonts w:eastAsia="Calibri"/>
          <w:kern w:val="0"/>
          <w:sz w:val="20"/>
        </w:rPr>
        <w:t>The</w:t>
      </w:r>
      <w:r w:rsidRPr="00BA7A44" w:rsidR="007041A3">
        <w:rPr>
          <w:rFonts w:eastAsia="Calibri"/>
          <w:kern w:val="0"/>
          <w:sz w:val="20"/>
        </w:rPr>
        <w:t xml:space="preserve"> NTIA</w:t>
      </w:r>
      <w:r w:rsidRPr="00BA7A44" w:rsidR="00450A87">
        <w:rPr>
          <w:rFonts w:eastAsia="Calibri"/>
          <w:kern w:val="0"/>
          <w:sz w:val="20"/>
        </w:rPr>
        <w:t xml:space="preserve"> supplement </w:t>
      </w:r>
      <w:r w:rsidR="00CC487C">
        <w:rPr>
          <w:rFonts w:eastAsia="Calibri"/>
          <w:kern w:val="0"/>
          <w:sz w:val="20"/>
        </w:rPr>
        <w:t xml:space="preserve">updates its prior petition in light of revisions to technical standards and </w:t>
      </w:r>
      <w:r w:rsidRPr="00BA7A44" w:rsidR="00450A87">
        <w:rPr>
          <w:rFonts w:eastAsia="Calibri"/>
          <w:kern w:val="0"/>
          <w:sz w:val="20"/>
        </w:rPr>
        <w:t xml:space="preserve">the Cybersecurity and Infrastructure Security Agency (CISA) Act of 2018, Pub. L. No. 115-454, which made certain organizational changes </w:t>
      </w:r>
      <w:r w:rsidR="00CC487C">
        <w:rPr>
          <w:rFonts w:eastAsia="Calibri"/>
          <w:kern w:val="0"/>
          <w:sz w:val="20"/>
        </w:rPr>
        <w:t xml:space="preserve">within </w:t>
      </w:r>
      <w:r w:rsidRPr="00BA7A44" w:rsidR="00450A87">
        <w:rPr>
          <w:rFonts w:eastAsia="Calibri"/>
          <w:kern w:val="0"/>
          <w:sz w:val="20"/>
        </w:rPr>
        <w:t>the Department of Homeland Security</w:t>
      </w:r>
      <w:r w:rsidRPr="00BA7A44" w:rsidR="007041A3">
        <w:rPr>
          <w:rFonts w:eastAsia="Calibri"/>
          <w:kern w:val="0"/>
          <w:sz w:val="20"/>
        </w:rPr>
        <w:t>.</w:t>
      </w:r>
      <w:r w:rsidRPr="00BA7A44" w:rsidR="00450A87">
        <w:rPr>
          <w:kern w:val="0"/>
          <w:sz w:val="20"/>
        </w:rPr>
        <w:t xml:space="preserve"> </w:t>
      </w:r>
      <w:r>
        <w:t xml:space="preserve"> </w:t>
      </w:r>
    </w:p>
  </w:footnote>
  <w:footnote w:id="5">
    <w:p w:rsidR="007041A3" w:rsidP="00142E4F" w14:paraId="2FFEE0B1" w14:textId="77777777">
      <w:pPr>
        <w:pStyle w:val="FootnoteText"/>
      </w:pPr>
      <w:r>
        <w:rPr>
          <w:rStyle w:val="FootnoteReference"/>
        </w:rPr>
        <w:footnoteRef/>
      </w:r>
      <w:r>
        <w:t xml:space="preserve"> Petition at 2.</w:t>
      </w:r>
      <w:bookmarkStart w:id="0" w:name="_GoBack"/>
      <w:bookmarkEnd w:id="0"/>
    </w:p>
  </w:footnote>
  <w:footnote w:id="6">
    <w:p w:rsidR="007B3733" w:rsidP="007B3733" w14:paraId="5FFEB114" w14:textId="77777777">
      <w:pPr>
        <w:pStyle w:val="FootnoteText"/>
      </w:pPr>
      <w:r>
        <w:rPr>
          <w:rStyle w:val="FootnoteReference"/>
        </w:rPr>
        <w:footnoteRef/>
      </w:r>
      <w:r>
        <w:t xml:space="preserve"> </w:t>
      </w:r>
      <w:r w:rsidRPr="00A36E1E">
        <w:rPr>
          <w:i/>
        </w:rPr>
        <w:t>Id</w:t>
      </w:r>
      <w:r>
        <w:t>. at 1-2.</w:t>
      </w:r>
    </w:p>
  </w:footnote>
  <w:footnote w:id="7">
    <w:p w:rsidR="00C04889" w14:paraId="48DC30BF" w14:textId="77777777">
      <w:pPr>
        <w:pStyle w:val="FootnoteText"/>
      </w:pPr>
      <w:r>
        <w:rPr>
          <w:rStyle w:val="FootnoteReference"/>
        </w:rPr>
        <w:footnoteRef/>
      </w:r>
      <w:r>
        <w:t xml:space="preserve"> </w:t>
      </w:r>
      <w:r w:rsidRPr="00C04889">
        <w:rPr>
          <w:i/>
        </w:rPr>
        <w:t>See supra</w:t>
      </w:r>
      <w:r>
        <w:t xml:space="preserve"> note 2.</w:t>
      </w:r>
    </w:p>
  </w:footnote>
  <w:footnote w:id="8">
    <w:p w:rsidR="007B3733" w:rsidP="007B3733" w14:paraId="4246D91E" w14:textId="77777777">
      <w:pPr>
        <w:pStyle w:val="FootnoteText"/>
      </w:pPr>
      <w:r>
        <w:rPr>
          <w:rStyle w:val="FootnoteReference"/>
        </w:rPr>
        <w:footnoteRef/>
      </w:r>
      <w:r>
        <w:t xml:space="preserve"> </w:t>
      </w:r>
      <w:hyperlink r:id="rId3" w:history="1">
        <w:r w:rsidRPr="007B3733">
          <w:rPr>
            <w:rStyle w:val="Hyperlink"/>
            <w:color w:val="000000"/>
            <w:u w:val="none"/>
          </w:rPr>
          <w:t>47 CFR §§ 1.1200 </w:t>
        </w:r>
        <w:r w:rsidRPr="007B3733">
          <w:rPr>
            <w:rStyle w:val="Hyperlink"/>
            <w:i/>
            <w:iCs/>
            <w:color w:val="000000"/>
            <w:u w:val="none"/>
          </w:rPr>
          <w:t>et seq</w:t>
        </w:r>
        <w:r w:rsidRPr="007B3733">
          <w:rPr>
            <w:rStyle w:val="Hyperlink"/>
            <w:color w:val="000000"/>
            <w:u w:val="none"/>
          </w:rPr>
          <w:t>.</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3C5B5FFC" w14:textId="77777777">
    <w:pPr>
      <w:tabs>
        <w:tab w:val="center" w:pos="4680"/>
        <w:tab w:val="right" w:pos="9360"/>
      </w:tabs>
    </w:pPr>
    <w:r w:rsidRPr="009838BC">
      <w:rPr>
        <w:b/>
      </w:rPr>
      <w:tab/>
      <w:t>Federal Communications Commission</w:t>
    </w:r>
    <w:r w:rsidRPr="009838BC">
      <w:rPr>
        <w:b/>
      </w:rPr>
      <w:tab/>
    </w:r>
    <w:r w:rsidR="00601D1F">
      <w:rPr>
        <w:b/>
      </w:rPr>
      <w:t>DA 19-723</w:t>
    </w:r>
  </w:p>
  <w:p w:rsidR="009838BC" w:rsidRPr="009838BC" w:rsidP="009838BC" w14:paraId="187E24E2"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9838BC" w:rsidRPr="009838BC" w:rsidP="009838BC" w14:paraId="3A59BFE1"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277440A7" w14:textId="77777777">
    <w:pPr>
      <w:spacing w:before="40"/>
      <w:rPr>
        <w:rFonts w:ascii="Arial" w:hAnsi="Arial" w:cs="Arial"/>
        <w:b/>
        <w:sz w:val="96"/>
      </w:rPr>
    </w:pPr>
    <w:r>
      <w:rPr>
        <w:noProof/>
      </w:rPr>
      <mc:AlternateContent>
        <mc:Choice Requires="wps">
          <w:drawing>
            <wp:anchor distT="0" distB="0" distL="114300" distR="114300" simplePos="0" relativeHeight="251660288"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paraId="40D48EEC" w14:textId="77777777">
                          <w:pPr>
                            <w:rPr>
                              <w:rFonts w:ascii="Arial" w:hAnsi="Arial"/>
                              <w:b/>
                            </w:rPr>
                          </w:pPr>
                          <w:r>
                            <w:rPr>
                              <w:rFonts w:ascii="Arial" w:hAnsi="Arial"/>
                              <w:b/>
                            </w:rPr>
                            <w:t>Federal Communications Commission</w:t>
                          </w:r>
                        </w:p>
                        <w:p w:rsidR="009838BC" w:rsidP="009838BC" w14:paraId="357BBE24"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14:paraId="673A2CB7" w14:textId="777777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61312" o:allowincell="f" stroked="f">
              <v:textbox>
                <w:txbxContent>
                  <w:p w:rsidR="009838BC" w:rsidP="009838BC" w14:paraId="5549FBDF" w14:textId="77777777">
                    <w:pPr>
                      <w:rPr>
                        <w:rFonts w:ascii="Arial" w:hAnsi="Arial"/>
                        <w:b/>
                      </w:rPr>
                    </w:pPr>
                    <w:r>
                      <w:rPr>
                        <w:rFonts w:ascii="Arial" w:hAnsi="Arial"/>
                        <w:b/>
                      </w:rPr>
                      <w:t>Federal Communications Commission</w:t>
                    </w:r>
                  </w:p>
                  <w:p w:rsidR="009838BC" w:rsidP="009838BC" w14:paraId="12509040"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14:paraId="37BAB2DA" w14:textId="77777777">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2336"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3052635"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866AC">
      <w:rPr>
        <w:rFonts w:ascii="Arial" w:hAnsi="Arial" w:cs="Arial"/>
        <w:b/>
        <w:sz w:val="96"/>
      </w:rPr>
      <w:t>PUBLIC NOTICE</w:t>
    </w:r>
  </w:p>
  <w:p w:rsidR="009838BC" w:rsidRPr="00357D50" w:rsidP="009838BC" w14:paraId="31E1011D" w14:textId="77777777">
    <w:pPr>
      <w:spacing w:before="40"/>
      <w:rPr>
        <w:rFonts w:ascii="Arial" w:hAnsi="Arial" w:cs="Arial"/>
        <w:b/>
        <w:sz w:val="96"/>
      </w:rPr>
    </w:pPr>
    <w:r>
      <w:rPr>
        <w:noProof/>
      </w:rPr>
      <mc:AlternateContent>
        <mc:Choice Requires="wps">
          <w:drawing>
            <wp:anchor distT="0" distB="0" distL="114300" distR="114300" simplePos="0" relativeHeight="251663360" behindDoc="0" locked="0" layoutInCell="0" allowOverlap="1">
              <wp:simplePos x="0" y="0"/>
              <wp:positionH relativeFrom="margin">
                <wp:align>right</wp:align>
              </wp:positionH>
              <wp:positionV relativeFrom="paragraph">
                <wp:posOffset>720089</wp:posOffset>
              </wp:positionV>
              <wp:extent cx="5943600" cy="0"/>
              <wp:effectExtent l="0" t="0" r="0" b="0"/>
              <wp:wrapNone/>
              <wp:docPr id="10"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pt;mso-wrap-distance-left:9pt;mso-wrap-distance-right:9pt;mso-wrap-distance-top:0pt;mso-wrap-style:square;position:absolute;visibility:visible;z-index:251664384" from="416.8pt,56.7pt" to="884.8pt,56.7pt" o:allowincell="f">
              <w10:wrap anchorx="margin"/>
            </v:line>
          </w:pict>
        </mc:Fallback>
      </mc:AlternateContent>
    </w:r>
    <w:r>
      <w:rPr>
        <w:noProof/>
      </w:rPr>
      <mc:AlternateContent>
        <mc:Choice Requires="wps">
          <w:drawing>
            <wp:anchor distT="0" distB="0" distL="114300" distR="114300" simplePos="0" relativeHeight="251665408"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paraId="46F38DB4" w14:textId="77777777">
                          <w:pPr>
                            <w:spacing w:before="40"/>
                            <w:jc w:val="right"/>
                            <w:rPr>
                              <w:rFonts w:ascii="Arial" w:hAnsi="Arial"/>
                              <w:b/>
                              <w:sz w:val="16"/>
                            </w:rPr>
                          </w:pPr>
                          <w:r>
                            <w:rPr>
                              <w:rFonts w:ascii="Arial" w:hAnsi="Arial"/>
                              <w:b/>
                              <w:sz w:val="16"/>
                            </w:rPr>
                            <w:t>News Media Information 202 / 418-0500</w:t>
                          </w:r>
                        </w:p>
                        <w:p w:rsidR="009838BC" w:rsidP="009838BC" w14:paraId="088FFAB3" w14:textId="77777777">
                          <w:pPr>
                            <w:jc w:val="right"/>
                            <w:rPr>
                              <w:rFonts w:ascii="Arial" w:hAnsi="Arial"/>
                              <w:b/>
                              <w:sz w:val="16"/>
                            </w:rPr>
                          </w:pPr>
                          <w:r>
                            <w:rPr>
                              <w:rFonts w:ascii="Arial" w:hAnsi="Arial"/>
                              <w:b/>
                              <w:sz w:val="16"/>
                            </w:rPr>
                            <w:t xml:space="preserve">Internet: </w:t>
                          </w:r>
                          <w:bookmarkStart w:id="1" w:name="_Hlt233824"/>
                          <w:hyperlink r:id="rId2" w:history="1">
                            <w:r w:rsidRPr="00D216CD">
                              <w:rPr>
                                <w:rStyle w:val="Hyperlink"/>
                                <w:rFonts w:ascii="Arial" w:hAnsi="Arial"/>
                                <w:b/>
                                <w:sz w:val="16"/>
                              </w:rPr>
                              <w:t>h</w:t>
                            </w:r>
                            <w:bookmarkEnd w:id="1"/>
                            <w:r w:rsidRPr="00D216CD">
                              <w:rPr>
                                <w:rStyle w:val="Hyperlink"/>
                                <w:rFonts w:ascii="Arial" w:hAnsi="Arial"/>
                                <w:b/>
                                <w:sz w:val="16"/>
                              </w:rPr>
                              <w:t>ttps://www.fcc.gov</w:t>
                            </w:r>
                          </w:hyperlink>
                        </w:p>
                        <w:p w:rsidR="009838BC" w:rsidP="009838BC" w14:paraId="1691635F"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6432" o:allowincell="f" stroked="f">
              <v:textbox inset=",0,,0">
                <w:txbxContent>
                  <w:p w:rsidR="009838BC" w:rsidP="009838BC" w14:paraId="22EA8BB5" w14:textId="77777777">
                    <w:pPr>
                      <w:spacing w:before="40"/>
                      <w:jc w:val="right"/>
                      <w:rPr>
                        <w:rFonts w:ascii="Arial" w:hAnsi="Arial"/>
                        <w:b/>
                        <w:sz w:val="16"/>
                      </w:rPr>
                    </w:pPr>
                    <w:r>
                      <w:rPr>
                        <w:rFonts w:ascii="Arial" w:hAnsi="Arial"/>
                        <w:b/>
                        <w:sz w:val="16"/>
                      </w:rPr>
                      <w:t>News Media Information 202 / 418-0500</w:t>
                    </w:r>
                  </w:p>
                  <w:p w:rsidR="009838BC" w:rsidP="009838BC" w14:paraId="1AFE7287" w14:textId="77777777">
                    <w:pPr>
                      <w:jc w:val="right"/>
                      <w:rPr>
                        <w:rFonts w:ascii="Arial" w:hAnsi="Arial"/>
                        <w:b/>
                        <w:sz w:val="16"/>
                      </w:rPr>
                    </w:pPr>
                    <w:r>
                      <w:rPr>
                        <w:rFonts w:ascii="Arial" w:hAnsi="Arial"/>
                        <w:b/>
                        <w:sz w:val="16"/>
                      </w:rPr>
                      <w:t xml:space="preserve">Internet: </w:t>
                    </w:r>
                    <w:bookmarkStart w:id="1" w:name="_Hlt233824"/>
                    <w:hyperlink r:id="rId2" w:history="1">
                      <w:r w:rsidRPr="00D216CD">
                        <w:rPr>
                          <w:rStyle w:val="Hyperlink"/>
                          <w:rFonts w:ascii="Arial" w:hAnsi="Arial"/>
                          <w:b/>
                          <w:sz w:val="16"/>
                        </w:rPr>
                        <w:t>h</w:t>
                      </w:r>
                      <w:bookmarkEnd w:id="1"/>
                      <w:r w:rsidRPr="00D216CD">
                        <w:rPr>
                          <w:rStyle w:val="Hyperlink"/>
                          <w:rFonts w:ascii="Arial" w:hAnsi="Arial"/>
                          <w:b/>
                          <w:sz w:val="16"/>
                        </w:rPr>
                        <w:t>ttps://www.fcc.gov</w:t>
                      </w:r>
                    </w:hyperlink>
                  </w:p>
                  <w:p w:rsidR="009838BC" w:rsidP="009838BC" w14:paraId="2E7C5B5E" w14:textId="77777777">
                    <w:pPr>
                      <w:jc w:val="right"/>
                    </w:pPr>
                    <w:r>
                      <w:rPr>
                        <w:rFonts w:ascii="Arial" w:hAnsi="Arial"/>
                        <w:b/>
                        <w:sz w:val="16"/>
                      </w:rPr>
                      <w:t>TTY: 1-888-835-5322</w:t>
                    </w:r>
                  </w:p>
                </w:txbxContent>
              </v:textbox>
            </v:shape>
          </w:pict>
        </mc:Fallback>
      </mc:AlternateContent>
    </w:r>
  </w:p>
  <w:p w:rsidR="006F7393" w:rsidRPr="009838BC" w:rsidP="009838BC" w14:paraId="1FF48317"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733"/>
    <w:rsid w:val="000072CE"/>
    <w:rsid w:val="00013A8B"/>
    <w:rsid w:val="00021445"/>
    <w:rsid w:val="00036039"/>
    <w:rsid w:val="00037F90"/>
    <w:rsid w:val="00084656"/>
    <w:rsid w:val="000875BF"/>
    <w:rsid w:val="00096D8C"/>
    <w:rsid w:val="00097A13"/>
    <w:rsid w:val="000C0B65"/>
    <w:rsid w:val="000E3D42"/>
    <w:rsid w:val="000E5884"/>
    <w:rsid w:val="00122BD5"/>
    <w:rsid w:val="00142E4F"/>
    <w:rsid w:val="001979D9"/>
    <w:rsid w:val="001A13E2"/>
    <w:rsid w:val="001D6BCF"/>
    <w:rsid w:val="001E01CA"/>
    <w:rsid w:val="002060D9"/>
    <w:rsid w:val="00226822"/>
    <w:rsid w:val="00233E21"/>
    <w:rsid w:val="00260594"/>
    <w:rsid w:val="00285017"/>
    <w:rsid w:val="002A2D2E"/>
    <w:rsid w:val="00343749"/>
    <w:rsid w:val="00357D50"/>
    <w:rsid w:val="003925DC"/>
    <w:rsid w:val="003B0550"/>
    <w:rsid w:val="003B694F"/>
    <w:rsid w:val="003D3AE8"/>
    <w:rsid w:val="003F171C"/>
    <w:rsid w:val="00412FC5"/>
    <w:rsid w:val="00422276"/>
    <w:rsid w:val="004242F1"/>
    <w:rsid w:val="00445A00"/>
    <w:rsid w:val="00450A87"/>
    <w:rsid w:val="00451B0F"/>
    <w:rsid w:val="0046125F"/>
    <w:rsid w:val="00487524"/>
    <w:rsid w:val="00496106"/>
    <w:rsid w:val="004C12D0"/>
    <w:rsid w:val="004C2EE3"/>
    <w:rsid w:val="004E4A22"/>
    <w:rsid w:val="00511968"/>
    <w:rsid w:val="0055614C"/>
    <w:rsid w:val="00601D1F"/>
    <w:rsid w:val="00607BA5"/>
    <w:rsid w:val="00626EB6"/>
    <w:rsid w:val="006353A3"/>
    <w:rsid w:val="00655D03"/>
    <w:rsid w:val="00683F84"/>
    <w:rsid w:val="006A6A81"/>
    <w:rsid w:val="006E26AF"/>
    <w:rsid w:val="006F7393"/>
    <w:rsid w:val="0070224F"/>
    <w:rsid w:val="007041A3"/>
    <w:rsid w:val="007115F7"/>
    <w:rsid w:val="00785689"/>
    <w:rsid w:val="0079754B"/>
    <w:rsid w:val="007A1E6D"/>
    <w:rsid w:val="007B3733"/>
    <w:rsid w:val="00822CE0"/>
    <w:rsid w:val="00837C62"/>
    <w:rsid w:val="00841AB1"/>
    <w:rsid w:val="008C22FD"/>
    <w:rsid w:val="00910F12"/>
    <w:rsid w:val="00926503"/>
    <w:rsid w:val="00930ECF"/>
    <w:rsid w:val="009838BC"/>
    <w:rsid w:val="009B3AB0"/>
    <w:rsid w:val="00A36E1E"/>
    <w:rsid w:val="00A45F4F"/>
    <w:rsid w:val="00A600A9"/>
    <w:rsid w:val="00A866AC"/>
    <w:rsid w:val="00AA55B7"/>
    <w:rsid w:val="00AA5B9E"/>
    <w:rsid w:val="00AB2407"/>
    <w:rsid w:val="00AB53DF"/>
    <w:rsid w:val="00B07E5C"/>
    <w:rsid w:val="00B20363"/>
    <w:rsid w:val="00B326E3"/>
    <w:rsid w:val="00B811F7"/>
    <w:rsid w:val="00BA5DC6"/>
    <w:rsid w:val="00BA6196"/>
    <w:rsid w:val="00BA7A44"/>
    <w:rsid w:val="00BC6D8C"/>
    <w:rsid w:val="00C04889"/>
    <w:rsid w:val="00C16AF2"/>
    <w:rsid w:val="00C34006"/>
    <w:rsid w:val="00C426B1"/>
    <w:rsid w:val="00C7023C"/>
    <w:rsid w:val="00C82B6B"/>
    <w:rsid w:val="00C90D6A"/>
    <w:rsid w:val="00CC32FF"/>
    <w:rsid w:val="00CC487C"/>
    <w:rsid w:val="00CC72B6"/>
    <w:rsid w:val="00D0218D"/>
    <w:rsid w:val="00D216CD"/>
    <w:rsid w:val="00DA2529"/>
    <w:rsid w:val="00DB130A"/>
    <w:rsid w:val="00DC10A1"/>
    <w:rsid w:val="00DC655F"/>
    <w:rsid w:val="00DD7EBD"/>
    <w:rsid w:val="00DF62B6"/>
    <w:rsid w:val="00E07225"/>
    <w:rsid w:val="00E155B7"/>
    <w:rsid w:val="00E5409F"/>
    <w:rsid w:val="00EC0185"/>
    <w:rsid w:val="00F021FA"/>
    <w:rsid w:val="00F57ACA"/>
    <w:rsid w:val="00F62E97"/>
    <w:rsid w:val="00F64209"/>
    <w:rsid w:val="00F93BF5"/>
    <w:rsid w:val="00F96F6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D18D8F57-ABF4-411E-B9AB-66C15DFE3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semiHidden/>
    <w:rsid w:val="000E3D42"/>
    <w:pPr>
      <w:spacing w:after="120"/>
    </w:pPr>
  </w:style>
  <w:style w:type="character" w:styleId="FootnoteReference">
    <w:name w:val="footnote reference"/>
    <w:semiHidden/>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UnresolvedMention">
    <w:name w:val="Unresolved Mention"/>
    <w:basedOn w:val="DefaultParagraphFont"/>
    <w:uiPriority w:val="99"/>
    <w:semiHidden/>
    <w:unhideWhenUsed/>
    <w:rsid w:val="007B3733"/>
    <w:rPr>
      <w:color w:val="605E5C"/>
      <w:shd w:val="clear" w:color="auto" w:fill="E1DFDD"/>
    </w:rPr>
  </w:style>
  <w:style w:type="paragraph" w:styleId="BalloonText">
    <w:name w:val="Balloon Text"/>
    <w:basedOn w:val="Normal"/>
    <w:link w:val="BalloonTextChar"/>
    <w:uiPriority w:val="99"/>
    <w:semiHidden/>
    <w:unhideWhenUsed/>
    <w:rsid w:val="00142E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2E4F"/>
    <w:rPr>
      <w:rFonts w:ascii="Segoe UI" w:hAnsi="Segoe UI" w:cs="Segoe UI"/>
      <w:snapToGrid w:val="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2.xml" /><Relationship Id="rId13" Type="http://schemas.openxmlformats.org/officeDocument/2006/relationships/footer" Target="footer3.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1.next.westlaw.com/Link/Document/FullText?findType=L&amp;pubNum=1000547&amp;cite=47CFRS1.415&amp;originatingDoc=I2283bf17a10411e89d59c04243316042&amp;refType=LQ&amp;originationContext=document&amp;transitionType=DocumentItem&amp;contextData=(sc.Search)" TargetMode="External" /><Relationship Id="rId6" Type="http://schemas.openxmlformats.org/officeDocument/2006/relationships/hyperlink" Target="https://1.next.westlaw.com/Link/Document/FullText?findType=L&amp;pubNum=1000547&amp;cite=47CFRS1.419&amp;originatingDoc=I2283bf17a10411e89d59c04243316042&amp;refType=LQ&amp;originationContext=document&amp;transitionType=DocumentItem&amp;contextData=(sc.Search)" TargetMode="External" /><Relationship Id="rId7" Type="http://schemas.openxmlformats.org/officeDocument/2006/relationships/hyperlink" Target="https://1.next.westlaw.com/Link/Document/FullText?findType=l&amp;pubNum=0001037&amp;cite=UUID(I09B97220344F11DAA76E8C4D774DCFAA)&amp;originatingDoc=I2283bf17a10411e89d59c04243316042&amp;refType=CP&amp;fi=co_pp_sp_1037_24121&amp;originationContext=document&amp;transitionType=DocumentItem&amp;contextData=(sc.Search)" TargetMode="External" /><Relationship Id="rId8" Type="http://schemas.openxmlformats.org/officeDocument/2006/relationships/hyperlink" Target="mailto:Linda.Pintro@fcc.gov" TargetMode="External" /><Relationship Id="rId9" Type="http://schemas.openxmlformats.org/officeDocument/2006/relationships/header" Target="header1.xml" /></Relationships>
</file>

<file path=word/_rels/footnotes.xml.rels>&#65279;<?xml version="1.0" encoding="utf-8" standalone="yes"?><Relationships xmlns="http://schemas.openxmlformats.org/package/2006/relationships"><Relationship Id="rId1" Type="http://schemas.openxmlformats.org/officeDocument/2006/relationships/hyperlink" Target="https://ecfsapi.fcc.gov/file/10717271312819/NTIA%20TSP%20Petition%20for%20Rulemaking%207.17.19.pdf" TargetMode="External" /><Relationship Id="rId2" Type="http://schemas.openxmlformats.org/officeDocument/2006/relationships/hyperlink" Target="https://ecfsapi.fcc.gov/file/10717858004691/NTIA%20WPS%20ExParte%20Comment%207.17.19.pdf" TargetMode="External" /><Relationship Id="rId3" Type="http://schemas.openxmlformats.org/officeDocument/2006/relationships/hyperlink" Target="https://1.next.westlaw.com/Link/Document/FullText?findType=L&amp;pubNum=1000547&amp;cite=47CFRS1.1200&amp;originatingDoc=I2283bf17a10411e89d59c04243316042&amp;refType=LQ&amp;originationContext=document&amp;transitionType=DocumentItem&amp;contextData=(sc.Search)" TargetMode="Externa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Portrait.dot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