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E691B" w:rsidRPr="00426E2E" w:rsidP="002E691B" w14:paraId="72F2A8E3" w14:textId="722A06CF">
      <w:pPr>
        <w:autoSpaceDE w:val="0"/>
        <w:autoSpaceDN w:val="0"/>
        <w:adjustRightInd w:val="0"/>
        <w:jc w:val="right"/>
        <w:rPr>
          <w:sz w:val="24"/>
          <w:szCs w:val="24"/>
        </w:rPr>
      </w:pPr>
      <w:bookmarkStart w:id="0" w:name="_Hlk4058029"/>
      <w:r w:rsidRPr="00426E2E">
        <w:rPr>
          <w:sz w:val="24"/>
          <w:szCs w:val="24"/>
        </w:rPr>
        <w:t xml:space="preserve">DA </w:t>
      </w:r>
      <w:bookmarkEnd w:id="0"/>
      <w:r w:rsidR="0085420A">
        <w:rPr>
          <w:sz w:val="24"/>
          <w:szCs w:val="24"/>
        </w:rPr>
        <w:t>19-742</w:t>
      </w:r>
    </w:p>
    <w:p w:rsidR="002E691B" w:rsidRPr="00426E2E" w:rsidP="002E691B" w14:paraId="62460E3D" w14:textId="77777777">
      <w:pPr>
        <w:autoSpaceDE w:val="0"/>
        <w:autoSpaceDN w:val="0"/>
        <w:adjustRightInd w:val="0"/>
        <w:jc w:val="right"/>
        <w:rPr>
          <w:sz w:val="24"/>
          <w:szCs w:val="24"/>
        </w:rPr>
      </w:pPr>
    </w:p>
    <w:p w:rsidR="002E691B" w:rsidRPr="00426E2E" w:rsidP="002E691B" w14:paraId="349D2B14" w14:textId="77777777">
      <w:pPr>
        <w:autoSpaceDE w:val="0"/>
        <w:autoSpaceDN w:val="0"/>
        <w:adjustRightInd w:val="0"/>
        <w:rPr>
          <w:sz w:val="24"/>
          <w:szCs w:val="24"/>
        </w:rPr>
      </w:pPr>
      <w:r w:rsidRPr="00426E2E">
        <w:rPr>
          <w:sz w:val="24"/>
          <w:szCs w:val="24"/>
        </w:rPr>
        <w:t>Mr. Terry G. Mahn</w:t>
      </w:r>
    </w:p>
    <w:p w:rsidR="002E691B" w:rsidRPr="00426E2E" w:rsidP="002E691B" w14:paraId="0C8A6DD8" w14:textId="77777777">
      <w:pPr>
        <w:autoSpaceDE w:val="0"/>
        <w:autoSpaceDN w:val="0"/>
        <w:adjustRightInd w:val="0"/>
        <w:rPr>
          <w:sz w:val="24"/>
          <w:szCs w:val="24"/>
        </w:rPr>
      </w:pPr>
      <w:r w:rsidRPr="00426E2E">
        <w:rPr>
          <w:sz w:val="24"/>
          <w:szCs w:val="24"/>
        </w:rPr>
        <w:t>Fish &amp; Richardson, P.C.</w:t>
      </w:r>
    </w:p>
    <w:p w:rsidR="002E691B" w:rsidRPr="00426E2E" w:rsidP="002E691B" w14:paraId="35A4A733" w14:textId="77777777">
      <w:pPr>
        <w:autoSpaceDE w:val="0"/>
        <w:autoSpaceDN w:val="0"/>
        <w:adjustRightInd w:val="0"/>
        <w:rPr>
          <w:sz w:val="24"/>
          <w:szCs w:val="24"/>
        </w:rPr>
      </w:pPr>
      <w:r w:rsidRPr="00426E2E">
        <w:rPr>
          <w:sz w:val="24"/>
          <w:szCs w:val="24"/>
        </w:rPr>
        <w:t xml:space="preserve">1000 Maine Avenue S.W. </w:t>
      </w:r>
    </w:p>
    <w:p w:rsidR="002E691B" w:rsidRPr="00426E2E" w:rsidP="002E691B" w14:paraId="08AF1E0E" w14:textId="77777777">
      <w:pPr>
        <w:autoSpaceDE w:val="0"/>
        <w:autoSpaceDN w:val="0"/>
        <w:adjustRightInd w:val="0"/>
        <w:rPr>
          <w:sz w:val="24"/>
          <w:szCs w:val="24"/>
        </w:rPr>
      </w:pPr>
      <w:r w:rsidRPr="00426E2E">
        <w:rPr>
          <w:sz w:val="24"/>
          <w:szCs w:val="24"/>
        </w:rPr>
        <w:t>Suite 1000</w:t>
      </w:r>
    </w:p>
    <w:p w:rsidR="002E691B" w:rsidRPr="00426E2E" w:rsidP="002E691B" w14:paraId="4120C059" w14:textId="77777777">
      <w:pPr>
        <w:rPr>
          <w:sz w:val="24"/>
          <w:szCs w:val="24"/>
        </w:rPr>
      </w:pPr>
      <w:r w:rsidRPr="00426E2E">
        <w:rPr>
          <w:sz w:val="24"/>
          <w:szCs w:val="24"/>
        </w:rPr>
        <w:t>Washington, DC 20024</w:t>
      </w:r>
    </w:p>
    <w:p w:rsidR="002E691B" w:rsidRPr="00426E2E" w:rsidP="002E691B" w14:paraId="207FF831" w14:textId="77777777">
      <w:pPr>
        <w:rPr>
          <w:sz w:val="24"/>
          <w:szCs w:val="24"/>
        </w:rPr>
      </w:pPr>
    </w:p>
    <w:p w:rsidR="002E691B" w:rsidRPr="00426E2E" w:rsidP="002E691B" w14:paraId="68612BD1" w14:textId="43BEEB30">
      <w:pPr>
        <w:autoSpaceDE w:val="0"/>
        <w:autoSpaceDN w:val="0"/>
        <w:adjustRightInd w:val="0"/>
        <w:ind w:left="1500" w:hanging="1500"/>
        <w:rPr>
          <w:sz w:val="24"/>
          <w:szCs w:val="24"/>
        </w:rPr>
      </w:pPr>
      <w:r w:rsidRPr="00426E2E">
        <w:rPr>
          <w:sz w:val="24"/>
          <w:szCs w:val="24"/>
        </w:rPr>
        <w:t>Subject:</w:t>
      </w:r>
      <w:r w:rsidRPr="00426E2E">
        <w:rPr>
          <w:sz w:val="24"/>
          <w:szCs w:val="24"/>
        </w:rPr>
        <w:tab/>
        <w:t xml:space="preserve">Request for Modification of Waiver Granted to </w:t>
      </w:r>
      <w:r w:rsidRPr="00426E2E" w:rsidR="00197676">
        <w:rPr>
          <w:sz w:val="24"/>
          <w:szCs w:val="24"/>
        </w:rPr>
        <w:t>Kyma Medical Technologies Ltd.</w:t>
      </w:r>
      <w:r w:rsidRPr="00426E2E">
        <w:rPr>
          <w:sz w:val="24"/>
          <w:szCs w:val="24"/>
        </w:rPr>
        <w:t xml:space="preserve"> </w:t>
      </w:r>
    </w:p>
    <w:p w:rsidR="002E691B" w:rsidRPr="00426E2E" w:rsidP="002E691B" w14:paraId="72DADDB8" w14:textId="7C80D3A4">
      <w:pPr>
        <w:autoSpaceDE w:val="0"/>
        <w:autoSpaceDN w:val="0"/>
        <w:adjustRightInd w:val="0"/>
        <w:ind w:left="1500" w:hanging="60"/>
        <w:rPr>
          <w:sz w:val="24"/>
          <w:szCs w:val="24"/>
        </w:rPr>
      </w:pPr>
      <w:r w:rsidRPr="00426E2E">
        <w:rPr>
          <w:sz w:val="24"/>
          <w:szCs w:val="24"/>
        </w:rPr>
        <w:t xml:space="preserve"> DA </w:t>
      </w:r>
      <w:r w:rsidRPr="00426E2E" w:rsidR="00A61A9B">
        <w:rPr>
          <w:sz w:val="24"/>
          <w:szCs w:val="24"/>
        </w:rPr>
        <w:t>16</w:t>
      </w:r>
      <w:r w:rsidRPr="00426E2E">
        <w:rPr>
          <w:sz w:val="24"/>
          <w:szCs w:val="24"/>
        </w:rPr>
        <w:t>-</w:t>
      </w:r>
      <w:r w:rsidRPr="00426E2E" w:rsidR="00A61A9B">
        <w:rPr>
          <w:sz w:val="24"/>
          <w:szCs w:val="24"/>
        </w:rPr>
        <w:t>1009</w:t>
      </w:r>
    </w:p>
    <w:p w:rsidR="002E691B" w:rsidRPr="00426E2E" w:rsidP="002E691B" w14:paraId="5178D228" w14:textId="77777777">
      <w:pPr>
        <w:autoSpaceDE w:val="0"/>
        <w:autoSpaceDN w:val="0"/>
        <w:adjustRightInd w:val="0"/>
        <w:ind w:left="1500" w:hanging="1500"/>
        <w:rPr>
          <w:sz w:val="24"/>
          <w:szCs w:val="24"/>
        </w:rPr>
      </w:pPr>
    </w:p>
    <w:p w:rsidR="002E691B" w:rsidRPr="00426E2E" w:rsidP="002E691B" w14:paraId="23231B2E" w14:textId="77777777">
      <w:pPr>
        <w:autoSpaceDE w:val="0"/>
        <w:autoSpaceDN w:val="0"/>
        <w:adjustRightInd w:val="0"/>
        <w:ind w:left="1500" w:hanging="1500"/>
        <w:rPr>
          <w:sz w:val="24"/>
          <w:szCs w:val="24"/>
        </w:rPr>
      </w:pPr>
      <w:r w:rsidRPr="00426E2E">
        <w:rPr>
          <w:sz w:val="24"/>
          <w:szCs w:val="24"/>
        </w:rPr>
        <w:t>Dear Mr. Mahn:</w:t>
      </w:r>
    </w:p>
    <w:p w:rsidR="002E691B" w:rsidRPr="00426E2E" w:rsidP="002E691B" w14:paraId="14D6749A" w14:textId="77777777">
      <w:pPr>
        <w:autoSpaceDE w:val="0"/>
        <w:autoSpaceDN w:val="0"/>
        <w:adjustRightInd w:val="0"/>
        <w:ind w:left="1500" w:hanging="1500"/>
        <w:rPr>
          <w:sz w:val="24"/>
          <w:szCs w:val="24"/>
        </w:rPr>
      </w:pPr>
    </w:p>
    <w:p w:rsidR="009F1264" w:rsidRPr="00426E2E" w:rsidP="002E691B" w14:paraId="034C8FC6" w14:textId="2746A469">
      <w:pPr>
        <w:autoSpaceDE w:val="0"/>
        <w:autoSpaceDN w:val="0"/>
        <w:adjustRightInd w:val="0"/>
        <w:rPr>
          <w:sz w:val="24"/>
          <w:szCs w:val="24"/>
        </w:rPr>
      </w:pPr>
      <w:r w:rsidRPr="00426E2E">
        <w:rPr>
          <w:sz w:val="24"/>
          <w:szCs w:val="24"/>
        </w:rPr>
        <w:t xml:space="preserve">In response to your letter dated May 17, 2019, on behalf of your client </w:t>
      </w:r>
      <w:r w:rsidRPr="00426E2E" w:rsidR="00197676">
        <w:rPr>
          <w:sz w:val="24"/>
          <w:szCs w:val="24"/>
        </w:rPr>
        <w:t>Zoll Medical Israel Ltd.</w:t>
      </w:r>
      <w:r w:rsidR="00467334">
        <w:rPr>
          <w:sz w:val="24"/>
          <w:szCs w:val="24"/>
        </w:rPr>
        <w:t xml:space="preserve"> </w:t>
      </w:r>
      <w:r w:rsidRPr="00426E2E" w:rsidR="00197676">
        <w:rPr>
          <w:sz w:val="24"/>
          <w:szCs w:val="24"/>
        </w:rPr>
        <w:t>(Zoll), successor in interest to Kyma Medical Technologies Ltd</w:t>
      </w:r>
      <w:r w:rsidRPr="00426E2E" w:rsidR="00A61A9B">
        <w:rPr>
          <w:sz w:val="24"/>
          <w:szCs w:val="24"/>
        </w:rPr>
        <w:t>. (Kyma)</w:t>
      </w:r>
      <w:r w:rsidRPr="00426E2E" w:rsidR="00197676">
        <w:rPr>
          <w:sz w:val="24"/>
          <w:szCs w:val="24"/>
        </w:rPr>
        <w:t xml:space="preserve">, </w:t>
      </w:r>
      <w:r w:rsidRPr="00426E2E">
        <w:rPr>
          <w:sz w:val="24"/>
          <w:szCs w:val="24"/>
        </w:rPr>
        <w:t>the Office of Engineering and Technology (OET) is granting your request to modify a</w:t>
      </w:r>
      <w:r w:rsidRPr="00426E2E">
        <w:rPr>
          <w:sz w:val="24"/>
          <w:szCs w:val="24"/>
        </w:rPr>
        <w:t>n existing</w:t>
      </w:r>
      <w:r w:rsidRPr="00426E2E">
        <w:rPr>
          <w:sz w:val="24"/>
          <w:szCs w:val="24"/>
        </w:rPr>
        <w:t xml:space="preserve"> waiver</w:t>
      </w:r>
      <w:r w:rsidRPr="00426E2E">
        <w:rPr>
          <w:sz w:val="24"/>
          <w:szCs w:val="24"/>
        </w:rPr>
        <w:t xml:space="preserve"> to accommodate the </w:t>
      </w:r>
      <w:r w:rsidRPr="00426E2E" w:rsidR="00197676">
        <w:rPr>
          <w:sz w:val="24"/>
          <w:szCs w:val="24"/>
        </w:rPr>
        <w:t xml:space="preserve">more frequent transmissions during the </w:t>
      </w:r>
      <w:r w:rsidRPr="00426E2E">
        <w:rPr>
          <w:sz w:val="24"/>
          <w:szCs w:val="24"/>
        </w:rPr>
        <w:t xml:space="preserve">operation </w:t>
      </w:r>
      <w:r w:rsidRPr="00426E2E" w:rsidR="00197676">
        <w:rPr>
          <w:sz w:val="24"/>
          <w:szCs w:val="24"/>
        </w:rPr>
        <w:t xml:space="preserve">of </w:t>
      </w:r>
      <w:r w:rsidRPr="00426E2E" w:rsidR="00197676">
        <w:rPr>
          <w:sz w:val="24"/>
          <w:szCs w:val="24"/>
        </w:rPr>
        <w:t>Zoll’s</w:t>
      </w:r>
      <w:r w:rsidRPr="00426E2E">
        <w:rPr>
          <w:sz w:val="24"/>
          <w:szCs w:val="24"/>
        </w:rPr>
        <w:t xml:space="preserve"> </w:t>
      </w:r>
      <w:r w:rsidR="003C0973">
        <w:rPr>
          <w:sz w:val="24"/>
          <w:szCs w:val="24"/>
        </w:rPr>
        <w:t>u</w:t>
      </w:r>
      <w:r w:rsidRPr="00426E2E">
        <w:rPr>
          <w:sz w:val="24"/>
          <w:szCs w:val="24"/>
        </w:rPr>
        <w:t>ltra-</w:t>
      </w:r>
      <w:r w:rsidR="003C0973">
        <w:rPr>
          <w:sz w:val="24"/>
          <w:szCs w:val="24"/>
        </w:rPr>
        <w:t>w</w:t>
      </w:r>
      <w:r w:rsidRPr="00426E2E">
        <w:rPr>
          <w:sz w:val="24"/>
          <w:szCs w:val="24"/>
        </w:rPr>
        <w:t xml:space="preserve">ideband (UWB) </w:t>
      </w:r>
      <w:r w:rsidRPr="00426E2E" w:rsidR="00197676">
        <w:rPr>
          <w:sz w:val="24"/>
          <w:szCs w:val="24"/>
        </w:rPr>
        <w:t>medical imaging device</w:t>
      </w:r>
      <w:r w:rsidRPr="00426E2E">
        <w:rPr>
          <w:sz w:val="24"/>
          <w:szCs w:val="24"/>
        </w:rPr>
        <w:t>.</w:t>
      </w:r>
      <w:r>
        <w:rPr>
          <w:rStyle w:val="FootnoteReference"/>
          <w:sz w:val="24"/>
          <w:szCs w:val="24"/>
        </w:rPr>
        <w:footnoteReference w:id="2"/>
      </w:r>
    </w:p>
    <w:p w:rsidR="009F1264" w:rsidRPr="00426E2E" w:rsidP="002E691B" w14:paraId="13B435A7" w14:textId="77777777">
      <w:pPr>
        <w:autoSpaceDE w:val="0"/>
        <w:autoSpaceDN w:val="0"/>
        <w:adjustRightInd w:val="0"/>
        <w:rPr>
          <w:sz w:val="24"/>
          <w:szCs w:val="24"/>
        </w:rPr>
      </w:pPr>
    </w:p>
    <w:p w:rsidR="002E691B" w:rsidRPr="00426E2E" w:rsidP="002E691B" w14:paraId="59E6D3D5" w14:textId="23008839">
      <w:pPr>
        <w:autoSpaceDE w:val="0"/>
        <w:autoSpaceDN w:val="0"/>
        <w:adjustRightInd w:val="0"/>
        <w:rPr>
          <w:sz w:val="24"/>
          <w:szCs w:val="24"/>
        </w:rPr>
      </w:pPr>
      <w:r w:rsidRPr="00426E2E">
        <w:rPr>
          <w:sz w:val="24"/>
          <w:szCs w:val="24"/>
        </w:rPr>
        <w:t xml:space="preserve">On </w:t>
      </w:r>
      <w:r w:rsidRPr="00426E2E" w:rsidR="00197676">
        <w:rPr>
          <w:sz w:val="24"/>
          <w:szCs w:val="24"/>
        </w:rPr>
        <w:t xml:space="preserve">September </w:t>
      </w:r>
      <w:r w:rsidRPr="00426E2E" w:rsidR="00E20BFD">
        <w:rPr>
          <w:sz w:val="24"/>
          <w:szCs w:val="24"/>
        </w:rPr>
        <w:t>6,</w:t>
      </w:r>
      <w:r w:rsidRPr="00426E2E">
        <w:rPr>
          <w:sz w:val="24"/>
          <w:szCs w:val="24"/>
        </w:rPr>
        <w:t xml:space="preserve"> 201</w:t>
      </w:r>
      <w:r w:rsidRPr="00426E2E" w:rsidR="00197676">
        <w:rPr>
          <w:sz w:val="24"/>
          <w:szCs w:val="24"/>
        </w:rPr>
        <w:t>6</w:t>
      </w:r>
      <w:r w:rsidRPr="00426E2E">
        <w:rPr>
          <w:sz w:val="24"/>
          <w:szCs w:val="24"/>
        </w:rPr>
        <w:t>.</w:t>
      </w:r>
      <w:r w:rsidRPr="00426E2E">
        <w:rPr>
          <w:sz w:val="24"/>
          <w:szCs w:val="24"/>
        </w:rPr>
        <w:t xml:space="preserve"> OET granted a waiver of Section</w:t>
      </w:r>
      <w:r w:rsidRPr="00426E2E" w:rsidR="00122A69">
        <w:rPr>
          <w:sz w:val="24"/>
          <w:szCs w:val="24"/>
        </w:rPr>
        <w:t>s</w:t>
      </w:r>
      <w:r w:rsidRPr="00426E2E">
        <w:rPr>
          <w:sz w:val="24"/>
          <w:szCs w:val="24"/>
        </w:rPr>
        <w:t xml:space="preserve"> 15.31(c)</w:t>
      </w:r>
      <w:r w:rsidR="0095398C">
        <w:rPr>
          <w:sz w:val="24"/>
          <w:szCs w:val="24"/>
        </w:rPr>
        <w:t>,</w:t>
      </w:r>
      <w:r w:rsidRPr="00426E2E" w:rsidR="00122A69">
        <w:rPr>
          <w:sz w:val="24"/>
          <w:szCs w:val="24"/>
        </w:rPr>
        <w:t xml:space="preserve"> </w:t>
      </w:r>
      <w:r w:rsidR="0095398C">
        <w:rPr>
          <w:sz w:val="24"/>
          <w:szCs w:val="24"/>
        </w:rPr>
        <w:t xml:space="preserve">15.503(d), </w:t>
      </w:r>
      <w:r w:rsidR="004D033B">
        <w:rPr>
          <w:sz w:val="24"/>
          <w:szCs w:val="24"/>
        </w:rPr>
        <w:t xml:space="preserve">15.513(a), and </w:t>
      </w:r>
      <w:r w:rsidRPr="00426E2E" w:rsidR="00122A69">
        <w:rPr>
          <w:sz w:val="24"/>
          <w:szCs w:val="24"/>
        </w:rPr>
        <w:t xml:space="preserve">15.521(d) </w:t>
      </w:r>
      <w:r w:rsidRPr="00426E2E">
        <w:rPr>
          <w:sz w:val="24"/>
          <w:szCs w:val="24"/>
        </w:rPr>
        <w:t xml:space="preserve">of the </w:t>
      </w:r>
      <w:r w:rsidR="0095398C">
        <w:rPr>
          <w:sz w:val="24"/>
          <w:szCs w:val="24"/>
        </w:rPr>
        <w:t>UWB</w:t>
      </w:r>
      <w:r w:rsidRPr="00426E2E">
        <w:rPr>
          <w:sz w:val="24"/>
          <w:szCs w:val="24"/>
        </w:rPr>
        <w:t xml:space="preserve"> rules to allow the </w:t>
      </w:r>
      <w:r w:rsidR="0095398C">
        <w:rPr>
          <w:sz w:val="24"/>
          <w:szCs w:val="24"/>
        </w:rPr>
        <w:t>certification and marketing of the uCor, a medical device designed to monitor patients suffering from congestive heart failure.</w:t>
      </w:r>
      <w:r>
        <w:rPr>
          <w:rStyle w:val="FootnoteReference"/>
          <w:sz w:val="24"/>
          <w:szCs w:val="24"/>
        </w:rPr>
        <w:footnoteReference w:id="3"/>
      </w:r>
      <w:r w:rsidR="0095398C">
        <w:rPr>
          <w:sz w:val="24"/>
          <w:szCs w:val="24"/>
        </w:rPr>
        <w:t xml:space="preserve">  These rules set forth the method for measuring </w:t>
      </w:r>
      <w:r w:rsidRPr="00426E2E">
        <w:rPr>
          <w:sz w:val="24"/>
          <w:szCs w:val="24"/>
        </w:rPr>
        <w:t>radio frequency emissions</w:t>
      </w:r>
      <w:r w:rsidR="0095398C">
        <w:rPr>
          <w:sz w:val="24"/>
          <w:szCs w:val="24"/>
        </w:rPr>
        <w:t>,</w:t>
      </w:r>
      <w:r w:rsidRPr="00426E2E">
        <w:rPr>
          <w:sz w:val="24"/>
          <w:szCs w:val="24"/>
        </w:rPr>
        <w:t xml:space="preserve"> define </w:t>
      </w:r>
      <w:r w:rsidR="0095398C">
        <w:rPr>
          <w:sz w:val="24"/>
          <w:szCs w:val="24"/>
        </w:rPr>
        <w:t xml:space="preserve">the bandwidth requirement for a </w:t>
      </w:r>
      <w:r w:rsidRPr="00426E2E">
        <w:rPr>
          <w:sz w:val="24"/>
          <w:szCs w:val="24"/>
        </w:rPr>
        <w:t>UWB transmitter</w:t>
      </w:r>
      <w:r w:rsidR="0095398C">
        <w:rPr>
          <w:sz w:val="24"/>
          <w:szCs w:val="24"/>
        </w:rPr>
        <w:t xml:space="preserve">, </w:t>
      </w:r>
      <w:r w:rsidR="000D6161">
        <w:rPr>
          <w:sz w:val="24"/>
          <w:szCs w:val="24"/>
        </w:rPr>
        <w:t xml:space="preserve">and </w:t>
      </w:r>
      <w:r w:rsidR="0095398C">
        <w:rPr>
          <w:sz w:val="24"/>
          <w:szCs w:val="24"/>
        </w:rPr>
        <w:t xml:space="preserve">state </w:t>
      </w:r>
      <w:r w:rsidRPr="00426E2E" w:rsidR="00566453">
        <w:rPr>
          <w:sz w:val="24"/>
          <w:szCs w:val="24"/>
        </w:rPr>
        <w:t>the frequency range</w:t>
      </w:r>
      <w:r w:rsidR="0095398C">
        <w:rPr>
          <w:sz w:val="24"/>
          <w:szCs w:val="24"/>
        </w:rPr>
        <w:t xml:space="preserve"> in which UWB medical imaging systems must be contained</w:t>
      </w:r>
      <w:r w:rsidR="000D6161">
        <w:rPr>
          <w:sz w:val="24"/>
          <w:szCs w:val="24"/>
        </w:rPr>
        <w:t>.  The waiver also established</w:t>
      </w:r>
      <w:r w:rsidR="0095398C">
        <w:rPr>
          <w:sz w:val="24"/>
          <w:szCs w:val="24"/>
        </w:rPr>
        <w:t xml:space="preserve"> conditions specific to the uCor, such as a maximum time the device could dwell on any frequency, limitations how and when the device could be used, and a restriction on operation (i.e. duty cycle) to 8 times per day with each use limited to a maximum of 60 seconds.</w:t>
      </w:r>
      <w:r>
        <w:rPr>
          <w:rStyle w:val="FootnoteReference"/>
          <w:sz w:val="24"/>
          <w:szCs w:val="24"/>
        </w:rPr>
        <w:footnoteReference w:id="4"/>
      </w:r>
    </w:p>
    <w:p w:rsidR="002E691B" w:rsidRPr="00426E2E" w:rsidP="002E691B" w14:paraId="07598AEF" w14:textId="77777777">
      <w:pPr>
        <w:autoSpaceDE w:val="0"/>
        <w:autoSpaceDN w:val="0"/>
        <w:adjustRightInd w:val="0"/>
        <w:rPr>
          <w:sz w:val="24"/>
          <w:szCs w:val="24"/>
        </w:rPr>
      </w:pPr>
    </w:p>
    <w:p w:rsidR="002E691B" w:rsidP="00977791" w14:paraId="1133A0FC" w14:textId="2368C9F0">
      <w:pPr>
        <w:autoSpaceDE w:val="0"/>
        <w:autoSpaceDN w:val="0"/>
        <w:adjustRightInd w:val="0"/>
        <w:rPr>
          <w:sz w:val="24"/>
          <w:szCs w:val="24"/>
        </w:rPr>
      </w:pPr>
      <w:r w:rsidRPr="00426E2E">
        <w:rPr>
          <w:sz w:val="24"/>
          <w:szCs w:val="24"/>
        </w:rPr>
        <w:t>Y</w:t>
      </w:r>
      <w:r w:rsidRPr="00426E2E">
        <w:rPr>
          <w:sz w:val="24"/>
          <w:szCs w:val="24"/>
        </w:rPr>
        <w:t xml:space="preserve">ou state that </w:t>
      </w:r>
      <w:r w:rsidRPr="00426E2E" w:rsidR="00271DBB">
        <w:rPr>
          <w:sz w:val="24"/>
          <w:szCs w:val="24"/>
        </w:rPr>
        <w:t>Zoll</w:t>
      </w:r>
      <w:r w:rsidRPr="00426E2E">
        <w:rPr>
          <w:sz w:val="24"/>
          <w:szCs w:val="24"/>
        </w:rPr>
        <w:t xml:space="preserve"> has </w:t>
      </w:r>
      <w:r w:rsidRPr="00426E2E" w:rsidR="00E70A39">
        <w:rPr>
          <w:sz w:val="24"/>
          <w:szCs w:val="24"/>
        </w:rPr>
        <w:t xml:space="preserve">made a minor modification of the uCor’s operations to increase the </w:t>
      </w:r>
      <w:r w:rsidR="00203CB7">
        <w:rPr>
          <w:sz w:val="24"/>
          <w:szCs w:val="24"/>
        </w:rPr>
        <w:t xml:space="preserve">maximum number of transmissions </w:t>
      </w:r>
      <w:r w:rsidRPr="00426E2E" w:rsidR="00E70A39">
        <w:rPr>
          <w:sz w:val="24"/>
          <w:szCs w:val="24"/>
        </w:rPr>
        <w:t xml:space="preserve">from 8 times per day to 100 </w:t>
      </w:r>
      <w:r w:rsidR="00BC0EE7">
        <w:rPr>
          <w:sz w:val="24"/>
          <w:szCs w:val="24"/>
        </w:rPr>
        <w:t xml:space="preserve">times </w:t>
      </w:r>
      <w:r w:rsidRPr="00426E2E" w:rsidR="00E70A39">
        <w:rPr>
          <w:sz w:val="24"/>
          <w:szCs w:val="24"/>
        </w:rPr>
        <w:t>per day</w:t>
      </w:r>
      <w:r w:rsidR="00904A32">
        <w:rPr>
          <w:sz w:val="24"/>
          <w:szCs w:val="24"/>
        </w:rPr>
        <w:t xml:space="preserve">.  Generating a greater number of patient readings, which will be spread over the course of a day, will permit the </w:t>
      </w:r>
      <w:r w:rsidR="00904A32">
        <w:rPr>
          <w:sz w:val="24"/>
          <w:szCs w:val="24"/>
        </w:rPr>
        <w:t>uCor</w:t>
      </w:r>
      <w:r w:rsidR="00904A32">
        <w:rPr>
          <w:sz w:val="24"/>
          <w:szCs w:val="24"/>
        </w:rPr>
        <w:t xml:space="preserve"> to improve patient outcomes</w:t>
      </w:r>
      <w:r w:rsidRPr="00426E2E" w:rsidR="00E70A39">
        <w:rPr>
          <w:sz w:val="24"/>
          <w:szCs w:val="24"/>
        </w:rPr>
        <w:t>.</w:t>
      </w:r>
      <w:r w:rsidRPr="00426E2E">
        <w:rPr>
          <w:sz w:val="24"/>
          <w:szCs w:val="24"/>
        </w:rPr>
        <w:t xml:space="preserve"> </w:t>
      </w:r>
      <w:r w:rsidRPr="00426E2E">
        <w:rPr>
          <w:sz w:val="24"/>
          <w:szCs w:val="24"/>
        </w:rPr>
        <w:t xml:space="preserve"> </w:t>
      </w:r>
      <w:r w:rsidRPr="00426E2E" w:rsidR="00E70A39">
        <w:rPr>
          <w:sz w:val="24"/>
          <w:szCs w:val="24"/>
        </w:rPr>
        <w:t xml:space="preserve">You further state that </w:t>
      </w:r>
      <w:r w:rsidR="00C75CCB">
        <w:rPr>
          <w:sz w:val="24"/>
          <w:szCs w:val="24"/>
        </w:rPr>
        <w:t xml:space="preserve">“[i]n all other </w:t>
      </w:r>
      <w:r w:rsidR="00977791">
        <w:rPr>
          <w:sz w:val="24"/>
          <w:szCs w:val="24"/>
        </w:rPr>
        <w:t>respects, the modified device is technically and operationally identical to the waivered device.”</w:t>
      </w:r>
      <w:r>
        <w:rPr>
          <w:rStyle w:val="FootnoteReference"/>
          <w:sz w:val="24"/>
          <w:szCs w:val="24"/>
        </w:rPr>
        <w:footnoteReference w:id="5"/>
      </w:r>
      <w:r w:rsidR="00977791">
        <w:rPr>
          <w:sz w:val="24"/>
          <w:szCs w:val="24"/>
        </w:rPr>
        <w:t xml:space="preserve">  Accordingly, Zoll only seeks a modification of </w:t>
      </w:r>
      <w:r w:rsidR="00BC0EE7">
        <w:rPr>
          <w:sz w:val="24"/>
          <w:szCs w:val="24"/>
        </w:rPr>
        <w:t xml:space="preserve">the </w:t>
      </w:r>
      <w:r w:rsidR="00977791">
        <w:rPr>
          <w:sz w:val="24"/>
          <w:szCs w:val="24"/>
        </w:rPr>
        <w:t xml:space="preserve">waiver condition dealing with the daily duty cycle and warrants </w:t>
      </w:r>
      <w:r w:rsidR="00977791">
        <w:rPr>
          <w:sz w:val="24"/>
          <w:szCs w:val="24"/>
        </w:rPr>
        <w:t xml:space="preserve">that the new uCor device does not require any </w:t>
      </w:r>
      <w:r w:rsidR="00BC0EE7">
        <w:rPr>
          <w:sz w:val="24"/>
          <w:szCs w:val="24"/>
        </w:rPr>
        <w:t xml:space="preserve">other </w:t>
      </w:r>
      <w:r w:rsidR="00977791">
        <w:rPr>
          <w:sz w:val="24"/>
          <w:szCs w:val="24"/>
        </w:rPr>
        <w:t>change</w:t>
      </w:r>
      <w:r w:rsidR="00BC0EE7">
        <w:rPr>
          <w:sz w:val="24"/>
          <w:szCs w:val="24"/>
        </w:rPr>
        <w:t>s</w:t>
      </w:r>
      <w:r w:rsidR="00977791">
        <w:rPr>
          <w:sz w:val="24"/>
          <w:szCs w:val="24"/>
        </w:rPr>
        <w:t xml:space="preserve"> </w:t>
      </w:r>
      <w:r w:rsidR="00BC0EE7">
        <w:rPr>
          <w:sz w:val="24"/>
          <w:szCs w:val="24"/>
        </w:rPr>
        <w:t xml:space="preserve">for </w:t>
      </w:r>
      <w:r w:rsidR="00BC17B2">
        <w:rPr>
          <w:sz w:val="24"/>
          <w:szCs w:val="24"/>
        </w:rPr>
        <w:t>the</w:t>
      </w:r>
      <w:r w:rsidR="00BC0EE7">
        <w:rPr>
          <w:sz w:val="24"/>
          <w:szCs w:val="24"/>
        </w:rPr>
        <w:t xml:space="preserve"> </w:t>
      </w:r>
      <w:r w:rsidR="00977791">
        <w:rPr>
          <w:sz w:val="24"/>
          <w:szCs w:val="24"/>
        </w:rPr>
        <w:t xml:space="preserve">conditions in </w:t>
      </w:r>
      <w:r w:rsidR="00BC17B2">
        <w:rPr>
          <w:sz w:val="24"/>
          <w:szCs w:val="24"/>
        </w:rPr>
        <w:t>t</w:t>
      </w:r>
      <w:r w:rsidR="00977791">
        <w:rPr>
          <w:sz w:val="24"/>
          <w:szCs w:val="24"/>
        </w:rPr>
        <w:t xml:space="preserve">he </w:t>
      </w:r>
      <w:r w:rsidR="00977791">
        <w:rPr>
          <w:sz w:val="24"/>
          <w:szCs w:val="24"/>
        </w:rPr>
        <w:t>Kyma</w:t>
      </w:r>
      <w:r w:rsidR="00977791">
        <w:rPr>
          <w:sz w:val="24"/>
          <w:szCs w:val="24"/>
        </w:rPr>
        <w:t xml:space="preserve"> Order.</w:t>
      </w:r>
      <w:r>
        <w:rPr>
          <w:rStyle w:val="FootnoteReference"/>
          <w:sz w:val="24"/>
          <w:szCs w:val="24"/>
        </w:rPr>
        <w:footnoteReference w:id="6"/>
      </w:r>
    </w:p>
    <w:p w:rsidR="002E691B" w:rsidRPr="00426E2E" w:rsidP="002E691B" w14:paraId="04B392D5" w14:textId="77777777">
      <w:pPr>
        <w:autoSpaceDE w:val="0"/>
        <w:autoSpaceDN w:val="0"/>
        <w:adjustRightInd w:val="0"/>
        <w:rPr>
          <w:sz w:val="24"/>
          <w:szCs w:val="24"/>
        </w:rPr>
      </w:pPr>
    </w:p>
    <w:p w:rsidR="00424F5F" w:rsidRPr="00426E2E" w:rsidP="002E691B" w14:paraId="010DFFCE" w14:textId="15EDD548">
      <w:pPr>
        <w:rPr>
          <w:sz w:val="24"/>
          <w:szCs w:val="24"/>
        </w:rPr>
      </w:pPr>
      <w:r w:rsidRPr="00426E2E">
        <w:rPr>
          <w:rStyle w:val="documentbody1"/>
          <w:rFonts w:ascii="Times New Roman" w:hAnsi="Times New Roman"/>
          <w:sz w:val="24"/>
          <w:szCs w:val="24"/>
        </w:rPr>
        <w:t>We are authorized to grant a waiver under Section 1.3 of the Commission</w:t>
      </w:r>
      <w:r w:rsidR="006E5937">
        <w:rPr>
          <w:rStyle w:val="documentbody1"/>
          <w:rFonts w:ascii="Times New Roman" w:hAnsi="Times New Roman"/>
          <w:sz w:val="24"/>
          <w:szCs w:val="24"/>
        </w:rPr>
        <w:t>’</w:t>
      </w:r>
      <w:r w:rsidRPr="00426E2E">
        <w:rPr>
          <w:rStyle w:val="documentbody1"/>
          <w:rFonts w:ascii="Times New Roman" w:hAnsi="Times New Roman"/>
          <w:sz w:val="24"/>
          <w:szCs w:val="24"/>
        </w:rPr>
        <w:t>s rules if the petitioner demonstrates good cause for such action.</w:t>
      </w:r>
      <w:bookmarkStart w:id="1" w:name="FN[FN17]"/>
      <w:bookmarkEnd w:id="1"/>
      <w:r>
        <w:rPr>
          <w:rStyle w:val="FootnoteReference"/>
          <w:sz w:val="24"/>
          <w:szCs w:val="24"/>
        </w:rPr>
        <w:footnoteReference w:id="7"/>
      </w:r>
      <w:r w:rsidRPr="00426E2E">
        <w:rPr>
          <w:rStyle w:val="documentbody1"/>
          <w:rFonts w:ascii="Times New Roman" w:hAnsi="Times New Roman"/>
          <w:sz w:val="24"/>
          <w:szCs w:val="24"/>
        </w:rPr>
        <w:t xml:space="preserve">  Good cause, in turn, may be found and a waiver granted “where particular facts would make strict compliance inconsistent with the public interest.”</w:t>
      </w:r>
      <w:bookmarkStart w:id="2" w:name="FN[FN18]"/>
      <w:bookmarkEnd w:id="2"/>
      <w:r>
        <w:rPr>
          <w:rStyle w:val="FootnoteReference"/>
          <w:sz w:val="24"/>
          <w:szCs w:val="24"/>
        </w:rPr>
        <w:footnoteReference w:id="8"/>
      </w:r>
      <w:r w:rsidRPr="00426E2E">
        <w:rPr>
          <w:rStyle w:val="documentbody1"/>
          <w:rFonts w:ascii="Times New Roman" w:hAnsi="Times New Roman"/>
          <w:sz w:val="24"/>
          <w:szCs w:val="24"/>
        </w:rPr>
        <w:t xml:space="preserve">  To make this public interest determination, the waiver cannot undermine the purposes of the rule, and there must be a stronger public interest benefit in </w:t>
      </w:r>
      <w:bookmarkStart w:id="3" w:name="sp_1511_4275"/>
      <w:bookmarkStart w:id="4" w:name="SDU_4275"/>
      <w:bookmarkStart w:id="5" w:name="citeas((Cite_as:_22_F.C.C.R._4272,_*4275"/>
      <w:bookmarkEnd w:id="3"/>
      <w:bookmarkEnd w:id="4"/>
      <w:bookmarkEnd w:id="5"/>
      <w:r w:rsidRPr="00426E2E">
        <w:rPr>
          <w:rStyle w:val="documentbody1"/>
          <w:rFonts w:ascii="Times New Roman" w:hAnsi="Times New Roman"/>
          <w:sz w:val="24"/>
          <w:szCs w:val="24"/>
        </w:rPr>
        <w:t>granting the waiver than in applying the rule.</w:t>
      </w:r>
      <w:bookmarkStart w:id="6" w:name="FN[FN19]"/>
      <w:bookmarkEnd w:id="6"/>
      <w:r>
        <w:rPr>
          <w:rStyle w:val="FootnoteReference"/>
          <w:sz w:val="24"/>
          <w:szCs w:val="24"/>
        </w:rPr>
        <w:footnoteReference w:id="9"/>
      </w:r>
      <w:r w:rsidRPr="00426E2E">
        <w:rPr>
          <w:sz w:val="24"/>
          <w:szCs w:val="24"/>
        </w:rPr>
        <w:t xml:space="preserve">  </w:t>
      </w:r>
    </w:p>
    <w:p w:rsidR="00424F5F" w:rsidRPr="00426E2E" w:rsidP="002E691B" w14:paraId="5C26AC3E" w14:textId="77777777">
      <w:pPr>
        <w:rPr>
          <w:sz w:val="24"/>
          <w:szCs w:val="24"/>
        </w:rPr>
      </w:pPr>
    </w:p>
    <w:p w:rsidR="00D02F4D" w:rsidRPr="00426E2E" w:rsidP="002E691B" w14:paraId="6A7CCBA1" w14:textId="73F15247">
      <w:pPr>
        <w:rPr>
          <w:sz w:val="24"/>
          <w:szCs w:val="24"/>
        </w:rPr>
      </w:pPr>
      <w:r w:rsidRPr="00426E2E">
        <w:rPr>
          <w:sz w:val="24"/>
          <w:szCs w:val="24"/>
        </w:rPr>
        <w:t xml:space="preserve">We find that </w:t>
      </w:r>
      <w:r w:rsidR="004D033B">
        <w:rPr>
          <w:sz w:val="24"/>
          <w:szCs w:val="24"/>
        </w:rPr>
        <w:t>under</w:t>
      </w:r>
      <w:r w:rsidR="006E5937">
        <w:rPr>
          <w:sz w:val="24"/>
          <w:szCs w:val="24"/>
        </w:rPr>
        <w:t xml:space="preserve"> Zoll’s requested modification</w:t>
      </w:r>
      <w:r w:rsidR="004D033B">
        <w:rPr>
          <w:sz w:val="24"/>
          <w:szCs w:val="24"/>
        </w:rPr>
        <w:t>,</w:t>
      </w:r>
      <w:r w:rsidR="006E5937">
        <w:rPr>
          <w:sz w:val="24"/>
          <w:szCs w:val="24"/>
        </w:rPr>
        <w:t xml:space="preserve"> </w:t>
      </w:r>
      <w:r w:rsidRPr="00426E2E" w:rsidR="006F1737">
        <w:rPr>
          <w:sz w:val="24"/>
          <w:szCs w:val="24"/>
        </w:rPr>
        <w:t xml:space="preserve">the waiver standard </w:t>
      </w:r>
      <w:r w:rsidR="006E5937">
        <w:rPr>
          <w:sz w:val="24"/>
          <w:szCs w:val="24"/>
        </w:rPr>
        <w:t>will continue to be</w:t>
      </w:r>
      <w:r w:rsidRPr="00426E2E" w:rsidR="006F1737">
        <w:rPr>
          <w:sz w:val="24"/>
          <w:szCs w:val="24"/>
        </w:rPr>
        <w:t xml:space="preserve"> </w:t>
      </w:r>
      <w:r w:rsidR="004D033B">
        <w:rPr>
          <w:sz w:val="24"/>
          <w:szCs w:val="24"/>
        </w:rPr>
        <w:t>satisfied</w:t>
      </w:r>
      <w:r w:rsidRPr="00426E2E" w:rsidR="006F1737">
        <w:rPr>
          <w:sz w:val="24"/>
          <w:szCs w:val="24"/>
        </w:rPr>
        <w:t xml:space="preserve">.  </w:t>
      </w:r>
      <w:r w:rsidR="000009BC">
        <w:rPr>
          <w:sz w:val="24"/>
          <w:szCs w:val="24"/>
        </w:rPr>
        <w:t>Increasing</w:t>
      </w:r>
      <w:r w:rsidRPr="00426E2E" w:rsidR="000009BC">
        <w:rPr>
          <w:sz w:val="24"/>
          <w:szCs w:val="24"/>
        </w:rPr>
        <w:t xml:space="preserve"> </w:t>
      </w:r>
      <w:r w:rsidRPr="00426E2E" w:rsidR="0090717D">
        <w:rPr>
          <w:sz w:val="24"/>
          <w:szCs w:val="24"/>
        </w:rPr>
        <w:t xml:space="preserve">the </w:t>
      </w:r>
      <w:r w:rsidRPr="00426E2E" w:rsidR="0000290B">
        <w:rPr>
          <w:sz w:val="24"/>
          <w:szCs w:val="24"/>
        </w:rPr>
        <w:t>number of times the device operates per day</w:t>
      </w:r>
      <w:r w:rsidR="000009BC">
        <w:rPr>
          <w:sz w:val="24"/>
          <w:szCs w:val="24"/>
        </w:rPr>
        <w:t xml:space="preserve"> is an evolutionary design change that </w:t>
      </w:r>
      <w:r w:rsidR="000D6161">
        <w:rPr>
          <w:sz w:val="24"/>
          <w:szCs w:val="24"/>
        </w:rPr>
        <w:t>will be beneficial to</w:t>
      </w:r>
      <w:r w:rsidR="000009BC">
        <w:rPr>
          <w:sz w:val="24"/>
          <w:szCs w:val="24"/>
        </w:rPr>
        <w:t xml:space="preserve"> patients and </w:t>
      </w:r>
      <w:r w:rsidR="000D6161">
        <w:rPr>
          <w:sz w:val="24"/>
          <w:szCs w:val="24"/>
        </w:rPr>
        <w:t>health care professionals</w:t>
      </w:r>
      <w:r w:rsidR="000009BC">
        <w:rPr>
          <w:sz w:val="24"/>
          <w:szCs w:val="24"/>
        </w:rPr>
        <w:t xml:space="preserve">.  From a technical perspective, </w:t>
      </w:r>
      <w:r w:rsidR="00B70F99">
        <w:rPr>
          <w:sz w:val="24"/>
          <w:szCs w:val="24"/>
        </w:rPr>
        <w:t>this is a</w:t>
      </w:r>
      <w:r w:rsidRPr="00426E2E" w:rsidR="0000290B">
        <w:rPr>
          <w:sz w:val="24"/>
          <w:szCs w:val="24"/>
        </w:rPr>
        <w:t xml:space="preserve"> minor </w:t>
      </w:r>
      <w:r w:rsidR="004D033B">
        <w:rPr>
          <w:sz w:val="24"/>
          <w:szCs w:val="24"/>
        </w:rPr>
        <w:t>alteration</w:t>
      </w:r>
      <w:r w:rsidRPr="00426E2E" w:rsidR="004D033B">
        <w:rPr>
          <w:sz w:val="24"/>
          <w:szCs w:val="24"/>
        </w:rPr>
        <w:t xml:space="preserve"> </w:t>
      </w:r>
      <w:r w:rsidR="000009BC">
        <w:rPr>
          <w:sz w:val="24"/>
          <w:szCs w:val="24"/>
        </w:rPr>
        <w:t xml:space="preserve">in that it does </w:t>
      </w:r>
      <w:r w:rsidR="00D65E2E">
        <w:rPr>
          <w:sz w:val="24"/>
          <w:szCs w:val="24"/>
        </w:rPr>
        <w:t xml:space="preserve">not </w:t>
      </w:r>
      <w:r w:rsidR="000009BC">
        <w:rPr>
          <w:sz w:val="24"/>
          <w:szCs w:val="24"/>
        </w:rPr>
        <w:t xml:space="preserve">require changes to </w:t>
      </w:r>
      <w:r w:rsidRPr="00426E2E">
        <w:rPr>
          <w:sz w:val="24"/>
          <w:szCs w:val="24"/>
        </w:rPr>
        <w:t>any other</w:t>
      </w:r>
      <w:r w:rsidRPr="00426E2E" w:rsidR="00D44E41">
        <w:rPr>
          <w:sz w:val="24"/>
          <w:szCs w:val="24"/>
        </w:rPr>
        <w:t xml:space="preserve"> technical </w:t>
      </w:r>
      <w:r w:rsidRPr="00426E2E">
        <w:rPr>
          <w:sz w:val="24"/>
          <w:szCs w:val="24"/>
        </w:rPr>
        <w:t xml:space="preserve">or </w:t>
      </w:r>
      <w:r w:rsidRPr="00426E2E" w:rsidR="00D44E41">
        <w:rPr>
          <w:sz w:val="24"/>
          <w:szCs w:val="24"/>
        </w:rPr>
        <w:t xml:space="preserve">operational conditions included in </w:t>
      </w:r>
      <w:r w:rsidRPr="00426E2E" w:rsidR="00BF1D7A">
        <w:rPr>
          <w:sz w:val="24"/>
          <w:szCs w:val="24"/>
        </w:rPr>
        <w:t xml:space="preserve">the </w:t>
      </w:r>
      <w:r w:rsidRPr="00426E2E" w:rsidR="00D44E41">
        <w:rPr>
          <w:sz w:val="24"/>
          <w:szCs w:val="24"/>
        </w:rPr>
        <w:t>existing waiver</w:t>
      </w:r>
      <w:r w:rsidR="004D033B">
        <w:rPr>
          <w:sz w:val="24"/>
          <w:szCs w:val="24"/>
        </w:rPr>
        <w:t xml:space="preserve"> – conditions</w:t>
      </w:r>
      <w:r w:rsidRPr="00426E2E" w:rsidR="00D44E41">
        <w:rPr>
          <w:sz w:val="24"/>
          <w:szCs w:val="24"/>
        </w:rPr>
        <w:t xml:space="preserve"> that we </w:t>
      </w:r>
      <w:r w:rsidRPr="00426E2E" w:rsidR="00F442E3">
        <w:rPr>
          <w:sz w:val="24"/>
          <w:szCs w:val="24"/>
        </w:rPr>
        <w:t xml:space="preserve">previously </w:t>
      </w:r>
      <w:r w:rsidRPr="00426E2E" w:rsidR="00D44E41">
        <w:rPr>
          <w:sz w:val="24"/>
          <w:szCs w:val="24"/>
        </w:rPr>
        <w:t xml:space="preserve">determined were sufficient to protect </w:t>
      </w:r>
      <w:r w:rsidRPr="00426E2E" w:rsidR="00BE6432">
        <w:rPr>
          <w:sz w:val="24"/>
          <w:szCs w:val="24"/>
        </w:rPr>
        <w:t xml:space="preserve">other spectrum </w:t>
      </w:r>
      <w:r w:rsidRPr="00426E2E" w:rsidR="00D44E41">
        <w:rPr>
          <w:sz w:val="24"/>
          <w:szCs w:val="24"/>
        </w:rPr>
        <w:t>users</w:t>
      </w:r>
      <w:r w:rsidR="000009BC">
        <w:rPr>
          <w:sz w:val="24"/>
          <w:szCs w:val="24"/>
        </w:rPr>
        <w:t>.</w:t>
      </w:r>
      <w:r>
        <w:rPr>
          <w:rStyle w:val="FootnoteReference"/>
          <w:sz w:val="24"/>
          <w:szCs w:val="24"/>
        </w:rPr>
        <w:footnoteReference w:id="10"/>
      </w:r>
      <w:r w:rsidR="000009BC">
        <w:rPr>
          <w:sz w:val="24"/>
          <w:szCs w:val="24"/>
        </w:rPr>
        <w:t xml:space="preserve"> </w:t>
      </w:r>
      <w:r w:rsidR="00B70F99">
        <w:rPr>
          <w:sz w:val="24"/>
          <w:szCs w:val="24"/>
        </w:rPr>
        <w:t xml:space="preserve"> </w:t>
      </w:r>
      <w:r w:rsidR="004D033B">
        <w:rPr>
          <w:sz w:val="24"/>
          <w:szCs w:val="24"/>
        </w:rPr>
        <w:t>Moreover,</w:t>
      </w:r>
      <w:r w:rsidR="000009BC">
        <w:rPr>
          <w:sz w:val="24"/>
          <w:szCs w:val="24"/>
        </w:rPr>
        <w:t xml:space="preserve"> the uCor will continue to be </w:t>
      </w:r>
      <w:r w:rsidR="006E5937">
        <w:rPr>
          <w:sz w:val="24"/>
          <w:szCs w:val="24"/>
        </w:rPr>
        <w:t>used</w:t>
      </w:r>
      <w:r w:rsidR="00B70F99">
        <w:rPr>
          <w:sz w:val="24"/>
          <w:szCs w:val="24"/>
        </w:rPr>
        <w:t xml:space="preserve"> </w:t>
      </w:r>
      <w:r w:rsidR="000009BC">
        <w:rPr>
          <w:sz w:val="24"/>
          <w:szCs w:val="24"/>
        </w:rPr>
        <w:t>a</w:t>
      </w:r>
      <w:r w:rsidR="00B70F99">
        <w:rPr>
          <w:sz w:val="24"/>
          <w:szCs w:val="24"/>
        </w:rPr>
        <w:t>s</w:t>
      </w:r>
      <w:r w:rsidR="000009BC">
        <w:rPr>
          <w:sz w:val="24"/>
          <w:szCs w:val="24"/>
        </w:rPr>
        <w:t xml:space="preserve"> specialized medical device </w:t>
      </w:r>
      <w:r w:rsidR="006E5937">
        <w:rPr>
          <w:sz w:val="24"/>
          <w:szCs w:val="24"/>
        </w:rPr>
        <w:t>that is only employed by healthcare professionals while patients are being actively monitored</w:t>
      </w:r>
      <w:r w:rsidR="00B70F99">
        <w:rPr>
          <w:sz w:val="24"/>
          <w:szCs w:val="24"/>
        </w:rPr>
        <w:t xml:space="preserve">.  Accordingly, we find that the continuing waiver conditions and nature of the device both </w:t>
      </w:r>
      <w:r w:rsidRPr="00426E2E" w:rsidR="00461324">
        <w:rPr>
          <w:sz w:val="24"/>
          <w:szCs w:val="24"/>
        </w:rPr>
        <w:t xml:space="preserve">ensure that </w:t>
      </w:r>
      <w:r w:rsidR="00D65E2E">
        <w:rPr>
          <w:sz w:val="24"/>
          <w:szCs w:val="24"/>
        </w:rPr>
        <w:t>use of the modified</w:t>
      </w:r>
      <w:r w:rsidRPr="00426E2E">
        <w:rPr>
          <w:sz w:val="24"/>
          <w:szCs w:val="24"/>
        </w:rPr>
        <w:t xml:space="preserve"> </w:t>
      </w:r>
      <w:r w:rsidR="00B70F99">
        <w:rPr>
          <w:sz w:val="24"/>
          <w:szCs w:val="24"/>
        </w:rPr>
        <w:t>uCor</w:t>
      </w:r>
      <w:r w:rsidRPr="00426E2E" w:rsidR="000158A9">
        <w:rPr>
          <w:sz w:val="24"/>
          <w:szCs w:val="24"/>
        </w:rPr>
        <w:t xml:space="preserve"> </w:t>
      </w:r>
      <w:r w:rsidR="00B70F99">
        <w:rPr>
          <w:sz w:val="24"/>
          <w:szCs w:val="24"/>
        </w:rPr>
        <w:t xml:space="preserve">model </w:t>
      </w:r>
      <w:r w:rsidR="006E5937">
        <w:rPr>
          <w:sz w:val="24"/>
          <w:szCs w:val="24"/>
        </w:rPr>
        <w:t>present</w:t>
      </w:r>
      <w:r w:rsidR="00D65E2E">
        <w:rPr>
          <w:sz w:val="24"/>
          <w:szCs w:val="24"/>
        </w:rPr>
        <w:t>s</w:t>
      </w:r>
      <w:r w:rsidR="006E5937">
        <w:rPr>
          <w:sz w:val="24"/>
          <w:szCs w:val="24"/>
        </w:rPr>
        <w:t xml:space="preserve"> no</w:t>
      </w:r>
      <w:r w:rsidR="00B70F99">
        <w:rPr>
          <w:sz w:val="24"/>
          <w:szCs w:val="24"/>
        </w:rPr>
        <w:t xml:space="preserve"> </w:t>
      </w:r>
      <w:r w:rsidR="006E5937">
        <w:rPr>
          <w:sz w:val="24"/>
          <w:szCs w:val="24"/>
        </w:rPr>
        <w:t xml:space="preserve">new </w:t>
      </w:r>
      <w:r w:rsidR="00B70F99">
        <w:rPr>
          <w:sz w:val="24"/>
          <w:szCs w:val="24"/>
        </w:rPr>
        <w:t xml:space="preserve">risk </w:t>
      </w:r>
      <w:r w:rsidR="006E5937">
        <w:rPr>
          <w:sz w:val="24"/>
          <w:szCs w:val="24"/>
        </w:rPr>
        <w:t xml:space="preserve">of </w:t>
      </w:r>
      <w:r w:rsidRPr="00426E2E">
        <w:rPr>
          <w:sz w:val="24"/>
          <w:szCs w:val="24"/>
        </w:rPr>
        <w:t xml:space="preserve">causing harmful interference to communications </w:t>
      </w:r>
      <w:r w:rsidRPr="00426E2E" w:rsidR="000158A9">
        <w:rPr>
          <w:sz w:val="24"/>
          <w:szCs w:val="24"/>
        </w:rPr>
        <w:t>services.</w:t>
      </w:r>
    </w:p>
    <w:p w:rsidR="00D02F4D" w:rsidRPr="00426E2E" w:rsidP="002E691B" w14:paraId="2A671BB2" w14:textId="77777777">
      <w:pPr>
        <w:rPr>
          <w:sz w:val="24"/>
          <w:szCs w:val="24"/>
        </w:rPr>
      </w:pPr>
    </w:p>
    <w:p w:rsidR="00F442E3" w:rsidRPr="00426E2E" w:rsidP="002E691B" w14:paraId="543F6A04" w14:textId="38D69547">
      <w:pPr>
        <w:rPr>
          <w:sz w:val="24"/>
          <w:szCs w:val="24"/>
        </w:rPr>
      </w:pPr>
      <w:r w:rsidRPr="00426E2E">
        <w:rPr>
          <w:sz w:val="24"/>
          <w:szCs w:val="24"/>
        </w:rPr>
        <w:t>To give effect to our decision,</w:t>
      </w:r>
      <w:r w:rsidRPr="00426E2E" w:rsidR="004C77FF">
        <w:rPr>
          <w:sz w:val="24"/>
          <w:szCs w:val="24"/>
        </w:rPr>
        <w:t xml:space="preserve"> we</w:t>
      </w:r>
      <w:r w:rsidRPr="00426E2E">
        <w:rPr>
          <w:sz w:val="24"/>
          <w:szCs w:val="24"/>
        </w:rPr>
        <w:t xml:space="preserve"> revise the </w:t>
      </w:r>
      <w:r w:rsidRPr="00426E2E" w:rsidR="00197676">
        <w:rPr>
          <w:sz w:val="24"/>
          <w:szCs w:val="24"/>
        </w:rPr>
        <w:t>eleventh</w:t>
      </w:r>
      <w:r w:rsidRPr="00426E2E">
        <w:rPr>
          <w:sz w:val="24"/>
          <w:szCs w:val="24"/>
        </w:rPr>
        <w:t xml:space="preserve"> condition of the existing waiver to read as follows: “</w:t>
      </w:r>
      <w:r w:rsidRPr="00426E2E" w:rsidR="00197676">
        <w:rPr>
          <w:sz w:val="24"/>
          <w:szCs w:val="24"/>
        </w:rPr>
        <w:t>The uCor device shall not operate more than 100 times per day, each time for a duration not to exceed 60 seconds.</w:t>
      </w:r>
      <w:r w:rsidRPr="00426E2E">
        <w:rPr>
          <w:sz w:val="24"/>
          <w:szCs w:val="24"/>
        </w:rPr>
        <w:t>”  All other conditions associated with th</w:t>
      </w:r>
      <w:r w:rsidRPr="00426E2E" w:rsidR="004C77FF">
        <w:rPr>
          <w:sz w:val="24"/>
          <w:szCs w:val="24"/>
        </w:rPr>
        <w:t>e</w:t>
      </w:r>
      <w:r w:rsidRPr="00426E2E">
        <w:rPr>
          <w:sz w:val="24"/>
          <w:szCs w:val="24"/>
        </w:rPr>
        <w:t xml:space="preserve"> waiver continue to apply without alteration.</w:t>
      </w:r>
      <w:r>
        <w:rPr>
          <w:rStyle w:val="FootnoteReference"/>
          <w:sz w:val="24"/>
          <w:szCs w:val="24"/>
        </w:rPr>
        <w:footnoteReference w:id="11"/>
      </w:r>
      <w:r w:rsidRPr="00426E2E">
        <w:rPr>
          <w:sz w:val="24"/>
          <w:szCs w:val="24"/>
        </w:rPr>
        <w:t xml:space="preserve">    </w:t>
      </w:r>
    </w:p>
    <w:p w:rsidR="002E691B" w:rsidRPr="00426E2E" w:rsidP="002E691B" w14:paraId="496864B5" w14:textId="77777777">
      <w:pPr>
        <w:rPr>
          <w:sz w:val="24"/>
          <w:szCs w:val="24"/>
        </w:rPr>
      </w:pPr>
    </w:p>
    <w:p w:rsidR="002E691B" w:rsidP="0085420A" w14:paraId="74A5BDFD" w14:textId="74572939">
      <w:pPr>
        <w:keepNext/>
        <w:autoSpaceDE w:val="0"/>
        <w:autoSpaceDN w:val="0"/>
        <w:adjustRightInd w:val="0"/>
        <w:rPr>
          <w:sz w:val="24"/>
          <w:szCs w:val="24"/>
        </w:rPr>
      </w:pPr>
      <w:r w:rsidRPr="00426E2E">
        <w:rPr>
          <w:sz w:val="24"/>
          <w:szCs w:val="24"/>
        </w:rPr>
        <w:t xml:space="preserve">Accordingly, pursuant to authority delegated in Sections 0.31 and 0.241 AND 1.3 of the Commission’s rules, 47 C.F.R §§ 0.31, 0.241, and 1.3, and Sections 4(i), 302, 303(e), and 303(r) of the Communications Act of  1934, as amended, 47 U.S.C  §§ 154(i), 302, 303(e), and 303(r), </w:t>
      </w:r>
      <w:r w:rsidRPr="00426E2E">
        <w:rPr>
          <w:sz w:val="24"/>
          <w:szCs w:val="24"/>
        </w:rPr>
        <w:t xml:space="preserve">IT IS ORDERED that the waiver issued to </w:t>
      </w:r>
      <w:r w:rsidRPr="00426E2E" w:rsidR="00197676">
        <w:rPr>
          <w:sz w:val="24"/>
          <w:szCs w:val="24"/>
        </w:rPr>
        <w:t>Kyma</w:t>
      </w:r>
      <w:r w:rsidRPr="00426E2E">
        <w:rPr>
          <w:sz w:val="24"/>
          <w:szCs w:val="24"/>
        </w:rPr>
        <w:t xml:space="preserve"> by Order dated</w:t>
      </w:r>
      <w:r w:rsidRPr="00426E2E" w:rsidR="00B937BF">
        <w:rPr>
          <w:sz w:val="24"/>
          <w:szCs w:val="24"/>
        </w:rPr>
        <w:t xml:space="preserve"> September 6</w:t>
      </w:r>
      <w:r w:rsidRPr="00426E2E">
        <w:rPr>
          <w:sz w:val="24"/>
          <w:szCs w:val="24"/>
        </w:rPr>
        <w:t>, 201</w:t>
      </w:r>
      <w:r w:rsidRPr="00426E2E" w:rsidR="00B937BF">
        <w:rPr>
          <w:sz w:val="24"/>
          <w:szCs w:val="24"/>
        </w:rPr>
        <w:t>6</w:t>
      </w:r>
      <w:r w:rsidRPr="00426E2E">
        <w:rPr>
          <w:sz w:val="24"/>
          <w:szCs w:val="24"/>
        </w:rPr>
        <w:t xml:space="preserve">, is hereby modified </w:t>
      </w:r>
      <w:r w:rsidRPr="00426E2E" w:rsidR="00F442E3">
        <w:rPr>
          <w:sz w:val="24"/>
          <w:szCs w:val="24"/>
        </w:rPr>
        <w:t xml:space="preserve">as described above </w:t>
      </w:r>
      <w:r w:rsidRPr="00426E2E">
        <w:rPr>
          <w:sz w:val="24"/>
          <w:szCs w:val="24"/>
        </w:rPr>
        <w:t>effective upon release of this Order.</w:t>
      </w:r>
    </w:p>
    <w:p w:rsidR="0085420A" w:rsidP="0085420A" w14:paraId="4ED55D67" w14:textId="6A6D0F42">
      <w:pPr>
        <w:keepNext/>
        <w:autoSpaceDE w:val="0"/>
        <w:autoSpaceDN w:val="0"/>
        <w:adjustRightInd w:val="0"/>
        <w:rPr>
          <w:sz w:val="24"/>
          <w:szCs w:val="24"/>
        </w:rPr>
      </w:pPr>
    </w:p>
    <w:p w:rsidR="0085420A" w:rsidRPr="00426E2E" w:rsidP="0085420A" w14:paraId="74EF44D2" w14:textId="77777777">
      <w:pPr>
        <w:keepNext/>
        <w:autoSpaceDE w:val="0"/>
        <w:autoSpaceDN w:val="0"/>
        <w:adjustRightInd w:val="0"/>
        <w:rPr>
          <w:sz w:val="24"/>
          <w:szCs w:val="24"/>
        </w:rPr>
      </w:pPr>
    </w:p>
    <w:p w:rsidR="002E691B" w:rsidRPr="00426E2E" w:rsidP="002E691B" w14:paraId="78E3507A" w14:textId="77777777">
      <w:pPr>
        <w:autoSpaceDE w:val="0"/>
        <w:autoSpaceDN w:val="0"/>
        <w:adjustRightInd w:val="0"/>
        <w:ind w:left="4320"/>
        <w:rPr>
          <w:sz w:val="24"/>
          <w:szCs w:val="24"/>
        </w:rPr>
      </w:pPr>
      <w:r w:rsidRPr="00426E2E">
        <w:rPr>
          <w:sz w:val="24"/>
          <w:szCs w:val="24"/>
        </w:rPr>
        <w:t>FEDERAL COMMUNICATIONS COMMISSION</w:t>
      </w:r>
    </w:p>
    <w:p w:rsidR="002E691B" w:rsidRPr="00426E2E" w:rsidP="002E691B" w14:paraId="43934A96" w14:textId="077E8DEE">
      <w:pPr>
        <w:autoSpaceDE w:val="0"/>
        <w:autoSpaceDN w:val="0"/>
        <w:adjustRightInd w:val="0"/>
        <w:ind w:left="4320"/>
        <w:rPr>
          <w:sz w:val="24"/>
          <w:szCs w:val="24"/>
        </w:rPr>
      </w:pPr>
      <w:r>
        <w:rPr>
          <w:sz w:val="24"/>
          <w:szCs w:val="24"/>
        </w:rPr>
        <w:br/>
      </w:r>
    </w:p>
    <w:p w:rsidR="002E691B" w:rsidRPr="00426E2E" w:rsidP="002E691B" w14:paraId="04A1367C" w14:textId="77777777">
      <w:pPr>
        <w:autoSpaceDE w:val="0"/>
        <w:autoSpaceDN w:val="0"/>
        <w:adjustRightInd w:val="0"/>
        <w:ind w:left="4320"/>
        <w:rPr>
          <w:sz w:val="24"/>
          <w:szCs w:val="24"/>
        </w:rPr>
      </w:pPr>
    </w:p>
    <w:p w:rsidR="002E691B" w:rsidRPr="00426E2E" w:rsidP="002E691B" w14:paraId="37B3EC4B" w14:textId="77777777">
      <w:pPr>
        <w:autoSpaceDE w:val="0"/>
        <w:autoSpaceDN w:val="0"/>
        <w:adjustRightInd w:val="0"/>
        <w:ind w:left="4320"/>
        <w:rPr>
          <w:sz w:val="24"/>
          <w:szCs w:val="24"/>
        </w:rPr>
      </w:pPr>
    </w:p>
    <w:p w:rsidR="002E691B" w:rsidRPr="00426E2E" w:rsidP="002E691B" w14:paraId="0C7CCA66" w14:textId="77777777">
      <w:pPr>
        <w:autoSpaceDE w:val="0"/>
        <w:autoSpaceDN w:val="0"/>
        <w:adjustRightInd w:val="0"/>
        <w:ind w:left="4320"/>
        <w:rPr>
          <w:sz w:val="24"/>
          <w:szCs w:val="24"/>
        </w:rPr>
      </w:pPr>
      <w:r w:rsidRPr="00426E2E">
        <w:rPr>
          <w:sz w:val="24"/>
          <w:szCs w:val="24"/>
        </w:rPr>
        <w:t>Julius Knapp</w:t>
      </w:r>
    </w:p>
    <w:p w:rsidR="002E691B" w:rsidRPr="00426E2E" w:rsidP="002E691B" w14:paraId="2A6D53AB" w14:textId="77777777">
      <w:pPr>
        <w:autoSpaceDE w:val="0"/>
        <w:autoSpaceDN w:val="0"/>
        <w:adjustRightInd w:val="0"/>
        <w:ind w:left="4320"/>
        <w:rPr>
          <w:sz w:val="24"/>
          <w:szCs w:val="24"/>
        </w:rPr>
      </w:pPr>
      <w:r w:rsidRPr="00426E2E">
        <w:rPr>
          <w:sz w:val="24"/>
          <w:szCs w:val="24"/>
        </w:rPr>
        <w:t>Chief</w:t>
      </w:r>
    </w:p>
    <w:p w:rsidR="002E691B" w:rsidRPr="002E691B" w:rsidP="00A76EC0" w14:paraId="0808E6DC" w14:textId="52E836CA">
      <w:pPr>
        <w:autoSpaceDE w:val="0"/>
        <w:autoSpaceDN w:val="0"/>
        <w:adjustRightInd w:val="0"/>
        <w:ind w:left="4320"/>
        <w:rPr>
          <w:sz w:val="24"/>
          <w:szCs w:val="24"/>
        </w:rPr>
      </w:pPr>
      <w:r w:rsidRPr="00426E2E">
        <w:rPr>
          <w:sz w:val="24"/>
          <w:szCs w:val="24"/>
        </w:rPr>
        <w:t>Office of Engineering and Technology</w:t>
      </w:r>
      <w:bookmarkStart w:id="7" w:name="_GoBack"/>
      <w:bookmarkEnd w:id="7"/>
    </w:p>
    <w:sectPr w:rsidSect="0085420A">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20A" w14:paraId="4E7330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35F6" w:rsidP="002E691B" w14:paraId="51158894" w14:textId="77777777">
      <w:r>
        <w:separator/>
      </w:r>
    </w:p>
  </w:footnote>
  <w:footnote w:type="continuationSeparator" w:id="1">
    <w:p w:rsidR="00C035F6" w:rsidP="002E691B" w14:paraId="33314838" w14:textId="77777777">
      <w:r>
        <w:continuationSeparator/>
      </w:r>
    </w:p>
  </w:footnote>
  <w:footnote w:id="2">
    <w:p w:rsidR="00424F5F" w:rsidP="00D65E2E" w14:paraId="377DBAD7" w14:textId="2DCF8F46">
      <w:pPr>
        <w:pStyle w:val="FootnoteText"/>
        <w:spacing w:after="240"/>
      </w:pPr>
      <w:r>
        <w:rPr>
          <w:rStyle w:val="FootnoteReference"/>
        </w:rPr>
        <w:footnoteRef/>
      </w:r>
      <w:r>
        <w:t xml:space="preserve"> </w:t>
      </w:r>
      <w:r w:rsidR="004C77FF">
        <w:t xml:space="preserve">Letter from Terry G. Mahn, Counsel to </w:t>
      </w:r>
      <w:r w:rsidR="002829E2">
        <w:t>Zoll Medical Israel Ltd.</w:t>
      </w:r>
      <w:r w:rsidR="004C77FF">
        <w:t>, to Marlene H. Dortch, Secretary, Federal Communications Commission</w:t>
      </w:r>
      <w:r w:rsidR="00317E46">
        <w:t xml:space="preserve"> (May 17, 2019) (filed in INBOX-PART 15 in the Commission’s </w:t>
      </w:r>
      <w:r w:rsidRPr="00317E46" w:rsidR="00317E46">
        <w:t>Electronic Comment Filing System</w:t>
      </w:r>
      <w:r w:rsidR="00317E46">
        <w:t>) (</w:t>
      </w:r>
      <w:r w:rsidR="002829E2">
        <w:t>Zoll</w:t>
      </w:r>
      <w:r w:rsidR="00A47654">
        <w:t xml:space="preserve"> </w:t>
      </w:r>
      <w:r w:rsidR="002829E2">
        <w:t>Waiver</w:t>
      </w:r>
      <w:r w:rsidR="00317E46">
        <w:t xml:space="preserve"> </w:t>
      </w:r>
      <w:r w:rsidR="00A47654">
        <w:t xml:space="preserve">Modification </w:t>
      </w:r>
      <w:r w:rsidR="001E68CC">
        <w:t>L</w:t>
      </w:r>
      <w:r w:rsidR="00317E46">
        <w:t xml:space="preserve">etter).  This letter corrected and replaced an earlier submission made on behalf of </w:t>
      </w:r>
      <w:r w:rsidR="002829E2">
        <w:t>Zoll</w:t>
      </w:r>
      <w:r w:rsidR="00317E46">
        <w:t>.</w:t>
      </w:r>
    </w:p>
  </w:footnote>
  <w:footnote w:id="3">
    <w:p w:rsidR="00867218" w:rsidP="00D65E2E" w14:paraId="61FF96BC" w14:textId="49AB757E">
      <w:pPr>
        <w:pStyle w:val="FootnoteText"/>
        <w:spacing w:after="240"/>
      </w:pPr>
      <w:r>
        <w:rPr>
          <w:rStyle w:val="FootnoteReference"/>
        </w:rPr>
        <w:footnoteRef/>
      </w:r>
      <w:r>
        <w:t xml:space="preserve"> </w:t>
      </w:r>
      <w:r>
        <w:rPr>
          <w:i/>
          <w:iCs/>
          <w:sz w:val="19"/>
          <w:szCs w:val="19"/>
        </w:rPr>
        <w:t>Kyma Medical Technologies Ltd. Request for Waiver of Part 15</w:t>
      </w:r>
      <w:r>
        <w:t xml:space="preserve"> </w:t>
      </w:r>
      <w:r>
        <w:rPr>
          <w:i/>
          <w:iCs/>
          <w:sz w:val="19"/>
          <w:szCs w:val="19"/>
        </w:rPr>
        <w:t>of the Commission's Rules Applicable to Ultra Wideband Devices</w:t>
      </w:r>
      <w:r>
        <w:rPr>
          <w:iCs/>
          <w:sz w:val="19"/>
          <w:szCs w:val="19"/>
        </w:rPr>
        <w:t>, Order, 31 FCC Rcd 9705 (OET 2016) (Kyma Order).</w:t>
      </w:r>
    </w:p>
  </w:footnote>
  <w:footnote w:id="4">
    <w:p w:rsidR="00867218" w:rsidRPr="0095398C" w:rsidP="00D65E2E" w14:paraId="226C8928" w14:textId="51C737BE">
      <w:pPr>
        <w:pStyle w:val="FootnoteText"/>
        <w:spacing w:after="240"/>
      </w:pPr>
      <w:r>
        <w:rPr>
          <w:rStyle w:val="FootnoteReference"/>
        </w:rPr>
        <w:footnoteRef/>
      </w:r>
      <w:r>
        <w:t xml:space="preserve"> </w:t>
      </w:r>
      <w:r>
        <w:rPr>
          <w:i/>
        </w:rPr>
        <w:t xml:space="preserve">Id. </w:t>
      </w:r>
      <w:r>
        <w:t>at 2-3.</w:t>
      </w:r>
    </w:p>
  </w:footnote>
  <w:footnote w:id="5">
    <w:p w:rsidR="001E68CC" w:rsidP="00D65E2E" w14:paraId="4960047F" w14:textId="3F977C95">
      <w:pPr>
        <w:pStyle w:val="FootnoteText"/>
        <w:spacing w:after="240"/>
      </w:pPr>
      <w:r>
        <w:rPr>
          <w:rStyle w:val="FootnoteReference"/>
        </w:rPr>
        <w:footnoteRef/>
      </w:r>
      <w:r>
        <w:t xml:space="preserve"> </w:t>
      </w:r>
      <w:r w:rsidRPr="00426E2E" w:rsidR="0000290B">
        <w:t>Zoll</w:t>
      </w:r>
      <w:r w:rsidRPr="00426E2E">
        <w:t xml:space="preserve"> Waiver Modification Letter at </w:t>
      </w:r>
      <w:r w:rsidRPr="00426E2E" w:rsidR="0000290B">
        <w:t>3</w:t>
      </w:r>
      <w:r w:rsidRPr="00426E2E">
        <w:t>.</w:t>
      </w:r>
    </w:p>
  </w:footnote>
  <w:footnote w:id="6">
    <w:p w:rsidR="00867218" w:rsidRPr="00F33860" w:rsidP="00D65E2E" w14:paraId="11F1BF97" w14:textId="12CE8A0A">
      <w:pPr>
        <w:pStyle w:val="FootnoteText"/>
        <w:spacing w:after="240"/>
      </w:pPr>
      <w:r>
        <w:rPr>
          <w:rStyle w:val="FootnoteReference"/>
        </w:rPr>
        <w:footnoteRef/>
      </w:r>
      <w:r>
        <w:t xml:space="preserve"> </w:t>
      </w:r>
      <w:r>
        <w:rPr>
          <w:i/>
        </w:rPr>
        <w:t xml:space="preserve">Id. </w:t>
      </w:r>
      <w:r>
        <w:t>at 5.</w:t>
      </w:r>
    </w:p>
  </w:footnote>
  <w:footnote w:id="7">
    <w:p w:rsidR="002E691B" w:rsidP="00D65E2E" w14:paraId="2C7454D0" w14:textId="77777777">
      <w:pPr>
        <w:spacing w:after="240"/>
        <w:rPr>
          <w:sz w:val="19"/>
          <w:szCs w:val="19"/>
        </w:rPr>
      </w:pPr>
      <w:r w:rsidRPr="00303B25">
        <w:rPr>
          <w:rStyle w:val="FootnoteReference"/>
          <w:sz w:val="19"/>
          <w:szCs w:val="19"/>
        </w:rPr>
        <w:footnoteRef/>
      </w:r>
      <w:r w:rsidRPr="00303B25">
        <w:rPr>
          <w:sz w:val="19"/>
          <w:szCs w:val="19"/>
        </w:rPr>
        <w:t xml:space="preserve"> </w:t>
      </w:r>
      <w:hyperlink r:id="rId1" w:tgtFrame="_top" w:history="1">
        <w:r w:rsidRPr="00303B25">
          <w:rPr>
            <w:sz w:val="19"/>
            <w:szCs w:val="19"/>
          </w:rPr>
          <w:t>47 C.F.R. § 1.3</w:t>
        </w:r>
      </w:hyperlink>
      <w:r w:rsidRPr="00303B25">
        <w:rPr>
          <w:sz w:val="19"/>
          <w:szCs w:val="19"/>
        </w:rPr>
        <w:t>.</w:t>
      </w:r>
      <w:r>
        <w:rPr>
          <w:sz w:val="19"/>
          <w:szCs w:val="19"/>
        </w:rPr>
        <w:t xml:space="preserve"> </w:t>
      </w:r>
      <w:r>
        <w:rPr>
          <w:i/>
          <w:iCs/>
          <w:sz w:val="19"/>
          <w:szCs w:val="19"/>
        </w:rPr>
        <w:t>See also</w:t>
      </w:r>
      <w:r>
        <w:rPr>
          <w:iCs/>
          <w:sz w:val="19"/>
          <w:szCs w:val="19"/>
        </w:rPr>
        <w:t xml:space="preserve"> </w:t>
      </w:r>
      <w:hyperlink r:id="rId2" w:tgtFrame="_top" w:history="1">
        <w:r>
          <w:rPr>
            <w:i/>
            <w:iCs/>
            <w:sz w:val="19"/>
            <w:szCs w:val="19"/>
          </w:rPr>
          <w:t>ICO Global Communications (Holdings) Limited v. FCC</w:t>
        </w:r>
        <w:r>
          <w:rPr>
            <w:sz w:val="19"/>
            <w:szCs w:val="19"/>
          </w:rPr>
          <w:t>, 428 F.3d 264 (D.C. Cir. 2005)</w:t>
        </w:r>
      </w:hyperlink>
      <w:r>
        <w:rPr>
          <w:sz w:val="19"/>
          <w:szCs w:val="19"/>
        </w:rPr>
        <w:t xml:space="preserve">; </w:t>
      </w:r>
      <w:hyperlink r:id="rId3" w:tgtFrame="_top" w:history="1">
        <w:r>
          <w:rPr>
            <w:i/>
            <w:iCs/>
            <w:sz w:val="19"/>
            <w:szCs w:val="19"/>
          </w:rPr>
          <w:t>Northeast Cellular Telephone Co. v. FCC</w:t>
        </w:r>
        <w:r>
          <w:rPr>
            <w:sz w:val="19"/>
            <w:szCs w:val="19"/>
          </w:rPr>
          <w:t>, 897 F.2d 1164 (D.C. Cir. 1990)</w:t>
        </w:r>
      </w:hyperlink>
      <w:r>
        <w:rPr>
          <w:sz w:val="19"/>
          <w:szCs w:val="19"/>
        </w:rPr>
        <w:t xml:space="preserve">; </w:t>
      </w:r>
      <w:hyperlink r:id="rId4" w:tgtFrame="_top" w:history="1">
        <w:r>
          <w:rPr>
            <w:i/>
            <w:iCs/>
            <w:sz w:val="19"/>
            <w:szCs w:val="19"/>
          </w:rPr>
          <w:t>WAIT Radio v. FCC</w:t>
        </w:r>
        <w:r>
          <w:rPr>
            <w:sz w:val="19"/>
            <w:szCs w:val="19"/>
          </w:rPr>
          <w:t>, 418 F.2d 1153 (D.C. Cir. 1969)</w:t>
        </w:r>
      </w:hyperlink>
      <w:r>
        <w:rPr>
          <w:sz w:val="19"/>
          <w:szCs w:val="19"/>
        </w:rPr>
        <w:t>.</w:t>
      </w:r>
    </w:p>
  </w:footnote>
  <w:footnote w:id="8">
    <w:p w:rsidR="002E691B" w:rsidP="00D65E2E" w14:paraId="05E680DD" w14:textId="77777777">
      <w:pPr>
        <w:spacing w:after="240"/>
        <w:rPr>
          <w:sz w:val="19"/>
          <w:szCs w:val="19"/>
        </w:rPr>
      </w:pPr>
      <w:r w:rsidRPr="00303B25">
        <w:rPr>
          <w:rStyle w:val="FootnoteReference"/>
          <w:sz w:val="19"/>
          <w:szCs w:val="19"/>
        </w:rPr>
        <w:footnoteRef/>
      </w:r>
      <w:r w:rsidRPr="00303B25">
        <w:rPr>
          <w:sz w:val="19"/>
          <w:szCs w:val="19"/>
        </w:rPr>
        <w:t xml:space="preserve"> </w:t>
      </w:r>
      <w:r w:rsidRPr="00303B25">
        <w:rPr>
          <w:i/>
          <w:iCs/>
          <w:sz w:val="19"/>
          <w:szCs w:val="19"/>
        </w:rPr>
        <w:t>Northeast Cellular</w:t>
      </w:r>
      <w:r w:rsidRPr="00303B25">
        <w:rPr>
          <w:sz w:val="19"/>
          <w:szCs w:val="19"/>
        </w:rPr>
        <w:t>,</w:t>
      </w:r>
      <w:r>
        <w:rPr>
          <w:sz w:val="19"/>
          <w:szCs w:val="19"/>
        </w:rPr>
        <w:t xml:space="preserve"> 897 F.2d at 1166; </w:t>
      </w:r>
      <w:r>
        <w:rPr>
          <w:i/>
          <w:sz w:val="19"/>
          <w:szCs w:val="19"/>
        </w:rPr>
        <w:t>see also</w:t>
      </w:r>
      <w:r>
        <w:rPr>
          <w:sz w:val="19"/>
          <w:szCs w:val="19"/>
        </w:rPr>
        <w:t xml:space="preserve"> </w:t>
      </w:r>
      <w:hyperlink r:id="rId5" w:tgtFrame="_top" w:history="1">
        <w:r>
          <w:rPr>
            <w:i/>
            <w:iCs/>
            <w:sz w:val="19"/>
            <w:szCs w:val="19"/>
          </w:rPr>
          <w:t>ICO Global Communications</w:t>
        </w:r>
        <w:r>
          <w:rPr>
            <w:sz w:val="19"/>
            <w:szCs w:val="19"/>
          </w:rPr>
          <w:t>, 428 F.3d at 269</w:t>
        </w:r>
      </w:hyperlink>
      <w:r>
        <w:rPr>
          <w:sz w:val="19"/>
          <w:szCs w:val="19"/>
        </w:rPr>
        <w:t xml:space="preserve"> (quoting </w:t>
      </w:r>
      <w:r>
        <w:rPr>
          <w:i/>
          <w:iCs/>
          <w:sz w:val="19"/>
          <w:szCs w:val="19"/>
        </w:rPr>
        <w:t>Northeast Cellular</w:t>
      </w:r>
      <w:r>
        <w:rPr>
          <w:sz w:val="19"/>
          <w:szCs w:val="19"/>
        </w:rPr>
        <w:t xml:space="preserve">); </w:t>
      </w:r>
      <w:hyperlink r:id="rId6" w:tgtFrame="_top" w:history="1">
        <w:r>
          <w:rPr>
            <w:i/>
            <w:iCs/>
            <w:sz w:val="19"/>
            <w:szCs w:val="19"/>
          </w:rPr>
          <w:t>WAIT Radio</w:t>
        </w:r>
        <w:r>
          <w:rPr>
            <w:sz w:val="19"/>
            <w:szCs w:val="19"/>
          </w:rPr>
          <w:t>, 418 F.2d at 1157-59</w:t>
        </w:r>
      </w:hyperlink>
      <w:r>
        <w:rPr>
          <w:sz w:val="19"/>
          <w:szCs w:val="19"/>
        </w:rPr>
        <w:t>.</w:t>
      </w:r>
    </w:p>
  </w:footnote>
  <w:footnote w:id="9">
    <w:p w:rsidR="002E691B" w:rsidP="00D65E2E" w14:paraId="16C55236" w14:textId="7934C47A">
      <w:pPr>
        <w:spacing w:after="240"/>
      </w:pPr>
      <w:r w:rsidRPr="00303B25">
        <w:rPr>
          <w:rStyle w:val="FootnoteReference"/>
          <w:sz w:val="19"/>
          <w:szCs w:val="19"/>
        </w:rPr>
        <w:footnoteRef/>
      </w:r>
      <w:r w:rsidRPr="00303B25">
        <w:rPr>
          <w:sz w:val="19"/>
          <w:szCs w:val="19"/>
        </w:rPr>
        <w:t xml:space="preserve"> </w:t>
      </w:r>
      <w:r w:rsidRPr="00303B25">
        <w:rPr>
          <w:i/>
          <w:iCs/>
          <w:sz w:val="19"/>
          <w:szCs w:val="19"/>
        </w:rPr>
        <w:t>See, e.g.</w:t>
      </w:r>
      <w:r w:rsidRPr="00303B25">
        <w:rPr>
          <w:iCs/>
          <w:sz w:val="19"/>
          <w:szCs w:val="19"/>
        </w:rPr>
        <w:t xml:space="preserve">, </w:t>
      </w:r>
      <w:hyperlink r:id="rId6" w:tgtFrame="_top" w:history="1">
        <w:r w:rsidRPr="00303B25">
          <w:rPr>
            <w:i/>
            <w:iCs/>
            <w:sz w:val="19"/>
            <w:szCs w:val="19"/>
          </w:rPr>
          <w:t>WAIT Radio</w:t>
        </w:r>
        <w:r w:rsidRPr="00303B25">
          <w:rPr>
            <w:sz w:val="19"/>
            <w:szCs w:val="19"/>
          </w:rPr>
          <w:t>, 418 F.2d at 1157</w:t>
        </w:r>
      </w:hyperlink>
      <w:r w:rsidR="001E68CC">
        <w:rPr>
          <w:sz w:val="19"/>
          <w:szCs w:val="19"/>
        </w:rPr>
        <w:t xml:space="preserve"> and</w:t>
      </w:r>
      <w:r>
        <w:rPr>
          <w:sz w:val="19"/>
          <w:szCs w:val="19"/>
        </w:rPr>
        <w:t xml:space="preserve"> </w:t>
      </w:r>
      <w:r>
        <w:rPr>
          <w:i/>
          <w:iCs/>
          <w:sz w:val="19"/>
          <w:szCs w:val="19"/>
        </w:rPr>
        <w:t>Northeast Cellular</w:t>
      </w:r>
      <w:r>
        <w:rPr>
          <w:sz w:val="19"/>
          <w:szCs w:val="19"/>
        </w:rPr>
        <w:t>, 897 F.2d at 1166</w:t>
      </w:r>
      <w:r w:rsidR="001E68CC">
        <w:rPr>
          <w:sz w:val="19"/>
          <w:szCs w:val="19"/>
        </w:rPr>
        <w:t>.</w:t>
      </w:r>
    </w:p>
  </w:footnote>
  <w:footnote w:id="10">
    <w:p w:rsidR="00867218" w:rsidP="00D65E2E" w14:paraId="220B300F" w14:textId="6411563F">
      <w:pPr>
        <w:pStyle w:val="FootnoteText"/>
        <w:spacing w:after="240"/>
      </w:pPr>
      <w:r>
        <w:rPr>
          <w:rStyle w:val="FootnoteReference"/>
        </w:rPr>
        <w:footnoteRef/>
      </w:r>
      <w:r>
        <w:t xml:space="preserve"> </w:t>
      </w:r>
      <w:r w:rsidRPr="00426E2E">
        <w:t>These include, for example, limiting the dwell time on any one frequency to no more than 100 microseconds in any 20 millisecond period, and limiting the operations of the device to body imaging measurement functions</w:t>
      </w:r>
      <w:r w:rsidR="00B70F99">
        <w:t xml:space="preserve">, </w:t>
      </w:r>
      <w:r w:rsidR="006E5937">
        <w:t>and requiring the device to cease transmissions when not in contact with the human body</w:t>
      </w:r>
      <w:r w:rsidRPr="00426E2E">
        <w:t>.</w:t>
      </w:r>
      <w:r>
        <w:t xml:space="preserve">  </w:t>
      </w:r>
      <w:r w:rsidRPr="00426E2E">
        <w:t>Kyma Order at 9-10.</w:t>
      </w:r>
      <w:r>
        <w:t xml:space="preserve"> </w:t>
      </w:r>
    </w:p>
  </w:footnote>
  <w:footnote w:id="11">
    <w:p w:rsidR="00867218" w:rsidP="00D65E2E" w14:paraId="1B29A527" w14:textId="10AC683D">
      <w:pPr>
        <w:pStyle w:val="FootnoteText"/>
        <w:spacing w:after="240"/>
      </w:pPr>
      <w:r>
        <w:rPr>
          <w:rStyle w:val="FootnoteReference"/>
        </w:rPr>
        <w:footnoteRef/>
      </w:r>
      <w:r>
        <w:t xml:space="preserve"> We will place a copy of this letter in ET Docket No. 15-199, the docket associated with the Kyma Order.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1B"/>
    <w:rsid w:val="000009BC"/>
    <w:rsid w:val="0000290B"/>
    <w:rsid w:val="000158A9"/>
    <w:rsid w:val="00046047"/>
    <w:rsid w:val="000D6161"/>
    <w:rsid w:val="000F0CB8"/>
    <w:rsid w:val="00122A69"/>
    <w:rsid w:val="00161C1E"/>
    <w:rsid w:val="00164954"/>
    <w:rsid w:val="00197676"/>
    <w:rsid w:val="001B77EB"/>
    <w:rsid w:val="001C3D24"/>
    <w:rsid w:val="001E55A6"/>
    <w:rsid w:val="001E68CC"/>
    <w:rsid w:val="00203CB7"/>
    <w:rsid w:val="00271DBB"/>
    <w:rsid w:val="002829E2"/>
    <w:rsid w:val="002B17C7"/>
    <w:rsid w:val="002D339D"/>
    <w:rsid w:val="002E691B"/>
    <w:rsid w:val="002E6CBF"/>
    <w:rsid w:val="00303B25"/>
    <w:rsid w:val="00317E46"/>
    <w:rsid w:val="003C0973"/>
    <w:rsid w:val="00424F5F"/>
    <w:rsid w:val="00426E2E"/>
    <w:rsid w:val="004336B9"/>
    <w:rsid w:val="00455F45"/>
    <w:rsid w:val="00461324"/>
    <w:rsid w:val="00467334"/>
    <w:rsid w:val="004B7AB2"/>
    <w:rsid w:val="004C510C"/>
    <w:rsid w:val="004C77FF"/>
    <w:rsid w:val="004D033B"/>
    <w:rsid w:val="00521B0E"/>
    <w:rsid w:val="0056474D"/>
    <w:rsid w:val="00566453"/>
    <w:rsid w:val="006001A7"/>
    <w:rsid w:val="00632317"/>
    <w:rsid w:val="006A69EA"/>
    <w:rsid w:val="006E5937"/>
    <w:rsid w:val="006F1737"/>
    <w:rsid w:val="0085420A"/>
    <w:rsid w:val="00867218"/>
    <w:rsid w:val="00877A7E"/>
    <w:rsid w:val="00881EDD"/>
    <w:rsid w:val="00904A32"/>
    <w:rsid w:val="0090717D"/>
    <w:rsid w:val="0095398C"/>
    <w:rsid w:val="00977791"/>
    <w:rsid w:val="009C0B50"/>
    <w:rsid w:val="009F1264"/>
    <w:rsid w:val="00A3215B"/>
    <w:rsid w:val="00A47654"/>
    <w:rsid w:val="00A61A9B"/>
    <w:rsid w:val="00A76EC0"/>
    <w:rsid w:val="00B27F29"/>
    <w:rsid w:val="00B41512"/>
    <w:rsid w:val="00B70F99"/>
    <w:rsid w:val="00B937BF"/>
    <w:rsid w:val="00BC0EE7"/>
    <w:rsid w:val="00BC17B2"/>
    <w:rsid w:val="00BE6432"/>
    <w:rsid w:val="00BF1D7A"/>
    <w:rsid w:val="00C035F6"/>
    <w:rsid w:val="00C75CCB"/>
    <w:rsid w:val="00CA2DAD"/>
    <w:rsid w:val="00CF672A"/>
    <w:rsid w:val="00D02F4D"/>
    <w:rsid w:val="00D44E41"/>
    <w:rsid w:val="00D65E2E"/>
    <w:rsid w:val="00D7466F"/>
    <w:rsid w:val="00D80386"/>
    <w:rsid w:val="00DF6F6E"/>
    <w:rsid w:val="00E20BFD"/>
    <w:rsid w:val="00E43067"/>
    <w:rsid w:val="00E70A39"/>
    <w:rsid w:val="00E938A0"/>
    <w:rsid w:val="00F33860"/>
    <w:rsid w:val="00F4425A"/>
    <w:rsid w:val="00F442E3"/>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054933C-CEB7-44CB-9D10-03F2BE62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E691B"/>
  </w:style>
  <w:style w:type="character" w:customStyle="1" w:styleId="FootnoteTextChar">
    <w:name w:val="Footnote Text Char"/>
    <w:basedOn w:val="DefaultParagraphFont"/>
    <w:link w:val="FootnoteText"/>
    <w:semiHidden/>
    <w:rsid w:val="002E691B"/>
    <w:rPr>
      <w:rFonts w:ascii="Times New Roman" w:eastAsia="Times New Roman" w:hAnsi="Times New Roman" w:cs="Times New Roman"/>
      <w:sz w:val="20"/>
      <w:szCs w:val="20"/>
    </w:rPr>
  </w:style>
  <w:style w:type="character" w:styleId="FootnoteReference">
    <w:name w:val="footnote reference"/>
    <w:semiHidden/>
    <w:rsid w:val="002E691B"/>
    <w:rPr>
      <w:vertAlign w:val="superscript"/>
    </w:rPr>
  </w:style>
  <w:style w:type="character" w:customStyle="1" w:styleId="documentbody1">
    <w:name w:val="documentbody1"/>
    <w:rsid w:val="002E691B"/>
    <w:rPr>
      <w:rFonts w:ascii="Verdana" w:hAnsi="Verdana" w:hint="default"/>
      <w:sz w:val="19"/>
      <w:szCs w:val="19"/>
    </w:rPr>
  </w:style>
  <w:style w:type="paragraph" w:styleId="BalloonText">
    <w:name w:val="Balloon Text"/>
    <w:basedOn w:val="Normal"/>
    <w:link w:val="BalloonTextChar"/>
    <w:uiPriority w:val="99"/>
    <w:semiHidden/>
    <w:unhideWhenUsed/>
    <w:rsid w:val="00161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C1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61324"/>
    <w:rPr>
      <w:sz w:val="16"/>
      <w:szCs w:val="16"/>
    </w:rPr>
  </w:style>
  <w:style w:type="paragraph" w:styleId="CommentText">
    <w:name w:val="annotation text"/>
    <w:basedOn w:val="Normal"/>
    <w:link w:val="CommentTextChar"/>
    <w:uiPriority w:val="99"/>
    <w:semiHidden/>
    <w:unhideWhenUsed/>
    <w:rsid w:val="00461324"/>
  </w:style>
  <w:style w:type="character" w:customStyle="1" w:styleId="CommentTextChar">
    <w:name w:val="Comment Text Char"/>
    <w:basedOn w:val="DefaultParagraphFont"/>
    <w:link w:val="CommentText"/>
    <w:uiPriority w:val="99"/>
    <w:semiHidden/>
    <w:rsid w:val="004613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324"/>
    <w:rPr>
      <w:b/>
      <w:bCs/>
    </w:rPr>
  </w:style>
  <w:style w:type="character" w:customStyle="1" w:styleId="CommentSubjectChar">
    <w:name w:val="Comment Subject Char"/>
    <w:basedOn w:val="CommentTextChar"/>
    <w:link w:val="CommentSubject"/>
    <w:uiPriority w:val="99"/>
    <w:semiHidden/>
    <w:rsid w:val="0046132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5420A"/>
    <w:pPr>
      <w:tabs>
        <w:tab w:val="center" w:pos="4680"/>
        <w:tab w:val="right" w:pos="9360"/>
      </w:tabs>
    </w:pPr>
  </w:style>
  <w:style w:type="character" w:customStyle="1" w:styleId="HeaderChar">
    <w:name w:val="Header Char"/>
    <w:basedOn w:val="DefaultParagraphFont"/>
    <w:link w:val="Header"/>
    <w:uiPriority w:val="99"/>
    <w:rsid w:val="008542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420A"/>
    <w:pPr>
      <w:tabs>
        <w:tab w:val="center" w:pos="4680"/>
        <w:tab w:val="right" w:pos="9360"/>
      </w:tabs>
    </w:pPr>
  </w:style>
  <w:style w:type="character" w:customStyle="1" w:styleId="FooterChar">
    <w:name w:val="Footer Char"/>
    <w:basedOn w:val="DefaultParagraphFont"/>
    <w:link w:val="Footer"/>
    <w:uiPriority w:val="99"/>
    <w:rsid w:val="008542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