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43369" w:rsidP="00D43369">
      <w:pPr>
        <w:jc w:val="center"/>
        <w:rPr>
          <w:b/>
        </w:rPr>
      </w:pPr>
      <w:r w:rsidRPr="0070224F">
        <w:rPr>
          <w:rFonts w:ascii="Times New Roman Bold" w:hAnsi="Times New Roman Bold"/>
          <w:b/>
          <w:kern w:val="0"/>
          <w:szCs w:val="22"/>
        </w:rPr>
        <w:t>Before</w:t>
      </w:r>
      <w:r>
        <w:rPr>
          <w:b/>
        </w:rPr>
        <w:t xml:space="preserve"> the</w:t>
      </w:r>
    </w:p>
    <w:p w:rsidR="00D43369" w:rsidP="00D43369">
      <w:pPr>
        <w:pStyle w:val="StyleBoldCentered"/>
      </w:pPr>
      <w:r>
        <w:t>F</w:t>
      </w:r>
      <w:r>
        <w:rPr>
          <w:caps w:val="0"/>
        </w:rPr>
        <w:t>ederal Communications Commission</w:t>
      </w:r>
    </w:p>
    <w:p w:rsidR="00D43369" w:rsidP="00D43369">
      <w:pPr>
        <w:pStyle w:val="StyleBoldCentered"/>
      </w:pPr>
      <w:r>
        <w:rPr>
          <w:caps w:val="0"/>
        </w:rPr>
        <w:t>Washington, D.C. 20554</w:t>
      </w:r>
    </w:p>
    <w:p w:rsidR="00D43369" w:rsidP="00D43369"/>
    <w:p w:rsidR="00D43369" w:rsidP="00D43369"/>
    <w:tbl>
      <w:tblPr>
        <w:tblW w:w="0" w:type="auto"/>
        <w:tblLayout w:type="fixed"/>
        <w:tblLook w:val="0000"/>
      </w:tblPr>
      <w:tblGrid>
        <w:gridCol w:w="4698"/>
        <w:gridCol w:w="630"/>
        <w:gridCol w:w="4248"/>
      </w:tblGrid>
      <w:tr w:rsidTr="00F85BF2">
        <w:tblPrEx>
          <w:tblW w:w="0" w:type="auto"/>
          <w:tblLayout w:type="fixed"/>
          <w:tblLook w:val="0000"/>
        </w:tblPrEx>
        <w:tc>
          <w:tcPr>
            <w:tcW w:w="4698" w:type="dxa"/>
          </w:tcPr>
          <w:p w:rsidR="00D43369" w:rsidP="00F85BF2">
            <w:pPr>
              <w:tabs>
                <w:tab w:val="center" w:pos="4680"/>
              </w:tabs>
              <w:suppressAutoHyphens/>
              <w:rPr>
                <w:spacing w:val="-2"/>
              </w:rPr>
            </w:pPr>
            <w:r>
              <w:rPr>
                <w:spacing w:val="-2"/>
              </w:rPr>
              <w:t>In the Matter of</w:t>
            </w:r>
          </w:p>
          <w:p w:rsidR="00D43369" w:rsidP="00F85BF2">
            <w:pPr>
              <w:tabs>
                <w:tab w:val="center" w:pos="4680"/>
              </w:tabs>
              <w:suppressAutoHyphens/>
              <w:rPr>
                <w:spacing w:val="-2"/>
              </w:rPr>
            </w:pPr>
          </w:p>
          <w:p w:rsidR="00D43369" w:rsidP="00F85BF2">
            <w:pPr>
              <w:tabs>
                <w:tab w:val="center" w:pos="4680"/>
              </w:tabs>
              <w:suppressAutoHyphens/>
              <w:rPr>
                <w:spacing w:val="-2"/>
              </w:rPr>
            </w:pPr>
            <w:r>
              <w:rPr>
                <w:spacing w:val="-2"/>
              </w:rPr>
              <w:t>Connect America Fund</w:t>
            </w:r>
          </w:p>
          <w:p w:rsidR="00D43369" w:rsidP="00F85BF2">
            <w:pPr>
              <w:tabs>
                <w:tab w:val="center" w:pos="4680"/>
              </w:tabs>
              <w:suppressAutoHyphens/>
              <w:rPr>
                <w:spacing w:val="-2"/>
              </w:rPr>
            </w:pPr>
          </w:p>
          <w:p w:rsidR="00D43369" w:rsidP="00F85BF2">
            <w:pPr>
              <w:tabs>
                <w:tab w:val="center" w:pos="4680"/>
              </w:tabs>
              <w:suppressAutoHyphens/>
              <w:rPr>
                <w:spacing w:val="-2"/>
              </w:rPr>
            </w:pPr>
            <w:r>
              <w:rPr>
                <w:spacing w:val="-2"/>
              </w:rPr>
              <w:t>Petition of Sunset Digital Communications, Inc. Waiver of Section 54.315(b)(6)(iv) of the Commission’s Rules</w:t>
            </w:r>
          </w:p>
          <w:p w:rsidR="00D43369" w:rsidRPr="005E5CE3" w:rsidP="00F85BF2"/>
        </w:tc>
        <w:tc>
          <w:tcPr>
            <w:tcW w:w="630" w:type="dxa"/>
          </w:tcPr>
          <w:p w:rsidR="00D43369" w:rsidP="00F85BF2">
            <w:pPr>
              <w:tabs>
                <w:tab w:val="center" w:pos="4680"/>
              </w:tabs>
              <w:suppressAutoHyphens/>
              <w:rPr>
                <w:b/>
                <w:spacing w:val="-2"/>
              </w:rPr>
            </w:pPr>
            <w:r>
              <w:rPr>
                <w:b/>
                <w:spacing w:val="-2"/>
              </w:rPr>
              <w:t>)</w:t>
            </w:r>
          </w:p>
          <w:p w:rsidR="00D43369" w:rsidP="00F85BF2">
            <w:pPr>
              <w:tabs>
                <w:tab w:val="center" w:pos="4680"/>
              </w:tabs>
              <w:suppressAutoHyphens/>
              <w:rPr>
                <w:b/>
                <w:spacing w:val="-2"/>
              </w:rPr>
            </w:pPr>
            <w:r>
              <w:rPr>
                <w:b/>
                <w:spacing w:val="-2"/>
              </w:rPr>
              <w:t>)</w:t>
            </w:r>
          </w:p>
          <w:p w:rsidR="00D43369" w:rsidP="00F85BF2">
            <w:pPr>
              <w:tabs>
                <w:tab w:val="center" w:pos="4680"/>
              </w:tabs>
              <w:suppressAutoHyphens/>
              <w:rPr>
                <w:b/>
                <w:spacing w:val="-2"/>
              </w:rPr>
            </w:pPr>
            <w:r>
              <w:rPr>
                <w:b/>
                <w:spacing w:val="-2"/>
              </w:rPr>
              <w:t>)</w:t>
            </w:r>
          </w:p>
          <w:p w:rsidR="00D43369" w:rsidP="00F85BF2">
            <w:pPr>
              <w:tabs>
                <w:tab w:val="center" w:pos="4680"/>
              </w:tabs>
              <w:suppressAutoHyphens/>
              <w:rPr>
                <w:b/>
                <w:spacing w:val="-2"/>
              </w:rPr>
            </w:pPr>
            <w:r>
              <w:rPr>
                <w:b/>
                <w:spacing w:val="-2"/>
              </w:rPr>
              <w:t>)</w:t>
            </w:r>
          </w:p>
          <w:p w:rsidR="00D43369" w:rsidP="00F85BF2">
            <w:pPr>
              <w:tabs>
                <w:tab w:val="center" w:pos="4680"/>
              </w:tabs>
              <w:suppressAutoHyphens/>
              <w:rPr>
                <w:b/>
                <w:spacing w:val="-2"/>
              </w:rPr>
            </w:pPr>
            <w:r>
              <w:rPr>
                <w:b/>
                <w:spacing w:val="-2"/>
              </w:rPr>
              <w:t>)</w:t>
            </w:r>
          </w:p>
          <w:p w:rsidR="00D43369" w:rsidP="00F85BF2">
            <w:pPr>
              <w:tabs>
                <w:tab w:val="center" w:pos="4680"/>
              </w:tabs>
              <w:suppressAutoHyphens/>
              <w:rPr>
                <w:b/>
                <w:spacing w:val="-2"/>
              </w:rPr>
            </w:pPr>
            <w:r>
              <w:rPr>
                <w:b/>
                <w:spacing w:val="-2"/>
              </w:rPr>
              <w:t>)</w:t>
            </w:r>
          </w:p>
          <w:p w:rsidR="00D43369" w:rsidRPr="00043513" w:rsidP="00F85BF2">
            <w:pPr>
              <w:tabs>
                <w:tab w:val="center" w:pos="4680"/>
              </w:tabs>
              <w:suppressAutoHyphens/>
              <w:rPr>
                <w:b/>
                <w:spacing w:val="-2"/>
              </w:rPr>
            </w:pPr>
            <w:r>
              <w:rPr>
                <w:b/>
                <w:spacing w:val="-2"/>
              </w:rPr>
              <w:t>)</w:t>
            </w:r>
          </w:p>
        </w:tc>
        <w:tc>
          <w:tcPr>
            <w:tcW w:w="4248" w:type="dxa"/>
          </w:tcPr>
          <w:p w:rsidR="00D43369" w:rsidP="00F85BF2">
            <w:pPr>
              <w:tabs>
                <w:tab w:val="center" w:pos="4680"/>
              </w:tabs>
              <w:suppressAutoHyphens/>
              <w:rPr>
                <w:spacing w:val="-2"/>
              </w:rPr>
            </w:pPr>
          </w:p>
          <w:p w:rsidR="00D43369" w:rsidP="00F85BF2">
            <w:pPr>
              <w:pStyle w:val="TOAHeading"/>
              <w:tabs>
                <w:tab w:val="center" w:pos="4680"/>
                <w:tab w:val="clear" w:pos="9360"/>
              </w:tabs>
              <w:rPr>
                <w:spacing w:val="-2"/>
              </w:rPr>
            </w:pPr>
          </w:p>
          <w:p w:rsidR="00D43369" w:rsidP="00F85BF2">
            <w:pPr>
              <w:tabs>
                <w:tab w:val="center" w:pos="4680"/>
              </w:tabs>
              <w:suppressAutoHyphens/>
              <w:rPr>
                <w:spacing w:val="-2"/>
              </w:rPr>
            </w:pPr>
            <w:r>
              <w:rPr>
                <w:spacing w:val="-2"/>
              </w:rPr>
              <w:t>AU Docket No. 17-182</w:t>
            </w:r>
          </w:p>
          <w:p w:rsidR="00D43369" w:rsidP="00F85BF2">
            <w:pPr>
              <w:tabs>
                <w:tab w:val="center" w:pos="4680"/>
              </w:tabs>
              <w:suppressAutoHyphens/>
              <w:rPr>
                <w:spacing w:val="-2"/>
              </w:rPr>
            </w:pPr>
          </w:p>
          <w:p w:rsidR="00D43369" w:rsidP="00F85BF2">
            <w:pPr>
              <w:tabs>
                <w:tab w:val="center" w:pos="4680"/>
              </w:tabs>
              <w:suppressAutoHyphens/>
              <w:rPr>
                <w:spacing w:val="-2"/>
              </w:rPr>
            </w:pPr>
            <w:r>
              <w:rPr>
                <w:spacing w:val="-2"/>
              </w:rPr>
              <w:t>WC Docket No. 10-90</w:t>
            </w:r>
            <w:bookmarkStart w:id="0" w:name="_GoBack"/>
            <w:bookmarkEnd w:id="0"/>
          </w:p>
        </w:tc>
      </w:tr>
    </w:tbl>
    <w:p w:rsidR="00D43369" w:rsidP="00D43369">
      <w:pPr>
        <w:pStyle w:val="StyleBoldCentered"/>
      </w:pPr>
      <w:r>
        <w:t>ORDER</w:t>
      </w:r>
    </w:p>
    <w:p w:rsidR="00D43369" w:rsidP="00D43369">
      <w:pPr>
        <w:tabs>
          <w:tab w:val="left" w:pos="-720"/>
        </w:tabs>
        <w:suppressAutoHyphens/>
        <w:spacing w:line="227" w:lineRule="auto"/>
        <w:rPr>
          <w:spacing w:val="-2"/>
        </w:rPr>
      </w:pPr>
    </w:p>
    <w:p w:rsidR="00D43369" w:rsidP="00D43369">
      <w:pPr>
        <w:tabs>
          <w:tab w:val="left" w:pos="720"/>
          <w:tab w:val="right" w:pos="9360"/>
        </w:tabs>
        <w:suppressAutoHyphens/>
        <w:spacing w:line="227" w:lineRule="auto"/>
        <w:rPr>
          <w:spacing w:val="-2"/>
        </w:rPr>
      </w:pPr>
      <w:r>
        <w:rPr>
          <w:b/>
          <w:spacing w:val="-2"/>
        </w:rPr>
        <w:t>Adopted:  August 6, 2019</w:t>
      </w:r>
      <w:r>
        <w:rPr>
          <w:b/>
          <w:spacing w:val="-2"/>
        </w:rPr>
        <w:tab/>
        <w:t>Released:  August 6, 2019</w:t>
      </w:r>
    </w:p>
    <w:p w:rsidR="00D43369" w:rsidP="00D43369"/>
    <w:p w:rsidR="00D43369" w:rsidP="00D43369">
      <w:pPr>
        <w:rPr>
          <w:spacing w:val="-2"/>
        </w:rPr>
      </w:pPr>
      <w:r w:rsidRPr="00E84CB4">
        <w:t>By the</w:t>
      </w:r>
      <w:r>
        <w:t xml:space="preserve"> Chief, </w:t>
      </w:r>
      <w:r w:rsidRPr="009B0A51">
        <w:t>Wireline Competition Bureau</w:t>
      </w:r>
      <w:r>
        <w:t xml:space="preserve"> and the Acting Chief, Office of Economics and </w:t>
      </w:r>
      <w:bookmarkStart w:id="1" w:name="_Hlk15979223"/>
      <w:r>
        <w:t>Analytics</w:t>
      </w:r>
      <w:bookmarkEnd w:id="1"/>
      <w:r w:rsidRPr="00E84CB4">
        <w:rPr>
          <w:spacing w:val="-2"/>
        </w:rPr>
        <w:t>:</w:t>
      </w:r>
    </w:p>
    <w:p w:rsidR="00D43369" w:rsidP="00D43369">
      <w:pPr>
        <w:rPr>
          <w:spacing w:val="-2"/>
        </w:rPr>
      </w:pPr>
    </w:p>
    <w:p w:rsidR="00D43369" w:rsidP="00D43369">
      <w:pPr>
        <w:pStyle w:val="Heading1"/>
      </w:pPr>
      <w:r>
        <w:t>INTRODUCTION</w:t>
      </w:r>
    </w:p>
    <w:p w:rsidR="00D43369" w:rsidP="00D43369">
      <w:pPr>
        <w:pStyle w:val="ParaNum"/>
      </w:pPr>
      <w:r>
        <w:t xml:space="preserve">In this Order, </w:t>
      </w:r>
      <w:r w:rsidRPr="009B0A51">
        <w:t>the</w:t>
      </w:r>
      <w:r>
        <w:t xml:space="preserve"> </w:t>
      </w:r>
      <w:r w:rsidRPr="009B0A51">
        <w:t>W</w:t>
      </w:r>
      <w:bookmarkStart w:id="2" w:name="_Hlk15979017"/>
      <w:r w:rsidRPr="009B0A51">
        <w:t>ireline Competition Bureau</w:t>
      </w:r>
      <w:r>
        <w:t xml:space="preserve"> (WCB), in conjunction with the Rural Broadband Auctions Task Force and the Office of Economics and Analytics,</w:t>
      </w:r>
      <w:r>
        <w:rPr>
          <w:rStyle w:val="FootnoteReference"/>
        </w:rPr>
        <w:footnoteReference w:id="3"/>
      </w:r>
      <w:r>
        <w:t xml:space="preserve"> grants the petition of Sunset Digital Communications, Inc</w:t>
      </w:r>
      <w:bookmarkEnd w:id="2"/>
      <w:r>
        <w:t>. (</w:t>
      </w:r>
      <w:r>
        <w:t>SDC</w:t>
      </w:r>
      <w:r>
        <w:t>)</w:t>
      </w:r>
      <w:r>
        <w:rPr>
          <w:szCs w:val="22"/>
        </w:rPr>
        <w:t>, a winning bidder in the Connect America Fund (CAF) Phase II auction,</w:t>
      </w:r>
      <w:r>
        <w:t xml:space="preserve"> requesting </w:t>
      </w:r>
      <w:r>
        <w:rPr>
          <w:szCs w:val="22"/>
        </w:rPr>
        <w:t xml:space="preserve">waiver of section 54.315(b)(6)(iv) of the Commission’s </w:t>
      </w:r>
      <w:bookmarkStart w:id="3" w:name="_Hlk15979329"/>
      <w:r>
        <w:rPr>
          <w:szCs w:val="22"/>
        </w:rPr>
        <w:t xml:space="preserve">rules to allow </w:t>
      </w:r>
      <w:r>
        <w:rPr>
          <w:szCs w:val="22"/>
        </w:rPr>
        <w:t>SDC</w:t>
      </w:r>
      <w:r>
        <w:rPr>
          <w:szCs w:val="22"/>
        </w:rPr>
        <w:t xml:space="preserve"> to make a </w:t>
      </w:r>
      <w:bookmarkStart w:id="4" w:name="_Hlk15979145"/>
      <w:r>
        <w:rPr>
          <w:szCs w:val="22"/>
        </w:rPr>
        <w:t>major modification to its long-form application</w:t>
      </w:r>
      <w:bookmarkEnd w:id="3"/>
      <w:bookmarkEnd w:id="4"/>
      <w:r>
        <w:t>.</w:t>
      </w:r>
      <w:r>
        <w:rPr>
          <w:rStyle w:val="FootnoteReference"/>
        </w:rPr>
        <w:footnoteReference w:id="4"/>
      </w:r>
      <w:r>
        <w:t xml:space="preserve">  We find that the public interest will be served by the grant of the requested waiver, so that </w:t>
      </w:r>
      <w:r>
        <w:rPr>
          <w:szCs w:val="22"/>
        </w:rPr>
        <w:t xml:space="preserve">upon the consummation of a transaction approved by WCB in a section 214 domestic transfer of </w:t>
      </w:r>
      <w:r w:rsidRPr="00EC3865">
        <w:rPr>
          <w:szCs w:val="22"/>
        </w:rPr>
        <w:t>contr</w:t>
      </w:r>
      <w:r>
        <w:rPr>
          <w:szCs w:val="22"/>
        </w:rPr>
        <w:t xml:space="preserve">ol application, </w:t>
      </w:r>
      <w:r>
        <w:rPr>
          <w:szCs w:val="22"/>
        </w:rPr>
        <w:t>SDC</w:t>
      </w:r>
      <w:r>
        <w:rPr>
          <w:szCs w:val="22"/>
        </w:rPr>
        <w:t xml:space="preserve"> can modify</w:t>
      </w:r>
      <w:r>
        <w:t xml:space="preserve"> its long-form application </w:t>
      </w:r>
      <w:r>
        <w:rPr>
          <w:szCs w:val="22"/>
        </w:rPr>
        <w:t xml:space="preserve">for CAF Phase II support </w:t>
      </w:r>
      <w:r>
        <w:t>without the application being subject to denial on that basis</w:t>
      </w:r>
      <w:r>
        <w:rPr>
          <w:szCs w:val="22"/>
        </w:rPr>
        <w:t>.</w:t>
      </w:r>
      <w:r>
        <w:rPr>
          <w:rStyle w:val="FootnoteReference"/>
          <w:szCs w:val="22"/>
        </w:rPr>
        <w:footnoteReference w:id="5"/>
      </w:r>
    </w:p>
    <w:p w:rsidR="00D43369" w:rsidP="00D43369">
      <w:pPr>
        <w:pStyle w:val="Heading1"/>
      </w:pPr>
      <w:r>
        <w:t>BACKGROUND</w:t>
      </w:r>
    </w:p>
    <w:p w:rsidR="00D43369" w:rsidP="00D43369">
      <w:pPr>
        <w:pStyle w:val="ParaNum"/>
      </w:pPr>
      <w:r>
        <w:t xml:space="preserve">The CAF Phase II reverse auction (Auction 903) allocated $1.488 billion over </w:t>
      </w:r>
      <w:r w:rsidRPr="00C83AE4">
        <w:t>10 years to service providers that commit to offer voice and broadband services to fixed locations in unserved high-cost areas.</w:t>
      </w:r>
      <w:r>
        <w:rPr>
          <w:rStyle w:val="FootnoteReference"/>
          <w:szCs w:val="22"/>
        </w:rPr>
        <w:footnoteReference w:id="6"/>
      </w:r>
      <w:r w:rsidRPr="00C83AE4">
        <w:t xml:space="preserve">  On February 1, 2018, the Commission released a public notice </w:t>
      </w:r>
      <w:r>
        <w:t>that established</w:t>
      </w:r>
      <w:r w:rsidRPr="00C83AE4">
        <w:t xml:space="preserve"> </w:t>
      </w:r>
      <w:r>
        <w:t xml:space="preserve">application and bidding </w:t>
      </w:r>
      <w:r w:rsidRPr="00C83AE4">
        <w:t>procedures for Auction 903.</w:t>
      </w:r>
      <w:r>
        <w:rPr>
          <w:rStyle w:val="FootnoteReference"/>
          <w:szCs w:val="22"/>
        </w:rPr>
        <w:footnoteReference w:id="7"/>
      </w:r>
      <w:r w:rsidRPr="00C83AE4">
        <w:t xml:space="preserve">  </w:t>
      </w:r>
      <w:r>
        <w:t>Among other things, t</w:t>
      </w:r>
      <w:r w:rsidRPr="00C83AE4">
        <w:t xml:space="preserve">he </w:t>
      </w:r>
      <w:r w:rsidRPr="00A85D9A">
        <w:rPr>
          <w:i/>
        </w:rPr>
        <w:t>Auction 903 Procedures Public Notice</w:t>
      </w:r>
      <w:r w:rsidRPr="00C83AE4">
        <w:t xml:space="preserve"> </w:t>
      </w:r>
      <w:r>
        <w:t xml:space="preserve">required entities seeking to participate in Auction 903 to file a short-form application (FCC Form 183) by </w:t>
      </w:r>
      <w:r w:rsidRPr="00C83AE4">
        <w:t>March 30, 2018</w:t>
      </w:r>
      <w:r>
        <w:t>.</w:t>
      </w:r>
      <w:r>
        <w:rPr>
          <w:rStyle w:val="FootnoteReference"/>
          <w:szCs w:val="22"/>
        </w:rPr>
        <w:footnoteReference w:id="8"/>
      </w:r>
      <w:r>
        <w:t xml:space="preserve">  Each Auction 903 applicant was required to fully disclose in this application </w:t>
      </w:r>
      <w:r w:rsidRPr="00A85D9A">
        <w:rPr>
          <w:szCs w:val="22"/>
        </w:rPr>
        <w:t xml:space="preserve">information regarding </w:t>
      </w:r>
      <w:r>
        <w:rPr>
          <w:szCs w:val="22"/>
        </w:rPr>
        <w:t>its</w:t>
      </w:r>
      <w:r w:rsidRPr="00A85D9A">
        <w:rPr>
          <w:szCs w:val="22"/>
        </w:rPr>
        <w:t xml:space="preserve"> real party-</w:t>
      </w:r>
      <w:r>
        <w:rPr>
          <w:szCs w:val="22"/>
        </w:rPr>
        <w:t xml:space="preserve"> </w:t>
      </w:r>
      <w:r w:rsidRPr="00A85D9A">
        <w:rPr>
          <w:szCs w:val="22"/>
        </w:rPr>
        <w:t xml:space="preserve">or parties-in-interest and </w:t>
      </w:r>
      <w:r>
        <w:rPr>
          <w:szCs w:val="22"/>
        </w:rPr>
        <w:t>its</w:t>
      </w:r>
      <w:r w:rsidRPr="00A85D9A">
        <w:rPr>
          <w:szCs w:val="22"/>
        </w:rPr>
        <w:t xml:space="preserve"> </w:t>
      </w:r>
      <w:r w:rsidRPr="00385714">
        <w:t>ownership</w:t>
      </w:r>
      <w:r w:rsidRPr="00A85D9A">
        <w:rPr>
          <w:szCs w:val="22"/>
        </w:rPr>
        <w:t xml:space="preserve"> structure, including both direct and indirect ownership interests of 10 percent or more, as prescribed in section 1.2112(a) of the Commission’s rules.</w:t>
      </w:r>
      <w:r>
        <w:rPr>
          <w:rStyle w:val="FootnoteReference"/>
          <w:szCs w:val="22"/>
        </w:rPr>
        <w:footnoteReference w:id="9"/>
      </w:r>
      <w:r w:rsidRPr="00A85D9A">
        <w:rPr>
          <w:szCs w:val="22"/>
        </w:rPr>
        <w:t xml:space="preserve">  </w:t>
      </w:r>
    </w:p>
    <w:p w:rsidR="00D43369" w:rsidRPr="00907BD7" w:rsidP="00D43369">
      <w:pPr>
        <w:pStyle w:val="ParaNum"/>
        <w:rPr>
          <w:snapToGrid/>
          <w:kern w:val="0"/>
        </w:rPr>
      </w:pPr>
      <w:r>
        <w:t>O</w:t>
      </w:r>
      <w:r w:rsidRPr="006E21DF">
        <w:t xml:space="preserve">n March 30, 2018, </w:t>
      </w:r>
      <w:r>
        <w:t>SDC</w:t>
      </w:r>
      <w:r>
        <w:t xml:space="preserve"> </w:t>
      </w:r>
      <w:r w:rsidRPr="006E21DF">
        <w:t xml:space="preserve">filed </w:t>
      </w:r>
      <w:r>
        <w:t xml:space="preserve">an FCC Form 183 to participate </w:t>
      </w:r>
      <w:r w:rsidRPr="006E21DF">
        <w:t>in Auction</w:t>
      </w:r>
      <w:r>
        <w:t xml:space="preserve"> 903.</w:t>
      </w:r>
      <w:r>
        <w:rPr>
          <w:rStyle w:val="FootnoteReference"/>
        </w:rPr>
        <w:footnoteReference w:id="10"/>
      </w:r>
      <w:r w:rsidRPr="006E21DF">
        <w:t xml:space="preserve"> </w:t>
      </w:r>
      <w:r>
        <w:t xml:space="preserve"> This application disclosed that Paul and Ryan Elswick each held a 50% ownership interest in </w:t>
      </w:r>
      <w:r>
        <w:t>SDC</w:t>
      </w:r>
      <w:r>
        <w:t>.</w:t>
      </w:r>
      <w:r>
        <w:rPr>
          <w:rStyle w:val="FootnoteReference"/>
        </w:rPr>
        <w:footnoteReference w:id="11"/>
      </w:r>
      <w:r>
        <w:t xml:space="preserve">  It also reported that </w:t>
      </w:r>
      <w:r>
        <w:t>SDC</w:t>
      </w:r>
      <w:r>
        <w:t xml:space="preserve"> had two agreements: one, labeled as “</w:t>
      </w:r>
      <w:r w:rsidRPr="003402C9">
        <w:t>Agreement 1,</w:t>
      </w:r>
      <w:r>
        <w:t xml:space="preserve"> </w:t>
      </w:r>
      <w:r w:rsidRPr="003402C9">
        <w:t>Operational</w:t>
      </w:r>
      <w:r>
        <w:t>,” to which Point Broadband, LLC (Point Broadband) and ITC Capital Partners LLC (ITC) were listed as parties; and a second, labeled as “</w:t>
      </w:r>
      <w:r w:rsidRPr="003402C9">
        <w:t xml:space="preserve">Agreement </w:t>
      </w:r>
      <w:r>
        <w:t>2, Spectrum Lease,” to which Point Broadband was listed as a party.</w:t>
      </w:r>
      <w:r>
        <w:rPr>
          <w:rStyle w:val="FootnoteReference"/>
        </w:rPr>
        <w:footnoteReference w:id="12"/>
      </w:r>
      <w:r>
        <w:t xml:space="preserve">  The description of the spectrum lease agreement discloses that “Point Broadband has an agreement in place to acquire Sunset Digital Communications, Inc. as of the March 30, 2018 short-form deadline.”</w:t>
      </w:r>
      <w:r>
        <w:rPr>
          <w:rStyle w:val="FootnoteReference"/>
        </w:rPr>
        <w:footnoteReference w:id="13"/>
      </w:r>
      <w:r>
        <w:t xml:space="preserve">  </w:t>
      </w:r>
    </w:p>
    <w:p w:rsidR="00D43369" w:rsidRPr="001026F5" w:rsidP="00D43369">
      <w:pPr>
        <w:pStyle w:val="ParaNum"/>
        <w:rPr>
          <w:snapToGrid/>
          <w:kern w:val="0"/>
        </w:rPr>
      </w:pPr>
      <w:r>
        <w:t>On March 30, 2018, the same day that it filed its Auction 903 application</w:t>
      </w:r>
      <w:r w:rsidRPr="006E21DF">
        <w:t xml:space="preserve">, </w:t>
      </w:r>
      <w:r>
        <w:t>SDC</w:t>
      </w:r>
      <w:r w:rsidRPr="006E21DF">
        <w:t xml:space="preserve"> </w:t>
      </w:r>
      <w:r>
        <w:t xml:space="preserve">also </w:t>
      </w:r>
      <w:r w:rsidRPr="006E21DF">
        <w:t>filed</w:t>
      </w:r>
      <w:r>
        <w:t xml:space="preserve"> </w:t>
      </w:r>
      <w:r w:rsidRPr="001026F5">
        <w:rPr>
          <w:szCs w:val="22"/>
        </w:rPr>
        <w:t xml:space="preserve">an application pursuant to </w:t>
      </w:r>
      <w:r>
        <w:rPr>
          <w:szCs w:val="22"/>
        </w:rPr>
        <w:t>s</w:t>
      </w:r>
      <w:r w:rsidRPr="001026F5">
        <w:rPr>
          <w:szCs w:val="22"/>
        </w:rPr>
        <w:t xml:space="preserve">ection 214 </w:t>
      </w:r>
      <w:r w:rsidRPr="006E21DF">
        <w:t>of the Communications Act of 1934, as amended, and sections 63.03-04 of the Commission’s rules,</w:t>
      </w:r>
      <w:r>
        <w:rPr>
          <w:rStyle w:val="FootnoteReference"/>
        </w:rPr>
        <w:footnoteReference w:id="14"/>
      </w:r>
      <w:r w:rsidRPr="006E21DF">
        <w:t xml:space="preserve"> requesting approval </w:t>
      </w:r>
      <w:r>
        <w:t>of</w:t>
      </w:r>
      <w:r w:rsidRPr="006E21DF">
        <w:t xml:space="preserve"> </w:t>
      </w:r>
      <w:r>
        <w:t xml:space="preserve">a stock acquisition transaction that would </w:t>
      </w:r>
      <w:r w:rsidRPr="006E21DF">
        <w:t xml:space="preserve">transfer control </w:t>
      </w:r>
      <w:r>
        <w:t>of</w:t>
      </w:r>
      <w:r w:rsidRPr="006E21DF">
        <w:t xml:space="preserve"> </w:t>
      </w:r>
      <w:r>
        <w:t>SDC</w:t>
      </w:r>
      <w:r w:rsidRPr="006E21DF">
        <w:t xml:space="preserve"> and its wholly owned subsidiary, Sunset Fiber, LLC</w:t>
      </w:r>
      <w:r>
        <w:t>,</w:t>
      </w:r>
      <w:r w:rsidRPr="006E21DF">
        <w:t xml:space="preserve"> to Sunset Digital Holding, LLC (Sunset Digital Holding).</w:t>
      </w:r>
      <w:r>
        <w:rPr>
          <w:rStyle w:val="FootnoteReference"/>
        </w:rPr>
        <w:footnoteReference w:id="15"/>
      </w:r>
      <w:r w:rsidRPr="006E21DF">
        <w:t xml:space="preserve">  </w:t>
      </w:r>
      <w:r>
        <w:t xml:space="preserve">The </w:t>
      </w:r>
      <w:r>
        <w:t>SDC</w:t>
      </w:r>
      <w:r>
        <w:t xml:space="preserve"> Section 214 Application included information about </w:t>
      </w:r>
      <w:r>
        <w:t>SDC</w:t>
      </w:r>
      <w:r>
        <w:t xml:space="preserve">, ITC, and Point Broadband, and explained that Sunset Digital Holding was a newly organized holding company wholly owned by Point Broadband and would become the direct parent of </w:t>
      </w:r>
      <w:r>
        <w:t>SDC</w:t>
      </w:r>
      <w:r>
        <w:t>.</w:t>
      </w:r>
      <w:r>
        <w:rPr>
          <w:rStyle w:val="FootnoteReference"/>
        </w:rPr>
        <w:footnoteReference w:id="16"/>
      </w:r>
      <w:r>
        <w:t xml:space="preserve">  </w:t>
      </w:r>
      <w:r>
        <w:t>SDC’s</w:t>
      </w:r>
      <w:r>
        <w:t xml:space="preserve"> </w:t>
      </w:r>
      <w:r w:rsidRPr="001026F5">
        <w:rPr>
          <w:szCs w:val="22"/>
        </w:rPr>
        <w:t xml:space="preserve">Section 214 Application further </w:t>
      </w:r>
      <w:r>
        <w:t>explained</w:t>
      </w:r>
      <w:r w:rsidRPr="006E21DF">
        <w:t xml:space="preserve"> that following the consummation of the proposed transaction, Point Broadband</w:t>
      </w:r>
      <w:r>
        <w:t xml:space="preserve"> </w:t>
      </w:r>
      <w:r w:rsidRPr="006E21DF">
        <w:t xml:space="preserve">would hold a 59.5% interest in Sunset Digital Holding, Paul Elswick and Ryan Elswick </w:t>
      </w:r>
      <w:r w:rsidRPr="006E21DF">
        <w:t>would each hold a 16.5%</w:t>
      </w:r>
      <w:r>
        <w:t xml:space="preserve"> interest, and ITC would hold a 7% interest.</w:t>
      </w:r>
      <w:r>
        <w:rPr>
          <w:rStyle w:val="FootnoteReference"/>
        </w:rPr>
        <w:footnoteReference w:id="17"/>
      </w:r>
      <w:r w:rsidRPr="001026F5">
        <w:rPr>
          <w:szCs w:val="22"/>
        </w:rPr>
        <w:t xml:space="preserve"> </w:t>
      </w:r>
      <w:r w:rsidRPr="001026F5">
        <w:rPr>
          <w:szCs w:val="22"/>
        </w:rPr>
        <w:t xml:space="preserve"> </w:t>
      </w:r>
      <w:r>
        <w:t>SDC</w:t>
      </w:r>
      <w:r w:rsidRPr="006E21DF">
        <w:t xml:space="preserve"> further stated that ITC </w:t>
      </w:r>
      <w:r>
        <w:t>would continue to hold</w:t>
      </w:r>
      <w:r w:rsidRPr="006E21DF">
        <w:t xml:space="preserve"> a 36.06% interest in Point</w:t>
      </w:r>
      <w:r>
        <w:t xml:space="preserve"> </w:t>
      </w:r>
      <w:r w:rsidRPr="006E21DF">
        <w:t>Broadband.</w:t>
      </w:r>
      <w:r>
        <w:rPr>
          <w:rStyle w:val="FootnoteReference"/>
        </w:rPr>
        <w:footnoteReference w:id="18"/>
      </w:r>
      <w:bookmarkStart w:id="6" w:name="_Hlk13748036"/>
      <w:r>
        <w:t xml:space="preserve"> </w:t>
      </w:r>
      <w:r w:rsidRPr="006E21DF">
        <w:t xml:space="preserve"> </w:t>
      </w:r>
      <w:bookmarkEnd w:id="6"/>
      <w:r>
        <w:t xml:space="preserve">On April 25, 2018, WCB issued a public notice seeking comment on </w:t>
      </w:r>
      <w:r>
        <w:t>SDC’s</w:t>
      </w:r>
      <w:r>
        <w:t xml:space="preserve"> Section 214 Application.</w:t>
      </w:r>
      <w:r>
        <w:rPr>
          <w:rStyle w:val="FootnoteReference"/>
        </w:rPr>
        <w:footnoteReference w:id="19"/>
      </w:r>
      <w:r>
        <w:t xml:space="preserve">  O</w:t>
      </w:r>
      <w:r w:rsidRPr="006E21DF">
        <w:t>n May 29, 2018</w:t>
      </w:r>
      <w:r>
        <w:t xml:space="preserve">, WCB approved </w:t>
      </w:r>
      <w:r>
        <w:t>SDC’s</w:t>
      </w:r>
      <w:r>
        <w:t xml:space="preserve"> Section 214 Application</w:t>
      </w:r>
      <w:r w:rsidRPr="006E21DF">
        <w:t>.</w:t>
      </w:r>
      <w:r>
        <w:rPr>
          <w:rStyle w:val="FootnoteReference"/>
        </w:rPr>
        <w:footnoteReference w:id="20"/>
      </w:r>
      <w:r>
        <w:t xml:space="preserve">  However, </w:t>
      </w:r>
      <w:r>
        <w:t>SDC</w:t>
      </w:r>
      <w:r>
        <w:t xml:space="preserve"> did not consummate the transaction at that time.</w:t>
      </w:r>
    </w:p>
    <w:p w:rsidR="00D43369" w:rsidRPr="0049491E" w:rsidP="00D43369">
      <w:pPr>
        <w:pStyle w:val="ParaNum"/>
        <w:rPr>
          <w:snapToGrid/>
          <w:kern w:val="0"/>
        </w:rPr>
      </w:pPr>
      <w:r>
        <w:t xml:space="preserve">Shortly after the </w:t>
      </w:r>
      <w:r>
        <w:t>SDC</w:t>
      </w:r>
      <w:r>
        <w:t xml:space="preserve"> Section 214 Application was approved, </w:t>
      </w:r>
      <w:r>
        <w:t>SDC</w:t>
      </w:r>
      <w:r>
        <w:t xml:space="preserve"> amended its FCC Form 183 to include a statement that “[t]he Purchase Agreement dated March 30, 2018 that was disclosed in the initial short-form application is being </w:t>
      </w:r>
      <w:r w:rsidRPr="00076B3A">
        <w:t>replaced</w:t>
      </w:r>
      <w:r>
        <w:t xml:space="preserve"> by an Asset Purchase Agreement by which Point Broadband plans to acquire control of the assets of [</w:t>
      </w:r>
      <w:r>
        <w:t>SDC</w:t>
      </w:r>
      <w:r>
        <w:t>] after the auction is concluded.”</w:t>
      </w:r>
      <w:r>
        <w:rPr>
          <w:rStyle w:val="FootnoteReference"/>
        </w:rPr>
        <w:footnoteReference w:id="21"/>
      </w:r>
      <w:r>
        <w:t xml:space="preserve">  </w:t>
      </w:r>
      <w:r>
        <w:t>SDC</w:t>
      </w:r>
      <w:r>
        <w:t xml:space="preserve"> also stated that Paul and Ryan Elswick would each remain 50% co-owners of </w:t>
      </w:r>
      <w:r>
        <w:t>SDC</w:t>
      </w:r>
      <w:r>
        <w:t xml:space="preserve"> at all times during the auction.</w:t>
      </w:r>
      <w:r>
        <w:rPr>
          <w:rStyle w:val="FootnoteReference"/>
        </w:rPr>
        <w:footnoteReference w:id="22"/>
      </w:r>
      <w:r>
        <w:t xml:space="preserve">  </w:t>
      </w:r>
      <w:r>
        <w:rPr>
          <w:szCs w:val="22"/>
        </w:rPr>
        <w:t xml:space="preserve"> </w:t>
      </w:r>
    </w:p>
    <w:p w:rsidR="00D43369" w:rsidRPr="00530CE3" w:rsidP="00D43369">
      <w:pPr>
        <w:pStyle w:val="ParaNum"/>
      </w:pPr>
      <w:r>
        <w:t>Bidding in Auction 903 began on July 24, 2018 and concluded on August 21, 2018.</w:t>
      </w:r>
      <w:r>
        <w:rPr>
          <w:rStyle w:val="FootnoteReference"/>
        </w:rPr>
        <w:footnoteReference w:id="23"/>
      </w:r>
      <w:r>
        <w:t xml:space="preserve"> </w:t>
      </w:r>
      <w:r w:rsidRPr="002452B7">
        <w:t xml:space="preserve"> </w:t>
      </w:r>
      <w:r>
        <w:t>SDC</w:t>
      </w:r>
      <w:r>
        <w:t xml:space="preserve"> was one of the </w:t>
      </w:r>
      <w:r w:rsidRPr="0049491E">
        <w:rPr>
          <w:snapToGrid/>
        </w:rPr>
        <w:t xml:space="preserve">103 </w:t>
      </w:r>
      <w:r w:rsidRPr="0049491E">
        <w:rPr>
          <w:snapToGrid/>
          <w:shd w:val="clear" w:color="auto" w:fill="FFFFFF"/>
        </w:rPr>
        <w:t>winning</w:t>
      </w:r>
      <w:r w:rsidRPr="0049491E">
        <w:rPr>
          <w:snapToGrid/>
        </w:rPr>
        <w:t xml:space="preserve"> </w:t>
      </w:r>
      <w:r w:rsidRPr="0049491E">
        <w:rPr>
          <w:snapToGrid/>
          <w:shd w:val="clear" w:color="auto" w:fill="FFFFFF"/>
        </w:rPr>
        <w:t>bidders</w:t>
      </w:r>
      <w:r>
        <w:rPr>
          <w:snapToGrid/>
          <w:shd w:val="clear" w:color="auto" w:fill="FFFFFF"/>
        </w:rPr>
        <w:t xml:space="preserve"> </w:t>
      </w:r>
      <w:r w:rsidRPr="0049491E">
        <w:rPr>
          <w:snapToGrid/>
        </w:rPr>
        <w:t xml:space="preserve">in the </w:t>
      </w:r>
      <w:r w:rsidRPr="0049491E">
        <w:rPr>
          <w:snapToGrid/>
          <w:shd w:val="clear" w:color="auto" w:fill="FFFFFF"/>
        </w:rPr>
        <w:t>auction</w:t>
      </w:r>
      <w:r w:rsidRPr="0049491E">
        <w:rPr>
          <w:snapToGrid/>
        </w:rPr>
        <w:t xml:space="preserve">.  </w:t>
      </w:r>
      <w:r>
        <w:rPr>
          <w:snapToGrid/>
        </w:rPr>
        <w:t xml:space="preserve">It </w:t>
      </w:r>
      <w:r w:rsidRPr="0049491E">
        <w:rPr>
          <w:snapToGrid/>
        </w:rPr>
        <w:t>won $5,595,554.80 in CAF</w:t>
      </w:r>
      <w:r>
        <w:rPr>
          <w:snapToGrid/>
        </w:rPr>
        <w:t xml:space="preserve"> Phase </w:t>
      </w:r>
      <w:r w:rsidRPr="0049491E">
        <w:rPr>
          <w:snapToGrid/>
        </w:rPr>
        <w:t xml:space="preserve">II support </w:t>
      </w:r>
      <w:r>
        <w:rPr>
          <w:snapToGrid/>
        </w:rPr>
        <w:t xml:space="preserve">for </w:t>
      </w:r>
      <w:r w:rsidRPr="0049491E">
        <w:rPr>
          <w:snapToGrid/>
        </w:rPr>
        <w:t xml:space="preserve">2,095 locations in Tennessee, and $23,979,452.60 in support </w:t>
      </w:r>
      <w:r>
        <w:rPr>
          <w:snapToGrid/>
        </w:rPr>
        <w:t xml:space="preserve">for </w:t>
      </w:r>
      <w:r w:rsidRPr="0049491E">
        <w:rPr>
          <w:snapToGrid/>
        </w:rPr>
        <w:t>6,998 locations in Virginia.</w:t>
      </w:r>
      <w:r>
        <w:rPr>
          <w:rStyle w:val="FootnoteReference"/>
          <w:snapToGrid/>
        </w:rPr>
        <w:footnoteReference w:id="24"/>
      </w:r>
    </w:p>
    <w:p w:rsidR="00D43369" w:rsidP="00D43369">
      <w:pPr>
        <w:pStyle w:val="ParaNum"/>
        <w:widowControl/>
      </w:pPr>
      <w:r>
        <w:t xml:space="preserve">On October 15, 2018, </w:t>
      </w:r>
      <w:r w:rsidRPr="00864112">
        <w:rPr>
          <w:snapToGrid/>
        </w:rPr>
        <w:t>SDC</w:t>
      </w:r>
      <w:r w:rsidRPr="00864112">
        <w:rPr>
          <w:snapToGrid/>
        </w:rPr>
        <w:t xml:space="preserve"> </w:t>
      </w:r>
      <w:r>
        <w:t>filed an FCC Form 683 long-form application for CAF-II auction support.</w:t>
      </w:r>
      <w:r>
        <w:rPr>
          <w:rStyle w:val="FootnoteReference"/>
        </w:rPr>
        <w:footnoteReference w:id="25"/>
      </w:r>
      <w:r>
        <w:t xml:space="preserve">  </w:t>
      </w:r>
      <w:r w:rsidRPr="006E21DF">
        <w:t>On November 2</w:t>
      </w:r>
      <w:r>
        <w:t>6</w:t>
      </w:r>
      <w:r w:rsidRPr="006E21DF">
        <w:t xml:space="preserve">, 2018, </w:t>
      </w:r>
      <w:r w:rsidRPr="00864112">
        <w:rPr>
          <w:snapToGrid/>
        </w:rPr>
        <w:t>SDC</w:t>
      </w:r>
      <w:r w:rsidRPr="00864112">
        <w:rPr>
          <w:snapToGrid/>
        </w:rPr>
        <w:t xml:space="preserve"> </w:t>
      </w:r>
      <w:r w:rsidRPr="006E21DF">
        <w:t xml:space="preserve">filed </w:t>
      </w:r>
      <w:r>
        <w:t xml:space="preserve">its </w:t>
      </w:r>
      <w:r w:rsidRPr="006E21DF">
        <w:t xml:space="preserve">Petition for Waiver </w:t>
      </w:r>
      <w:r>
        <w:t>seeking permission to make a major modification to its pending FCC Form 683.</w:t>
      </w:r>
      <w:r>
        <w:rPr>
          <w:rStyle w:val="FootnoteReference"/>
        </w:rPr>
        <w:footnoteReference w:id="26"/>
      </w:r>
      <w:r>
        <w:t xml:space="preserve">  Specifically, </w:t>
      </w:r>
      <w:r>
        <w:t>SDC</w:t>
      </w:r>
      <w:r>
        <w:t xml:space="preserve"> seeks relief from section </w:t>
      </w:r>
      <w:r w:rsidRPr="00864112">
        <w:rPr>
          <w:szCs w:val="22"/>
        </w:rPr>
        <w:t>54.315(b)(6)(iv) of</w:t>
      </w:r>
      <w:r>
        <w:t xml:space="preserve"> the Commission’s rules, which prohibits an Auction 903 applicant from making a </w:t>
      </w:r>
      <w:r>
        <w:t xml:space="preserve">major modification to a long-form application, so that upon consummation of the asset purchase agreement with </w:t>
      </w:r>
      <w:r>
        <w:rPr>
          <w:szCs w:val="22"/>
        </w:rPr>
        <w:t>Sunset Digital Communications, LLC (</w:t>
      </w:r>
      <w:r>
        <w:rPr>
          <w:szCs w:val="22"/>
        </w:rPr>
        <w:t>SDC</w:t>
      </w:r>
      <w:r>
        <w:rPr>
          <w:szCs w:val="22"/>
        </w:rPr>
        <w:t>, LLC)</w:t>
      </w:r>
      <w:r>
        <w:t xml:space="preserve">, </w:t>
      </w:r>
      <w:r>
        <w:t>SDC</w:t>
      </w:r>
      <w:r>
        <w:t xml:space="preserve"> can amend its FCC Form 683 to reflect </w:t>
      </w:r>
      <w:r>
        <w:t>SDC</w:t>
      </w:r>
      <w:r>
        <w:t>, LLC’s acquisition of</w:t>
      </w:r>
      <w:r w:rsidRPr="006E21DF">
        <w:t xml:space="preserve"> </w:t>
      </w:r>
      <w:r>
        <w:t>SDC’s</w:t>
      </w:r>
      <w:r w:rsidRPr="006E21DF">
        <w:t xml:space="preserve"> </w:t>
      </w:r>
      <w:r>
        <w:t xml:space="preserve">assets, including its </w:t>
      </w:r>
      <w:r w:rsidRPr="006E21DF">
        <w:t xml:space="preserve">rights and obligations as a </w:t>
      </w:r>
      <w:r>
        <w:t xml:space="preserve">winning bidder in the </w:t>
      </w:r>
      <w:r w:rsidRPr="006E21DF">
        <w:t>CAF</w:t>
      </w:r>
      <w:r>
        <w:t>-II</w:t>
      </w:r>
      <w:r w:rsidRPr="006E21DF">
        <w:t xml:space="preserve"> </w:t>
      </w:r>
      <w:r>
        <w:t>a</w:t>
      </w:r>
      <w:r w:rsidRPr="006E21DF">
        <w:t>uction.</w:t>
      </w:r>
      <w:r>
        <w:rPr>
          <w:rStyle w:val="FootnoteReference"/>
        </w:rPr>
        <w:footnoteReference w:id="27"/>
      </w:r>
      <w:r w:rsidRPr="006E21DF">
        <w:t xml:space="preserve">  </w:t>
      </w:r>
      <w:r>
        <w:rPr>
          <w:szCs w:val="22"/>
        </w:rPr>
        <w:t xml:space="preserve">As explained in </w:t>
      </w:r>
      <w:r>
        <w:rPr>
          <w:szCs w:val="22"/>
        </w:rPr>
        <w:t>SDC’s</w:t>
      </w:r>
      <w:r>
        <w:rPr>
          <w:szCs w:val="22"/>
        </w:rPr>
        <w:t xml:space="preserve"> Petition for Waiver, the transaction described in </w:t>
      </w:r>
      <w:r>
        <w:rPr>
          <w:szCs w:val="22"/>
        </w:rPr>
        <w:t>SDC’s</w:t>
      </w:r>
      <w:r>
        <w:rPr>
          <w:szCs w:val="22"/>
        </w:rPr>
        <w:t xml:space="preserve"> Section 214 Application varies from the transaction that the parties now seek to consummate in that </w:t>
      </w:r>
      <w:r>
        <w:rPr>
          <w:szCs w:val="22"/>
        </w:rPr>
        <w:t>SDC</w:t>
      </w:r>
      <w:r>
        <w:rPr>
          <w:szCs w:val="22"/>
        </w:rPr>
        <w:t xml:space="preserve">, LLC, which is a wholly owned subsidiary of Sunset Digital Holding, will be the party to acquire the assets of </w:t>
      </w:r>
      <w:r>
        <w:rPr>
          <w:szCs w:val="22"/>
        </w:rPr>
        <w:t>SDC</w:t>
      </w:r>
      <w:r>
        <w:rPr>
          <w:szCs w:val="22"/>
        </w:rPr>
        <w:t xml:space="preserve"> instead of Sunset Digital Holding acquiring the stock of </w:t>
      </w:r>
      <w:r>
        <w:rPr>
          <w:szCs w:val="22"/>
        </w:rPr>
        <w:t>SDC</w:t>
      </w:r>
      <w:r>
        <w:rPr>
          <w:szCs w:val="22"/>
        </w:rPr>
        <w:t>.</w:t>
      </w:r>
      <w:r>
        <w:rPr>
          <w:rStyle w:val="FootnoteReference"/>
          <w:szCs w:val="22"/>
        </w:rPr>
        <w:footnoteReference w:id="28"/>
      </w:r>
    </w:p>
    <w:p w:rsidR="00D43369" w:rsidRPr="006E21DF" w:rsidP="00D43369">
      <w:pPr>
        <w:pStyle w:val="ParaNum"/>
      </w:pPr>
      <w:r>
        <w:t xml:space="preserve">In support of its request for waiver, </w:t>
      </w:r>
      <w:r>
        <w:t>SDC</w:t>
      </w:r>
      <w:r>
        <w:t xml:space="preserve"> argues that because the Commission and the public were made aware of the material details of the transaction for acquiring </w:t>
      </w:r>
      <w:r>
        <w:t>SDC’s</w:t>
      </w:r>
      <w:r>
        <w:t xml:space="preserve"> assets “prior to the Auction 903 deadline, and prior to the commencement of the auction,” </w:t>
      </w:r>
      <w:r>
        <w:t>SDC</w:t>
      </w:r>
      <w:r>
        <w:t xml:space="preserve"> should be afforded similar treatment as the petitioners in the </w:t>
      </w:r>
      <w:r w:rsidRPr="003515FB">
        <w:rPr>
          <w:i/>
        </w:rPr>
        <w:t>Hawaiian Telecom</w:t>
      </w:r>
      <w:r>
        <w:t xml:space="preserve"> matter.  In that case, the petitioners were permitted to participate in Auction 903 after the grant of a waiver allowing them to make a major modification of their respective auction short-form applications.</w:t>
      </w:r>
      <w:r>
        <w:rPr>
          <w:rStyle w:val="FootnoteReference"/>
        </w:rPr>
        <w:footnoteReference w:id="29"/>
      </w:r>
      <w:r>
        <w:t xml:space="preserve">  </w:t>
      </w:r>
      <w:r>
        <w:t>SDC</w:t>
      </w:r>
      <w:r>
        <w:t xml:space="preserve"> </w:t>
      </w:r>
      <w:r>
        <w:t>also argues that grant of the requested waiver would be in the public interest because it would permit the influx of significant new capital, as well as access to the technical and operational experience of Point Broadband and ITC, which would help the post-consummation entity secure the required letters of credit and accelerate the deployment of fixed broadband networks to serve rural locations in Tennessee and Virginia.</w:t>
      </w:r>
      <w:r>
        <w:rPr>
          <w:rStyle w:val="FootnoteReference"/>
        </w:rPr>
        <w:footnoteReference w:id="30"/>
      </w:r>
      <w:r>
        <w:t xml:space="preserve">  </w:t>
      </w:r>
    </w:p>
    <w:p w:rsidR="00D43369" w:rsidP="00D43369">
      <w:pPr>
        <w:pStyle w:val="Heading1"/>
      </w:pPr>
      <w:r>
        <w:t>DISCUSSION</w:t>
      </w:r>
    </w:p>
    <w:p w:rsidR="00D43369" w:rsidRPr="005103CA" w:rsidP="00D43369">
      <w:pPr>
        <w:pStyle w:val="ParaNum"/>
        <w:rPr>
          <w:szCs w:val="22"/>
        </w:rPr>
      </w:pPr>
      <w:r w:rsidRPr="005103CA">
        <w:rPr>
          <w:szCs w:val="22"/>
        </w:rPr>
        <w:t>The Commission may waive its rules and requirements</w:t>
      </w:r>
      <w:r>
        <w:rPr>
          <w:szCs w:val="22"/>
        </w:rPr>
        <w:t xml:space="preserve"> </w:t>
      </w:r>
      <w:r w:rsidRPr="005103CA">
        <w:rPr>
          <w:szCs w:val="22"/>
        </w:rPr>
        <w:t xml:space="preserve">where there is </w:t>
      </w:r>
      <w:r w:rsidRPr="00E239C8">
        <w:rPr>
          <w:szCs w:val="22"/>
        </w:rPr>
        <w:t>“good cause shown” to do so.</w:t>
      </w:r>
      <w:r>
        <w:rPr>
          <w:rStyle w:val="FootnoteReference"/>
        </w:rPr>
        <w:footnoteReference w:id="31"/>
      </w:r>
      <w:r>
        <w:t xml:space="preserve">  Good cause, in turn, may be found “where particular facts would make strict compliance inconsistent with the public interest.”</w:t>
      </w:r>
      <w:r>
        <w:rPr>
          <w:rStyle w:val="FootnoteReference"/>
        </w:rPr>
        <w:footnoteReference w:id="32"/>
      </w:r>
      <w:r>
        <w:t xml:space="preserve">  In making this determination,</w:t>
      </w:r>
      <w:r w:rsidRPr="00E52EA9">
        <w:t xml:space="preserve"> </w:t>
      </w:r>
      <w:r>
        <w:t>the Commission may “take into account considerations of hardship, equity, or more effective implementation of overall policy.”</w:t>
      </w:r>
      <w:r>
        <w:rPr>
          <w:rStyle w:val="FootnoteReference"/>
        </w:rPr>
        <w:footnoteReference w:id="33"/>
      </w:r>
      <w:r>
        <w:t xml:space="preserve">  A waiver is therefore “appropriate only if special circumstances warrant a deviation from the general rule and such deviation will serve the public interest.”</w:t>
      </w:r>
      <w:r>
        <w:rPr>
          <w:rStyle w:val="FootnoteReference"/>
        </w:rPr>
        <w:footnoteReference w:id="34"/>
      </w:r>
      <w:r>
        <w:t xml:space="preserve">  </w:t>
      </w:r>
      <w:r w:rsidRPr="00E74049">
        <w:t xml:space="preserve">To make </w:t>
      </w:r>
      <w:r>
        <w:t>such a</w:t>
      </w:r>
      <w:r w:rsidRPr="00E74049">
        <w:t xml:space="preserve"> public interest determination, the waiver cannot undermine the purposes of the rule, and there must be a stronger public interest benefit in granting the waiver than in applying the rule.</w:t>
      </w:r>
      <w:r>
        <w:rPr>
          <w:rStyle w:val="FootnoteReference"/>
        </w:rPr>
        <w:footnoteReference w:id="35"/>
      </w:r>
      <w:r>
        <w:t xml:space="preserve"> </w:t>
      </w:r>
    </w:p>
    <w:p w:rsidR="00D43369" w:rsidP="00D43369">
      <w:pPr>
        <w:pStyle w:val="ParaNum"/>
        <w:rPr>
          <w:szCs w:val="22"/>
        </w:rPr>
      </w:pPr>
      <w:bookmarkStart w:id="9" w:name="_Hlk510084878"/>
      <w:r>
        <w:t>W</w:t>
      </w:r>
      <w:r w:rsidRPr="004646E1">
        <w:t xml:space="preserve">e conclude that </w:t>
      </w:r>
      <w:r>
        <w:t xml:space="preserve">there is </w:t>
      </w:r>
      <w:r w:rsidRPr="004646E1">
        <w:t xml:space="preserve">good cause for granting the requested waiver.  </w:t>
      </w:r>
      <w:r>
        <w:t xml:space="preserve">We find that special circumstances warrant deviating from the application of the rule prohibiting a major modification of a pending Auction 903 long-form application.  </w:t>
      </w:r>
      <w:r>
        <w:t>SDC</w:t>
      </w:r>
      <w:r>
        <w:t xml:space="preserve"> observes that Commission staff had concluded that granting relief to petitioners in </w:t>
      </w:r>
      <w:r>
        <w:rPr>
          <w:i/>
        </w:rPr>
        <w:t xml:space="preserve">Hawaiian Telecom </w:t>
      </w:r>
      <w:r>
        <w:t>would not undermine the underlying purpose of the rule prohibiting a major modification of a short-form application in Auction 903 because the parties had “</w:t>
      </w:r>
      <w:r w:rsidRPr="00EF7FCC">
        <w:rPr>
          <w:szCs w:val="22"/>
        </w:rPr>
        <w:t>disclosed their future real parties-in-interest prior to the short-form deadline</w:t>
      </w:r>
      <w:r w:rsidRPr="00C44900">
        <w:rPr>
          <w:szCs w:val="22"/>
        </w:rPr>
        <w:t xml:space="preserve"> in their Section 214 filings</w:t>
      </w:r>
      <w:r>
        <w:rPr>
          <w:szCs w:val="22"/>
        </w:rPr>
        <w:t xml:space="preserve">, </w:t>
      </w:r>
      <w:r w:rsidRPr="00EF7FCC">
        <w:rPr>
          <w:szCs w:val="22"/>
        </w:rPr>
        <w:t>and included relevant information on their post-transaction ownership in their short-form applications</w:t>
      </w:r>
      <w:r>
        <w:rPr>
          <w:szCs w:val="22"/>
        </w:rPr>
        <w:t xml:space="preserve">” and </w:t>
      </w:r>
      <w:r>
        <w:rPr>
          <w:szCs w:val="22"/>
        </w:rPr>
        <w:t>SDC</w:t>
      </w:r>
      <w:r>
        <w:rPr>
          <w:szCs w:val="22"/>
        </w:rPr>
        <w:t xml:space="preserve"> contends that similar facts exist here</w:t>
      </w:r>
      <w:r>
        <w:t>.</w:t>
      </w:r>
      <w:r>
        <w:rPr>
          <w:rStyle w:val="FootnoteReference"/>
        </w:rPr>
        <w:footnoteReference w:id="36"/>
      </w:r>
      <w:r>
        <w:t xml:space="preserve">  We agree. </w:t>
      </w:r>
      <w:r>
        <w:rPr>
          <w:szCs w:val="22"/>
        </w:rPr>
        <w:t xml:space="preserve"> </w:t>
      </w:r>
    </w:p>
    <w:p w:rsidR="00D43369" w:rsidRPr="00B76BEF" w:rsidP="00D43369">
      <w:pPr>
        <w:pStyle w:val="ParaNum"/>
        <w:rPr>
          <w:szCs w:val="22"/>
        </w:rPr>
      </w:pPr>
      <w:r>
        <w:t xml:space="preserve">Contemporaneous with the filing of its Auction 903 short-form application, </w:t>
      </w:r>
      <w:r>
        <w:t>SDC</w:t>
      </w:r>
      <w:r>
        <w:t xml:space="preserve"> filed a section 214 domestic transfer of control application, seeking approval of the </w:t>
      </w:r>
      <w:r>
        <w:rPr>
          <w:szCs w:val="22"/>
        </w:rPr>
        <w:t xml:space="preserve">transaction </w:t>
      </w:r>
      <w:r>
        <w:t xml:space="preserve">between </w:t>
      </w:r>
      <w:r>
        <w:t>SDC</w:t>
      </w:r>
      <w:r>
        <w:t xml:space="preserve"> and Sunset Digital Holding, a holding company that upon consummation would be held by Point Broadband, the </w:t>
      </w:r>
      <w:r>
        <w:t>Elswicks</w:t>
      </w:r>
      <w:r>
        <w:t>, and ITC.</w:t>
      </w:r>
      <w:r>
        <w:rPr>
          <w:rStyle w:val="FootnoteReference"/>
        </w:rPr>
        <w:footnoteReference w:id="37"/>
      </w:r>
      <w:r w:rsidRPr="006E21DF">
        <w:t xml:space="preserve"> </w:t>
      </w:r>
      <w:r w:rsidRPr="002C4797">
        <w:rPr>
          <w:szCs w:val="22"/>
        </w:rPr>
        <w:t xml:space="preserve"> </w:t>
      </w:r>
      <w:r>
        <w:rPr>
          <w:szCs w:val="22"/>
        </w:rPr>
        <w:t xml:space="preserve">While </w:t>
      </w:r>
      <w:r w:rsidRPr="00D81BA2">
        <w:rPr>
          <w:szCs w:val="22"/>
        </w:rPr>
        <w:t>SDC’s</w:t>
      </w:r>
      <w:r w:rsidRPr="00D81BA2">
        <w:rPr>
          <w:szCs w:val="22"/>
        </w:rPr>
        <w:t xml:space="preserve"> short</w:t>
      </w:r>
      <w:r>
        <w:rPr>
          <w:szCs w:val="22"/>
        </w:rPr>
        <w:t>-</w:t>
      </w:r>
      <w:r w:rsidRPr="00D81BA2">
        <w:rPr>
          <w:szCs w:val="22"/>
        </w:rPr>
        <w:t xml:space="preserve">form application </w:t>
      </w:r>
      <w:r>
        <w:rPr>
          <w:szCs w:val="22"/>
        </w:rPr>
        <w:t xml:space="preserve">initially disclosed that Paul and Ryan Elswick each held a 50 percent ownership interest in </w:t>
      </w:r>
      <w:r>
        <w:rPr>
          <w:szCs w:val="22"/>
        </w:rPr>
        <w:t>SDC</w:t>
      </w:r>
      <w:r>
        <w:rPr>
          <w:szCs w:val="22"/>
        </w:rPr>
        <w:t>, it</w:t>
      </w:r>
      <w:r w:rsidRPr="00D81BA2">
        <w:rPr>
          <w:szCs w:val="22"/>
        </w:rPr>
        <w:t xml:space="preserve"> also disclosed that the spectrum access to be used to fulfill the CAF-II obligations would be provided by ITC’s subsidiary, Point Broadband.</w:t>
      </w:r>
      <w:r>
        <w:rPr>
          <w:rStyle w:val="FootnoteReference"/>
          <w:szCs w:val="22"/>
        </w:rPr>
        <w:footnoteReference w:id="38"/>
      </w:r>
      <w:r w:rsidRPr="00D81BA2">
        <w:rPr>
          <w:szCs w:val="22"/>
        </w:rPr>
        <w:t xml:space="preserve"> </w:t>
      </w:r>
      <w:r>
        <w:rPr>
          <w:szCs w:val="22"/>
        </w:rPr>
        <w:t xml:space="preserve"> Shortly after WCB approved the proposed transaction, </w:t>
      </w:r>
      <w:r>
        <w:rPr>
          <w:szCs w:val="22"/>
        </w:rPr>
        <w:t>SDC</w:t>
      </w:r>
      <w:r>
        <w:rPr>
          <w:szCs w:val="22"/>
        </w:rPr>
        <w:t xml:space="preserve"> amended its short-form application to list </w:t>
      </w:r>
      <w:r w:rsidRPr="00846CF4">
        <w:rPr>
          <w:szCs w:val="22"/>
        </w:rPr>
        <w:t>ITC</w:t>
      </w:r>
      <w:r>
        <w:rPr>
          <w:szCs w:val="22"/>
        </w:rPr>
        <w:t xml:space="preserve">, Point Broadband, and Sunset Digital Holdings </w:t>
      </w:r>
      <w:r w:rsidRPr="00846CF4">
        <w:rPr>
          <w:szCs w:val="22"/>
        </w:rPr>
        <w:t xml:space="preserve">as </w:t>
      </w:r>
      <w:r>
        <w:rPr>
          <w:szCs w:val="22"/>
        </w:rPr>
        <w:t>DIHs</w:t>
      </w:r>
      <w:r>
        <w:rPr>
          <w:szCs w:val="22"/>
        </w:rPr>
        <w:t>.</w:t>
      </w:r>
      <w:r>
        <w:rPr>
          <w:rStyle w:val="FootnoteReference"/>
          <w:szCs w:val="22"/>
        </w:rPr>
        <w:footnoteReference w:id="39"/>
      </w:r>
      <w:r w:rsidRPr="00846CF4">
        <w:rPr>
          <w:szCs w:val="22"/>
        </w:rPr>
        <w:t xml:space="preserve"> </w:t>
      </w:r>
      <w:r>
        <w:rPr>
          <w:szCs w:val="22"/>
        </w:rPr>
        <w:t xml:space="preserve"> </w:t>
      </w:r>
      <w:r>
        <w:rPr>
          <w:szCs w:val="22"/>
        </w:rPr>
        <w:t>SDC</w:t>
      </w:r>
      <w:r>
        <w:rPr>
          <w:szCs w:val="22"/>
        </w:rPr>
        <w:t xml:space="preserve"> also updated its application to explain that the </w:t>
      </w:r>
      <w:r>
        <w:t xml:space="preserve">transaction between </w:t>
      </w:r>
      <w:r>
        <w:t>SDC</w:t>
      </w:r>
      <w:r>
        <w:t xml:space="preserve"> and Sunset Digital Holding would be accomplished through an asset acquisition agreement, which would not be consummated until after the conclusion of Auction 903.</w:t>
      </w:r>
      <w:r>
        <w:rPr>
          <w:rStyle w:val="FootnoteReference"/>
        </w:rPr>
        <w:footnoteReference w:id="40"/>
      </w:r>
      <w:r>
        <w:t xml:space="preserve">  </w:t>
      </w:r>
      <w:r>
        <w:t>SDC</w:t>
      </w:r>
      <w:r>
        <w:t xml:space="preserve"> further explained that Paul and Ryan Elswick would each remain 50 percent co-owners of </w:t>
      </w:r>
      <w:r>
        <w:t>SDC</w:t>
      </w:r>
      <w:r>
        <w:t xml:space="preserve"> at all times during the auction.</w:t>
      </w:r>
      <w:r>
        <w:rPr>
          <w:rStyle w:val="FootnoteReference"/>
        </w:rPr>
        <w:footnoteReference w:id="41"/>
      </w:r>
      <w:r>
        <w:t xml:space="preserve">  </w:t>
      </w:r>
    </w:p>
    <w:p w:rsidR="00D43369" w:rsidRPr="00A65808" w:rsidP="00D43369">
      <w:pPr>
        <w:pStyle w:val="ParaNum"/>
        <w:widowControl/>
        <w:rPr>
          <w:szCs w:val="22"/>
        </w:rPr>
      </w:pPr>
      <w:r w:rsidRPr="00B27E04">
        <w:t>SDC</w:t>
      </w:r>
      <w:r w:rsidRPr="00B27E04">
        <w:t xml:space="preserve"> maintains </w:t>
      </w:r>
      <w:r>
        <w:t xml:space="preserve">that </w:t>
      </w:r>
      <w:r>
        <w:t>SDC</w:t>
      </w:r>
      <w:r>
        <w:t>, LLC’s</w:t>
      </w:r>
      <w:r w:rsidRPr="00B27E04">
        <w:t xml:space="preserve"> asset acquisition is not a material change to the </w:t>
      </w:r>
      <w:r w:rsidRPr="0015437A">
        <w:t xml:space="preserve">transaction </w:t>
      </w:r>
      <w:r>
        <w:t xml:space="preserve">approved in </w:t>
      </w:r>
      <w:r>
        <w:t>SDC’s</w:t>
      </w:r>
      <w:r>
        <w:t xml:space="preserve"> Section 214 Application </w:t>
      </w:r>
      <w:r w:rsidRPr="0015437A">
        <w:t>because</w:t>
      </w:r>
      <w:r>
        <w:t>,</w:t>
      </w:r>
      <w:r w:rsidRPr="0015437A">
        <w:t xml:space="preserve"> </w:t>
      </w:r>
      <w:r>
        <w:t xml:space="preserve">upon consummation, </w:t>
      </w:r>
      <w:r w:rsidRPr="0015437A">
        <w:t>ITC</w:t>
      </w:r>
      <w:r>
        <w:t xml:space="preserve"> and Point Broadband</w:t>
      </w:r>
      <w:r w:rsidRPr="0015437A">
        <w:t xml:space="preserve"> will still </w:t>
      </w:r>
      <w:r>
        <w:t>control the</w:t>
      </w:r>
      <w:r w:rsidRPr="0015437A">
        <w:t xml:space="preserve"> assets of </w:t>
      </w:r>
      <w:r>
        <w:t>SDC</w:t>
      </w:r>
      <w:r>
        <w:t xml:space="preserve"> through its wholly owned subsidiary, </w:t>
      </w:r>
      <w:r>
        <w:t>SDC</w:t>
      </w:r>
      <w:r>
        <w:t>, LLC</w:t>
      </w:r>
      <w:r w:rsidRPr="0015437A">
        <w:t>.</w:t>
      </w:r>
      <w:r>
        <w:rPr>
          <w:rStyle w:val="FootnoteReference"/>
        </w:rPr>
        <w:footnoteReference w:id="42"/>
      </w:r>
      <w:r w:rsidRPr="0015437A">
        <w:t xml:space="preserve">  </w:t>
      </w:r>
      <w:r>
        <w:t>SDC</w:t>
      </w:r>
      <w:r>
        <w:t xml:space="preserve"> represents that the ownership percentages held by the owners of Sunset Digital Holding are the same under the asset transaction as they would have been through the stock acquisition of </w:t>
      </w:r>
      <w:r>
        <w:t>SDC</w:t>
      </w:r>
      <w:r>
        <w:t>.</w:t>
      </w:r>
      <w:r>
        <w:rPr>
          <w:rStyle w:val="FootnoteReference"/>
        </w:rPr>
        <w:footnoteReference w:id="43"/>
      </w:r>
      <w:r>
        <w:t xml:space="preserve">  Accordingly, we conclude that the proposed change in the transaction terms is consistent with </w:t>
      </w:r>
      <w:r>
        <w:t>SDC’s</w:t>
      </w:r>
      <w:r>
        <w:t xml:space="preserve"> Section 214 Application that was previously approved by WCB.  Moreover, in its</w:t>
      </w:r>
      <w:r w:rsidRPr="00391925">
        <w:t xml:space="preserve"> </w:t>
      </w:r>
      <w:r>
        <w:t xml:space="preserve">Petition for Waiver, </w:t>
      </w:r>
      <w:r>
        <w:t>SDC</w:t>
      </w:r>
      <w:r>
        <w:t xml:space="preserve"> notes that its short-form</w:t>
      </w:r>
      <w:r w:rsidRPr="00391925">
        <w:t xml:space="preserve"> application also included a certification “that all attendant representations and certification shall remain effective and enforceable notwithstanding the transaction” and </w:t>
      </w:r>
      <w:r>
        <w:t>the parties to the transaction would</w:t>
      </w:r>
      <w:r w:rsidRPr="00391925">
        <w:t xml:space="preserve"> “be bound by the Application and the Applicant’s actions in the auction both before and after the closing of the transaction.”</w:t>
      </w:r>
      <w:r>
        <w:rPr>
          <w:rStyle w:val="FootnoteReference"/>
        </w:rPr>
        <w:footnoteReference w:id="44"/>
      </w:r>
      <w:r>
        <w:t xml:space="preserve">  Thus, we agree with </w:t>
      </w:r>
      <w:r>
        <w:t>SDC</w:t>
      </w:r>
      <w:r>
        <w:t xml:space="preserve"> that its circumstances are analogous to those presented by the other Auction 903 applicants that were permitted to undertake a major amendment of an </w:t>
      </w:r>
      <w:r>
        <w:t>auction application to reflect a change of control without disqualifying them from participation in Auction 903.</w:t>
      </w:r>
      <w:r>
        <w:rPr>
          <w:rStyle w:val="FootnoteReference"/>
        </w:rPr>
        <w:footnoteReference w:id="45"/>
      </w:r>
      <w:r>
        <w:t xml:space="preserve">   </w:t>
      </w:r>
    </w:p>
    <w:p w:rsidR="00D43369" w:rsidRPr="00FD4BC6" w:rsidP="00D43369">
      <w:pPr>
        <w:pStyle w:val="ParaNum"/>
        <w:rPr>
          <w:szCs w:val="22"/>
        </w:rPr>
      </w:pPr>
      <w:r>
        <w:rPr>
          <w:szCs w:val="22"/>
        </w:rPr>
        <w:t xml:space="preserve">We conclude that deviation from the rule in these circumstances is in the public interest. Granting the requested waiver will not undermine the purposes of the rule prohibiting major modifications of a pending long-form application.  That rule </w:t>
      </w:r>
      <w:r>
        <w:t>promotes the same policy objectives as those underlying the prohibition against major modifications to Auction 903 short-form applications: “including, but not limited to, assuring that an auction applicant’s ownership structure, financial condition, and real parties-in-interest are fully disclosed and can be assessed prior to the auction; the representations and certifications in the application remain effective and enforceable while the application is pending; the pre-auction process is transparent; and the Commission, auction participants, and other applicants have consistent and transparent information about the identity of other applicants, which enhances auction competition by leveling the informational playing field.”</w:t>
      </w:r>
      <w:r w:rsidRPr="00B27E04">
        <w:rPr>
          <w:rStyle w:val="FootnoteReference"/>
          <w:szCs w:val="22"/>
        </w:rPr>
        <w:t xml:space="preserve"> </w:t>
      </w:r>
      <w:r>
        <w:rPr>
          <w:rStyle w:val="FootnoteReference"/>
          <w:szCs w:val="22"/>
        </w:rPr>
        <w:footnoteReference w:id="46"/>
      </w:r>
      <w:r>
        <w:t xml:space="preserve">  </w:t>
      </w:r>
      <w:r>
        <w:rPr>
          <w:szCs w:val="22"/>
        </w:rPr>
        <w:t>SDC</w:t>
      </w:r>
      <w:r w:rsidRPr="00EF7FCC">
        <w:rPr>
          <w:szCs w:val="22"/>
        </w:rPr>
        <w:t xml:space="preserve"> </w:t>
      </w:r>
      <w:r>
        <w:t xml:space="preserve">had </w:t>
      </w:r>
      <w:r w:rsidRPr="00EF7FCC">
        <w:rPr>
          <w:szCs w:val="22"/>
        </w:rPr>
        <w:t xml:space="preserve">disclosed </w:t>
      </w:r>
      <w:r>
        <w:rPr>
          <w:szCs w:val="22"/>
        </w:rPr>
        <w:t>its current and</w:t>
      </w:r>
      <w:r w:rsidRPr="00EF7FCC">
        <w:rPr>
          <w:szCs w:val="22"/>
        </w:rPr>
        <w:t xml:space="preserve"> future real parties-in-interest </w:t>
      </w:r>
      <w:r w:rsidRPr="00C44900">
        <w:rPr>
          <w:szCs w:val="22"/>
        </w:rPr>
        <w:t xml:space="preserve">in </w:t>
      </w:r>
      <w:r>
        <w:rPr>
          <w:szCs w:val="22"/>
        </w:rPr>
        <w:t>its</w:t>
      </w:r>
      <w:r w:rsidRPr="00C44900">
        <w:rPr>
          <w:szCs w:val="22"/>
        </w:rPr>
        <w:t xml:space="preserve"> </w:t>
      </w:r>
      <w:r>
        <w:rPr>
          <w:szCs w:val="22"/>
        </w:rPr>
        <w:t xml:space="preserve">short-form application as well as the </w:t>
      </w:r>
      <w:r>
        <w:rPr>
          <w:szCs w:val="22"/>
        </w:rPr>
        <w:t>SDC</w:t>
      </w:r>
      <w:r>
        <w:rPr>
          <w:szCs w:val="22"/>
        </w:rPr>
        <w:t xml:space="preserve"> </w:t>
      </w:r>
      <w:r w:rsidRPr="00C44900">
        <w:rPr>
          <w:szCs w:val="22"/>
        </w:rPr>
        <w:t xml:space="preserve">Section 214 </w:t>
      </w:r>
      <w:r>
        <w:rPr>
          <w:szCs w:val="22"/>
        </w:rPr>
        <w:t xml:space="preserve">Application.  </w:t>
      </w:r>
      <w:r w:rsidRPr="00EF7FCC">
        <w:rPr>
          <w:szCs w:val="22"/>
        </w:rPr>
        <w:t xml:space="preserve">Also, </w:t>
      </w:r>
      <w:r>
        <w:rPr>
          <w:szCs w:val="22"/>
        </w:rPr>
        <w:t xml:space="preserve">like the petitioners in </w:t>
      </w:r>
      <w:r>
        <w:rPr>
          <w:i/>
          <w:szCs w:val="22"/>
        </w:rPr>
        <w:t xml:space="preserve">Hawaiian </w:t>
      </w:r>
      <w:r w:rsidRPr="00D821C6">
        <w:rPr>
          <w:i/>
          <w:szCs w:val="22"/>
        </w:rPr>
        <w:t>Telecom</w:t>
      </w:r>
      <w:r>
        <w:rPr>
          <w:szCs w:val="22"/>
        </w:rPr>
        <w:t xml:space="preserve">¸ </w:t>
      </w:r>
      <w:r>
        <w:rPr>
          <w:szCs w:val="22"/>
        </w:rPr>
        <w:t>SDC</w:t>
      </w:r>
      <w:r>
        <w:rPr>
          <w:szCs w:val="22"/>
        </w:rPr>
        <w:t xml:space="preserve"> </w:t>
      </w:r>
      <w:r w:rsidRPr="00EF7FCC">
        <w:rPr>
          <w:szCs w:val="22"/>
        </w:rPr>
        <w:t xml:space="preserve">confirmed the continuing effectiveness of the </w:t>
      </w:r>
      <w:r w:rsidRPr="00C44900">
        <w:rPr>
          <w:szCs w:val="22"/>
        </w:rPr>
        <w:t xml:space="preserve">representations made in </w:t>
      </w:r>
      <w:r>
        <w:rPr>
          <w:szCs w:val="22"/>
        </w:rPr>
        <w:t xml:space="preserve">its short-form </w:t>
      </w:r>
      <w:r w:rsidRPr="00C44900">
        <w:rPr>
          <w:szCs w:val="22"/>
        </w:rPr>
        <w:t>application.</w:t>
      </w:r>
      <w:r>
        <w:rPr>
          <w:rStyle w:val="FootnoteReference"/>
          <w:szCs w:val="22"/>
        </w:rPr>
        <w:footnoteReference w:id="47"/>
      </w:r>
      <w:r>
        <w:t xml:space="preserve">  </w:t>
      </w:r>
      <w:r w:rsidRPr="00C0316E">
        <w:rPr>
          <w:rStyle w:val="FootnoteTextChar3"/>
        </w:rPr>
        <w:t xml:space="preserve">Moreover, </w:t>
      </w:r>
      <w:r w:rsidRPr="00C0316E">
        <w:rPr>
          <w:rStyle w:val="FootnoteTextChar3"/>
        </w:rPr>
        <w:t>SDC</w:t>
      </w:r>
      <w:r w:rsidRPr="00C0316E">
        <w:rPr>
          <w:rStyle w:val="FootnoteTextChar3"/>
        </w:rPr>
        <w:t xml:space="preserve"> has indicated</w:t>
      </w:r>
      <w:r>
        <w:rPr>
          <w:rStyle w:val="FootnoteTextChar3"/>
        </w:rPr>
        <w:t xml:space="preserve"> </w:t>
      </w:r>
      <w:r w:rsidRPr="00C0316E">
        <w:rPr>
          <w:rStyle w:val="FootnoteTextChar3"/>
        </w:rPr>
        <w:t>that</w:t>
      </w:r>
      <w:r>
        <w:rPr>
          <w:rStyle w:val="FootnoteTextChar3"/>
        </w:rPr>
        <w:t>,</w:t>
      </w:r>
      <w:r w:rsidRPr="00C0316E">
        <w:rPr>
          <w:rStyle w:val="FootnoteTextChar3"/>
        </w:rPr>
        <w:t xml:space="preserve"> upon consummation </w:t>
      </w:r>
      <w:r>
        <w:rPr>
          <w:rStyle w:val="FootnoteTextChar3"/>
        </w:rPr>
        <w:t xml:space="preserve">of the proposed transaction, </w:t>
      </w:r>
      <w:r w:rsidRPr="00C0316E">
        <w:rPr>
          <w:rStyle w:val="FootnoteTextChar3"/>
        </w:rPr>
        <w:t xml:space="preserve">the parties in the modified long-form application will </w:t>
      </w:r>
      <w:r>
        <w:rPr>
          <w:rStyle w:val="FootnoteTextChar3"/>
        </w:rPr>
        <w:t xml:space="preserve">continue to </w:t>
      </w:r>
      <w:r w:rsidRPr="00C0316E">
        <w:rPr>
          <w:rStyle w:val="FootnoteTextChar3"/>
        </w:rPr>
        <w:t xml:space="preserve">be bound by </w:t>
      </w:r>
      <w:r>
        <w:rPr>
          <w:rStyle w:val="FootnoteTextChar3"/>
        </w:rPr>
        <w:t>SDC’s</w:t>
      </w:r>
      <w:r w:rsidRPr="00C0316E">
        <w:rPr>
          <w:rStyle w:val="FootnoteTextChar3"/>
        </w:rPr>
        <w:t xml:space="preserve"> actions in </w:t>
      </w:r>
      <w:r>
        <w:rPr>
          <w:rStyle w:val="FootnoteTextChar3"/>
        </w:rPr>
        <w:t>Auction 903</w:t>
      </w:r>
      <w:r w:rsidRPr="00C0316E">
        <w:rPr>
          <w:rStyle w:val="FootnoteTextChar3"/>
        </w:rPr>
        <w:t xml:space="preserve"> and will fulfill </w:t>
      </w:r>
      <w:r>
        <w:rPr>
          <w:rStyle w:val="FootnoteTextChar3"/>
        </w:rPr>
        <w:t xml:space="preserve">its CAF Phase II </w:t>
      </w:r>
      <w:r w:rsidRPr="00C0316E">
        <w:rPr>
          <w:rStyle w:val="FootnoteTextChar3"/>
        </w:rPr>
        <w:t>obligations.</w:t>
      </w:r>
      <w:r>
        <w:rPr>
          <w:rStyle w:val="FootnoteReference"/>
        </w:rPr>
        <w:footnoteReference w:id="48"/>
      </w:r>
      <w:r>
        <w:rPr>
          <w:rStyle w:val="FootnoteTextChar3"/>
        </w:rPr>
        <w:t xml:space="preserve">  </w:t>
      </w:r>
      <w:r>
        <w:t xml:space="preserve">Thus, we conclude that the rule’s purpose of </w:t>
      </w:r>
      <w:r>
        <w:rPr>
          <w:szCs w:val="22"/>
        </w:rPr>
        <w:t>safeguardi</w:t>
      </w:r>
      <w:r w:rsidRPr="00FD4BC6">
        <w:rPr>
          <w:szCs w:val="22"/>
        </w:rPr>
        <w:t>ng the integrity of the</w:t>
      </w:r>
      <w:r>
        <w:rPr>
          <w:szCs w:val="22"/>
        </w:rPr>
        <w:t xml:space="preserve"> Auction 903</w:t>
      </w:r>
      <w:r w:rsidRPr="00FD4BC6">
        <w:rPr>
          <w:szCs w:val="22"/>
        </w:rPr>
        <w:t xml:space="preserve"> post-auction </w:t>
      </w:r>
      <w:r>
        <w:rPr>
          <w:szCs w:val="22"/>
        </w:rPr>
        <w:t xml:space="preserve">application </w:t>
      </w:r>
      <w:r w:rsidRPr="00FD4BC6">
        <w:rPr>
          <w:szCs w:val="22"/>
        </w:rPr>
        <w:t>review and qualification process</w:t>
      </w:r>
      <w:r>
        <w:rPr>
          <w:szCs w:val="22"/>
        </w:rPr>
        <w:t xml:space="preserve"> </w:t>
      </w:r>
      <w:r w:rsidRPr="00EF7FCC">
        <w:rPr>
          <w:szCs w:val="22"/>
        </w:rPr>
        <w:t>do</w:t>
      </w:r>
      <w:r>
        <w:rPr>
          <w:szCs w:val="22"/>
        </w:rPr>
        <w:t>es</w:t>
      </w:r>
      <w:r w:rsidRPr="00EF7FCC">
        <w:rPr>
          <w:szCs w:val="22"/>
        </w:rPr>
        <w:t xml:space="preserve"> not require </w:t>
      </w:r>
      <w:r>
        <w:rPr>
          <w:szCs w:val="22"/>
        </w:rPr>
        <w:t xml:space="preserve">strict </w:t>
      </w:r>
      <w:r w:rsidRPr="00EF7FCC">
        <w:rPr>
          <w:szCs w:val="22"/>
        </w:rPr>
        <w:t xml:space="preserve">application of the </w:t>
      </w:r>
      <w:r>
        <w:rPr>
          <w:szCs w:val="22"/>
        </w:rPr>
        <w:t>rule prohibiting major amendments of a long-form application</w:t>
      </w:r>
      <w:r w:rsidRPr="00EF7FCC">
        <w:rPr>
          <w:szCs w:val="22"/>
        </w:rPr>
        <w:t xml:space="preserve"> in these</w:t>
      </w:r>
      <w:r>
        <w:rPr>
          <w:szCs w:val="22"/>
        </w:rPr>
        <w:t xml:space="preserve"> special</w:t>
      </w:r>
      <w:r w:rsidRPr="00EF7FCC">
        <w:rPr>
          <w:szCs w:val="22"/>
        </w:rPr>
        <w:t xml:space="preserve"> circumstances</w:t>
      </w:r>
      <w:r>
        <w:rPr>
          <w:szCs w:val="22"/>
        </w:rPr>
        <w:t xml:space="preserve">, </w:t>
      </w:r>
      <w:r w:rsidRPr="00FD4BC6">
        <w:rPr>
          <w:szCs w:val="22"/>
        </w:rPr>
        <w:t>and that deviation from the general rule is warranted.</w:t>
      </w:r>
      <w:r>
        <w:rPr>
          <w:rStyle w:val="FootnoteReference"/>
          <w:szCs w:val="22"/>
        </w:rPr>
        <w:footnoteReference w:id="49"/>
      </w:r>
      <w:bookmarkStart w:id="10" w:name="_Hlk7171527"/>
    </w:p>
    <w:p w:rsidR="00D43369" w:rsidRPr="00B2392F" w:rsidP="00D43369">
      <w:pPr>
        <w:pStyle w:val="ParaNum"/>
      </w:pPr>
      <w:bookmarkStart w:id="11" w:name="_Hlk517423009"/>
      <w:bookmarkEnd w:id="10"/>
      <w:r>
        <w:t>Granting this waiver also offers potential public interest benefits that would not be realized through strict application of the rule.  T</w:t>
      </w:r>
      <w:r w:rsidRPr="00EF7FCC">
        <w:t xml:space="preserve">he purpose of </w:t>
      </w:r>
      <w:r>
        <w:t>A</w:t>
      </w:r>
      <w:r w:rsidRPr="00EF7FCC">
        <w:t xml:space="preserve">uction </w:t>
      </w:r>
      <w:r>
        <w:t>903—</w:t>
      </w:r>
      <w:r w:rsidRPr="00EF7FCC">
        <w:t xml:space="preserve">identifying the qualified applicants that are </w:t>
      </w:r>
      <w:r w:rsidRPr="00C44900">
        <w:t xml:space="preserve">willing and able to provide </w:t>
      </w:r>
      <w:r>
        <w:t xml:space="preserve">a specified level of </w:t>
      </w:r>
      <w:r w:rsidRPr="00C44900">
        <w:t>service</w:t>
      </w:r>
      <w:r>
        <w:t xml:space="preserve"> in the eligible high-cost areas </w:t>
      </w:r>
      <w:r w:rsidRPr="00C44900">
        <w:t>in exchange for the lowest public subsidy</w:t>
      </w:r>
      <w:r>
        <w:t>—will be promoted by</w:t>
      </w:r>
      <w:r w:rsidRPr="00C44900">
        <w:t xml:space="preserve"> </w:t>
      </w:r>
      <w:r>
        <w:t xml:space="preserve">avoiding the unnecessary disqualification of </w:t>
      </w:r>
      <w:r>
        <w:t>SDC</w:t>
      </w:r>
      <w:r>
        <w:t>.</w:t>
      </w:r>
      <w:r>
        <w:rPr>
          <w:rStyle w:val="FootnoteReference"/>
        </w:rPr>
        <w:footnoteReference w:id="50"/>
      </w:r>
      <w:r>
        <w:t xml:space="preserve">  Based on </w:t>
      </w:r>
      <w:r>
        <w:t>SDC’s</w:t>
      </w:r>
      <w:r>
        <w:t xml:space="preserve"> representations, we find that allowing it to complete the transaction and sell its assets to </w:t>
      </w:r>
      <w:r>
        <w:t>SDC</w:t>
      </w:r>
      <w:r>
        <w:t xml:space="preserve">, LLC will result in a long-form applicant that is better able to meet the CAF Phase II public interest obligations.  We also find that </w:t>
      </w:r>
      <w:r>
        <w:t>SDC</w:t>
      </w:r>
      <w:r>
        <w:t>, LLC will be a stronger entity with greater capital and engineering resources to be injected by ITC and Point Broadband, and will accelerate deployment of fixed broadband service in rural Tennessee and Virginia</w:t>
      </w:r>
      <w:r w:rsidRPr="00BB2E2B">
        <w:t>.</w:t>
      </w:r>
      <w:r>
        <w:rPr>
          <w:rStyle w:val="FootnoteReference"/>
          <w:szCs w:val="22"/>
        </w:rPr>
        <w:footnoteReference w:id="51"/>
      </w:r>
      <w:r w:rsidRPr="00B2392F">
        <w:t xml:space="preserve">  </w:t>
      </w:r>
      <w:r>
        <w:t xml:space="preserve">Moreover, </w:t>
      </w:r>
      <w:r>
        <w:t>SDC</w:t>
      </w:r>
      <w:r>
        <w:t xml:space="preserve"> contends that </w:t>
      </w:r>
      <w:r>
        <w:t>SDC</w:t>
      </w:r>
      <w:r>
        <w:t>, LLC will be better able to obtain the letters of credit required for authorization of CAF Phase II support.</w:t>
      </w:r>
      <w:r>
        <w:rPr>
          <w:rStyle w:val="FootnoteReference"/>
        </w:rPr>
        <w:footnoteReference w:id="52"/>
      </w:r>
      <w:r>
        <w:t xml:space="preserve">  We note </w:t>
      </w:r>
      <w:r>
        <w:t xml:space="preserve">that while a reverse auction was used to allocate CAF Phase II support, circumstances similar to those presented in </w:t>
      </w:r>
      <w:r>
        <w:t>SDC’s</w:t>
      </w:r>
      <w:r>
        <w:t xml:space="preserve"> request for waiver may not warrant a waiver in other Commission auction contexts, including spectrum auctions.  However, we believe the post-auction requirements and public interest obligations unique to CAF Phase II, </w:t>
      </w:r>
      <w:bookmarkStart w:id="12" w:name="_Hlk14862558"/>
      <w:r>
        <w:t xml:space="preserve">as well as the circumstances unique to </w:t>
      </w:r>
      <w:r>
        <w:t>SDC</w:t>
      </w:r>
      <w:r>
        <w:t>, provide the basis for a waiver in this case.</w:t>
      </w:r>
      <w:bookmarkEnd w:id="12"/>
    </w:p>
    <w:p w:rsidR="00D43369" w:rsidRPr="00804269" w:rsidP="00D43369">
      <w:pPr>
        <w:pStyle w:val="ParaNum"/>
      </w:pPr>
      <w:r w:rsidRPr="00804269">
        <w:t xml:space="preserve">Accordingly, grant of this waiver serves the public interest by preventing denial of </w:t>
      </w:r>
      <w:r w:rsidRPr="00804269">
        <w:t>SDC’s</w:t>
      </w:r>
      <w:r w:rsidRPr="00804269">
        <w:t xml:space="preserve"> long-form application based solely on a transaction that was disclosed on its auction </w:t>
      </w:r>
      <w:r>
        <w:t xml:space="preserve">short-form </w:t>
      </w:r>
      <w:r w:rsidRPr="00804269">
        <w:t xml:space="preserve">application and was reviewed and approved by WCB prior </w:t>
      </w:r>
      <w:r>
        <w:t xml:space="preserve">to </w:t>
      </w:r>
      <w:r w:rsidRPr="00804269">
        <w:t xml:space="preserve">it becoming a qualified bidder. </w:t>
      </w:r>
      <w:bookmarkEnd w:id="11"/>
      <w:r w:rsidRPr="00804269">
        <w:t xml:space="preserve"> Thus, we conclude that there is good cause for granting the requested waiver.</w:t>
      </w:r>
      <w:r>
        <w:rPr>
          <w:rStyle w:val="FootnoteReference"/>
          <w:szCs w:val="22"/>
        </w:rPr>
        <w:footnoteReference w:id="53"/>
      </w:r>
      <w:r w:rsidRPr="00804269">
        <w:t xml:space="preserve">  This waiver is conditioned upon </w:t>
      </w:r>
      <w:r w:rsidRPr="00804269">
        <w:t>SDC’s</w:t>
      </w:r>
      <w:r w:rsidRPr="00804269">
        <w:t xml:space="preserve"> amendment of its long-form application following consummation of the transaction to reflect the post-consummation ownership structure consistent with that described in its Petition for Waiver, and as approved by WCB in </w:t>
      </w:r>
      <w:r w:rsidRPr="00804269">
        <w:t>SDC’s</w:t>
      </w:r>
      <w:r w:rsidRPr="00804269">
        <w:t xml:space="preserve"> Section 214 Application.  </w:t>
      </w:r>
    </w:p>
    <w:bookmarkEnd w:id="9"/>
    <w:p w:rsidR="00D43369" w:rsidP="00D43369">
      <w:pPr>
        <w:pStyle w:val="Heading1"/>
      </w:pPr>
      <w:r>
        <w:t>Ordering Clauses</w:t>
      </w:r>
    </w:p>
    <w:p w:rsidR="00D43369" w:rsidP="00D43369">
      <w:pPr>
        <w:pStyle w:val="ParaNum"/>
      </w:pPr>
      <w:r w:rsidRPr="0019242C">
        <w:t>Accordingly, IT IS ORDERED, pursuant to sections 1, 4(</w:t>
      </w:r>
      <w:r w:rsidRPr="0019242C">
        <w:t>i</w:t>
      </w:r>
      <w:r w:rsidRPr="0019242C">
        <w:t>), 5(c), and 254 of the Communications Act of 1934, as amended, 47 U.S.C. §§ 151, 154(</w:t>
      </w:r>
      <w:r w:rsidRPr="0019242C">
        <w:t>i</w:t>
      </w:r>
      <w:r w:rsidRPr="0019242C">
        <w:t xml:space="preserve">), 155(c), 254, and sections 0.91, </w:t>
      </w:r>
      <w:r>
        <w:t xml:space="preserve">0.131, </w:t>
      </w:r>
      <w:r w:rsidRPr="0019242C">
        <w:t>0.291,</w:t>
      </w:r>
      <w:r>
        <w:t xml:space="preserve"> 0.331,</w:t>
      </w:r>
      <w:r w:rsidRPr="0019242C">
        <w:t xml:space="preserve"> and 1.3 of the Commission’s rules, 47 CFR §§ 0.91, </w:t>
      </w:r>
      <w:r>
        <w:t xml:space="preserve">0.131, </w:t>
      </w:r>
      <w:r w:rsidRPr="0019242C">
        <w:t>0.291,</w:t>
      </w:r>
      <w:r>
        <w:t xml:space="preserve"> 0.331,</w:t>
      </w:r>
      <w:r w:rsidRPr="0019242C">
        <w:t xml:space="preserve"> 1.3, that this Order IS ADOPTED.</w:t>
      </w:r>
    </w:p>
    <w:p w:rsidR="00D43369" w:rsidP="00D43369">
      <w:pPr>
        <w:pStyle w:val="ParaNum"/>
      </w:pPr>
      <w:r>
        <w:t xml:space="preserve">IT IS FURTHER ORDERED that the Petition for Waiver of </w:t>
      </w:r>
      <w:r w:rsidRPr="00ED5762">
        <w:t>§</w:t>
      </w:r>
      <w:r>
        <w:t> 54.315(b)(6)(iv) of the Commission’s rules filed by Sunset Digital Communications, Inc. is GRANTED as described herein.</w:t>
      </w:r>
    </w:p>
    <w:p w:rsidR="00D43369" w:rsidP="00D43369">
      <w:pPr>
        <w:pStyle w:val="ParaNum"/>
      </w:pPr>
      <w:r w:rsidRPr="0019242C">
        <w:t>IT IS FURTHER ORDERED that, pursuant to section 1.102(b)(1) of the Commission’s rules, 47 CFR § 1.102(b)(1), this Order SHALL BE EFFECTIVE upon release.</w:t>
      </w:r>
    </w:p>
    <w:p w:rsidR="00D43369" w:rsidP="00D43369">
      <w:pPr>
        <w:pStyle w:val="ParaNum"/>
        <w:numPr>
          <w:ilvl w:val="0"/>
          <w:numId w:val="0"/>
        </w:numPr>
        <w:ind w:firstLine="720"/>
      </w:pPr>
    </w:p>
    <w:p w:rsidR="00D43369" w:rsidRPr="00412DD0" w:rsidP="00D43369">
      <w:pPr>
        <w:pStyle w:val="ParaNum"/>
        <w:numPr>
          <w:ilvl w:val="0"/>
          <w:numId w:val="0"/>
        </w:numPr>
        <w:spacing w:after="0"/>
        <w:ind w:left="3600"/>
      </w:pPr>
      <w:r w:rsidRPr="00412DD0">
        <w:t>FEDERAL COMMUNICATIONS COMMISSION</w:t>
      </w:r>
    </w:p>
    <w:p w:rsidR="00D43369" w:rsidP="00D43369">
      <w:pPr>
        <w:pStyle w:val="ParaNum"/>
        <w:numPr>
          <w:ilvl w:val="0"/>
          <w:numId w:val="0"/>
        </w:numPr>
        <w:spacing w:after="0"/>
      </w:pPr>
    </w:p>
    <w:p w:rsidR="00D43369" w:rsidP="00D43369">
      <w:pPr>
        <w:pStyle w:val="ParaNum"/>
        <w:numPr>
          <w:ilvl w:val="0"/>
          <w:numId w:val="0"/>
        </w:numPr>
        <w:spacing w:after="0"/>
        <w:rPr>
          <w:rStyle w:val="searchterm"/>
        </w:rPr>
      </w:pPr>
      <w:bookmarkStart w:id="13" w:name="SR;3307"/>
      <w:bookmarkStart w:id="14" w:name="SearchTerm"/>
      <w:bookmarkEnd w:id="13"/>
      <w:bookmarkEnd w:id="14"/>
    </w:p>
    <w:p w:rsidR="00D43369" w:rsidP="00D43369">
      <w:pPr>
        <w:pStyle w:val="ParaNum"/>
        <w:numPr>
          <w:ilvl w:val="0"/>
          <w:numId w:val="0"/>
        </w:numPr>
        <w:spacing w:after="0"/>
      </w:pPr>
    </w:p>
    <w:p w:rsidR="00D43369" w:rsidP="00D43369">
      <w:r>
        <w:tab/>
      </w:r>
      <w:r>
        <w:tab/>
      </w:r>
      <w:r>
        <w:tab/>
      </w:r>
      <w:r>
        <w:tab/>
      </w:r>
      <w:r>
        <w:tab/>
      </w:r>
    </w:p>
    <w:p w:rsidR="00D43369" w:rsidP="00D43369">
      <w:pPr>
        <w:pStyle w:val="ParaNum"/>
        <w:numPr>
          <w:ilvl w:val="0"/>
          <w:numId w:val="0"/>
        </w:numPr>
        <w:spacing w:after="0"/>
        <w:ind w:left="2880" w:firstLine="720"/>
      </w:pPr>
      <w:r>
        <w:t>Kris A. Monteith</w:t>
      </w:r>
    </w:p>
    <w:p w:rsidR="00D43369" w:rsidP="00D43369">
      <w:pPr>
        <w:pStyle w:val="ParaNum"/>
        <w:numPr>
          <w:ilvl w:val="0"/>
          <w:numId w:val="0"/>
        </w:numPr>
        <w:spacing w:after="0"/>
        <w:ind w:left="3600"/>
      </w:pPr>
      <w:r>
        <w:t>Chief</w:t>
      </w:r>
    </w:p>
    <w:p w:rsidR="00D43369" w:rsidP="00D43369">
      <w:pPr>
        <w:ind w:left="3600"/>
      </w:pPr>
      <w:r>
        <w:t>Wireline Competition Bureau</w:t>
      </w:r>
    </w:p>
    <w:p w:rsidR="00D43369" w:rsidP="00D43369">
      <w:pPr>
        <w:ind w:left="3600"/>
      </w:pPr>
    </w:p>
    <w:p w:rsidR="00D43369" w:rsidP="00D43369">
      <w:pPr>
        <w:ind w:left="3600"/>
      </w:pPr>
    </w:p>
    <w:p w:rsidR="00D43369" w:rsidP="00D43369">
      <w:pPr>
        <w:ind w:left="2880" w:firstLine="720"/>
      </w:pPr>
    </w:p>
    <w:p w:rsidR="00D43369" w:rsidP="00D43369">
      <w:pPr>
        <w:ind w:left="2880" w:firstLine="720"/>
      </w:pPr>
      <w:r>
        <w:t>Giulia McHenry</w:t>
      </w:r>
    </w:p>
    <w:p w:rsidR="00D43369" w:rsidP="00D43369">
      <w:pPr>
        <w:ind w:left="2880" w:firstLine="720"/>
      </w:pPr>
      <w:r>
        <w:t>Acting Chief</w:t>
      </w:r>
    </w:p>
    <w:p w:rsidR="00D43369" w:rsidRPr="00B87C91" w:rsidP="00D43369">
      <w:pPr>
        <w:ind w:left="3600"/>
      </w:pPr>
      <w:r>
        <w:t xml:space="preserve">Office of Economics and Analytics </w:t>
      </w:r>
    </w:p>
    <w:p w:rsidR="00412FC5" w:rsidP="00D43369">
      <w:pPr>
        <w:pStyle w:val="Heading1"/>
        <w:numPr>
          <w:ilvl w:val="0"/>
          <w:numId w:val="0"/>
        </w:numPr>
        <w:ind w:left="720" w:hanging="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3369">
      <w:r>
        <w:separator/>
      </w:r>
    </w:p>
  </w:footnote>
  <w:footnote w:type="continuationSeparator" w:id="1">
    <w:p w:rsidR="00D43369" w:rsidP="00C721AC">
      <w:pPr>
        <w:spacing w:before="120"/>
        <w:rPr>
          <w:sz w:val="20"/>
        </w:rPr>
      </w:pPr>
      <w:r>
        <w:rPr>
          <w:sz w:val="20"/>
        </w:rPr>
        <w:t xml:space="preserve">(Continued from previous page)  </w:t>
      </w:r>
      <w:r>
        <w:rPr>
          <w:sz w:val="20"/>
        </w:rPr>
        <w:separator/>
      </w:r>
    </w:p>
  </w:footnote>
  <w:footnote w:type="continuationNotice" w:id="2">
    <w:p w:rsidR="00D43369" w:rsidP="00C721AC">
      <w:pPr>
        <w:jc w:val="right"/>
        <w:rPr>
          <w:sz w:val="20"/>
        </w:rPr>
      </w:pPr>
      <w:r>
        <w:rPr>
          <w:sz w:val="20"/>
        </w:rPr>
        <w:t>(continued….)</w:t>
      </w:r>
    </w:p>
  </w:footnote>
  <w:footnote w:id="3">
    <w:p w:rsidR="00D43369" w:rsidP="00D43369">
      <w:pPr>
        <w:pStyle w:val="FootnoteText"/>
      </w:pPr>
      <w:r>
        <w:rPr>
          <w:rStyle w:val="FootnoteReference"/>
        </w:rPr>
        <w:footnoteRef/>
      </w:r>
      <w:r>
        <w:t xml:space="preserve"> </w:t>
      </w:r>
      <w:r w:rsidRPr="00AA785F">
        <w:rPr>
          <w:i/>
        </w:rPr>
        <w:t>See</w:t>
      </w:r>
      <w:r>
        <w:t xml:space="preserve"> 47 CFR §§ 0.91(p), 0.131(a); </w:t>
      </w:r>
      <w:r w:rsidRPr="008B061A">
        <w:rPr>
          <w:i/>
        </w:rPr>
        <w:t>see also</w:t>
      </w:r>
      <w:r>
        <w:t xml:space="preserve"> </w:t>
      </w:r>
      <w:r w:rsidRPr="008B061A">
        <w:rPr>
          <w:i/>
        </w:rPr>
        <w:t>id.</w:t>
      </w:r>
      <w:r>
        <w:t xml:space="preserve"> §§ 0.21(m), (o).</w:t>
      </w:r>
    </w:p>
  </w:footnote>
  <w:footnote w:id="4">
    <w:p w:rsidR="00D43369" w:rsidP="00D43369">
      <w:pPr>
        <w:pStyle w:val="FootnoteText"/>
      </w:pPr>
      <w:r>
        <w:rPr>
          <w:rStyle w:val="FootnoteReference"/>
        </w:rPr>
        <w:footnoteRef/>
      </w:r>
      <w:r>
        <w:t xml:space="preserve"> </w:t>
      </w:r>
      <w:r w:rsidRPr="00AA785F">
        <w:rPr>
          <w:i/>
        </w:rPr>
        <w:t>See</w:t>
      </w:r>
      <w:r>
        <w:t xml:space="preserve"> 47 CFR </w:t>
      </w:r>
      <w:r w:rsidRPr="00ED5762">
        <w:t>§</w:t>
      </w:r>
      <w:r>
        <w:t> </w:t>
      </w:r>
      <w:r w:rsidRPr="00ED5762">
        <w:t>54.315(b)(6)(iv)</w:t>
      </w:r>
      <w:r>
        <w:t xml:space="preserve"> (prohibiting major modifications, including ownership changes that constitute an assignment or change of control, or the identity of the applicant, to a post-auction long-form application).  </w:t>
      </w:r>
      <w:r w:rsidRPr="00907BD7">
        <w:rPr>
          <w:i/>
        </w:rPr>
        <w:t>See also</w:t>
      </w:r>
      <w:r>
        <w:t xml:space="preserve"> Petition of Sunset Digital Communications, Inc. for Waiver of 54.315(b)(6)(iv) of the Commission’s rules, AU Docket No. 17-182, WC Docket Nos. 10-90, 17-207, at 2 (filed Nov. 26, 2018) (</w:t>
      </w:r>
      <w:r w:rsidRPr="00D26B54">
        <w:t>SDC</w:t>
      </w:r>
      <w:r w:rsidRPr="00D26B54">
        <w:t xml:space="preserve"> Petition for Waiver</w:t>
      </w:r>
      <w:r>
        <w:t>).</w:t>
      </w:r>
    </w:p>
  </w:footnote>
  <w:footnote w:id="5">
    <w:p w:rsidR="00D43369" w:rsidP="00D43369">
      <w:pPr>
        <w:pStyle w:val="FootnoteText"/>
      </w:pPr>
      <w:r>
        <w:rPr>
          <w:rStyle w:val="FootnoteReference"/>
        </w:rPr>
        <w:footnoteRef/>
      </w:r>
      <w:r>
        <w:t xml:space="preserve"> </w:t>
      </w:r>
      <w:r>
        <w:t>SDC</w:t>
      </w:r>
      <w:r>
        <w:t xml:space="preserve"> Petition for Waiver at 1.  </w:t>
      </w:r>
      <w:r w:rsidRPr="00907BD7">
        <w:rPr>
          <w:i/>
        </w:rPr>
        <w:t>See also</w:t>
      </w:r>
      <w:r>
        <w:t xml:space="preserve"> </w:t>
      </w:r>
      <w:r w:rsidRPr="004A00E5">
        <w:rPr>
          <w:i/>
        </w:rPr>
        <w:t>Domestic Section 214 Application Filed for the Transfer of Control of Sunset Digital Communications, Inc</w:t>
      </w:r>
      <w:r w:rsidRPr="004A00E5">
        <w:t xml:space="preserve">., Public Notice, </w:t>
      </w:r>
      <w:r>
        <w:t>33 FCC Rcd 3927</w:t>
      </w:r>
      <w:r w:rsidRPr="004A00E5">
        <w:t xml:space="preserve"> (2018)</w:t>
      </w:r>
      <w:r>
        <w:t xml:space="preserve"> (</w:t>
      </w:r>
      <w:r w:rsidRPr="00F93379">
        <w:rPr>
          <w:rStyle w:val="FootnoteTextChar3"/>
          <w:i/>
        </w:rPr>
        <w:t>Section 214 Application Comment Public Notice</w:t>
      </w:r>
      <w:r w:rsidRPr="006D0E68">
        <w:rPr>
          <w:rStyle w:val="FootnoteTextChar3"/>
        </w:rPr>
        <w:t>)</w:t>
      </w:r>
      <w:r>
        <w:t xml:space="preserve">; </w:t>
      </w:r>
      <w:r w:rsidRPr="0001649C">
        <w:rPr>
          <w:i/>
        </w:rPr>
        <w:t>Notice of Domestic Section 214 Authorization Granted</w:t>
      </w:r>
      <w:r w:rsidRPr="0001649C">
        <w:t xml:space="preserve">, </w:t>
      </w:r>
      <w:r>
        <w:t xml:space="preserve">Public Notice, 33 FCC Rcd 5203 </w:t>
      </w:r>
      <w:r w:rsidRPr="0001649C">
        <w:t>(2018).</w:t>
      </w:r>
      <w:r w:rsidRPr="004A00E5">
        <w:t xml:space="preserve"> </w:t>
      </w:r>
    </w:p>
  </w:footnote>
  <w:footnote w:id="6">
    <w:p w:rsidR="00D43369" w:rsidP="00D43369">
      <w:pPr>
        <w:pStyle w:val="FootnoteText"/>
      </w:pPr>
      <w:r>
        <w:rPr>
          <w:rStyle w:val="FootnoteReference"/>
        </w:rPr>
        <w:footnoteRef/>
      </w:r>
      <w:r>
        <w:t xml:space="preserve"> </w:t>
      </w:r>
      <w:r w:rsidRPr="00D00A8E">
        <w:rPr>
          <w:i/>
          <w:iCs/>
        </w:rPr>
        <w:t>See Connect America Fund et al.</w:t>
      </w:r>
      <w:r w:rsidRPr="00D00A8E">
        <w:t>, Report and Order and Further Notice of Proposed Rulemaking, 26 FCC Rcd</w:t>
      </w:r>
      <w:r>
        <w:t xml:space="preserve"> </w:t>
      </w:r>
      <w:r w:rsidRPr="00D00A8E">
        <w:t xml:space="preserve">17663, 17692-94, </w:t>
      </w:r>
      <w:r>
        <w:t>17695, paras. 77-83, 86 (2011)</w:t>
      </w:r>
      <w:r w:rsidRPr="00D00A8E">
        <w:t xml:space="preserve">, </w:t>
      </w:r>
      <w:r w:rsidRPr="00D00A8E">
        <w:rPr>
          <w:i/>
          <w:iCs/>
        </w:rPr>
        <w:t>aff’d sub nom</w:t>
      </w:r>
      <w:r w:rsidRPr="00D00A8E">
        <w:t>.</w:t>
      </w:r>
      <w:r>
        <w:t xml:space="preserve"> </w:t>
      </w:r>
      <w:r w:rsidRPr="00D00A8E">
        <w:rPr>
          <w:i/>
          <w:iCs/>
        </w:rPr>
        <w:t>In re: FCC 11-161</w:t>
      </w:r>
      <w:r w:rsidRPr="00D00A8E">
        <w:t xml:space="preserve">, 753 </w:t>
      </w:r>
      <w:r w:rsidRPr="00D00A8E">
        <w:t>F.3d</w:t>
      </w:r>
      <w:r w:rsidRPr="00D00A8E">
        <w:t xml:space="preserve"> 1015 (10th Cir. 2014)</w:t>
      </w:r>
      <w:r>
        <w:t xml:space="preserve">; </w:t>
      </w:r>
      <w:r w:rsidRPr="00831283">
        <w:rPr>
          <w:i/>
        </w:rPr>
        <w:t>Connect America Fund Phase II Auction (Auction 903) Closes, Winning Bidders Announced, FCC Form 683 Due October 15, 2018</w:t>
      </w:r>
      <w:r>
        <w:t xml:space="preserve">, Public Notice, </w:t>
      </w:r>
      <w:bookmarkStart w:id="5" w:name="_Hlk8024182"/>
      <w:r>
        <w:t>33 FCC Rcd 8257 (2018) (</w:t>
      </w:r>
      <w:r>
        <w:rPr>
          <w:i/>
        </w:rPr>
        <w:t>Auction 903 Closing Public Notice</w:t>
      </w:r>
      <w:bookmarkEnd w:id="5"/>
      <w:r>
        <w:t xml:space="preserve">).  </w:t>
      </w:r>
    </w:p>
  </w:footnote>
  <w:footnote w:id="7">
    <w:p w:rsidR="00D43369" w:rsidP="00D43369">
      <w:pPr>
        <w:pStyle w:val="FootnoteText"/>
      </w:pPr>
      <w:r>
        <w:rPr>
          <w:rStyle w:val="FootnoteReference"/>
        </w:rPr>
        <w:footnoteRef/>
      </w:r>
      <w:r>
        <w:t xml:space="preserve"> </w:t>
      </w:r>
      <w:r w:rsidRPr="00B70301">
        <w:rPr>
          <w:i/>
        </w:rPr>
        <w:t>Connect America Fund Phase II Auction Scheduled for July 24, 2018; Notice and Filing Requirements and Other Procedures for Auction 903</w:t>
      </w:r>
      <w:r>
        <w:t>, Public Notice, 33 FCC Rcd 1428, 1432, para. 8 (2018) (</w:t>
      </w:r>
      <w:r>
        <w:rPr>
          <w:i/>
        </w:rPr>
        <w:t xml:space="preserve">Auction 903 </w:t>
      </w:r>
      <w:r w:rsidRPr="006A0E53">
        <w:rPr>
          <w:i/>
        </w:rPr>
        <w:t>Procedures Public Notice</w:t>
      </w:r>
      <w:r>
        <w:t>).</w:t>
      </w:r>
    </w:p>
  </w:footnote>
  <w:footnote w:id="8">
    <w:p w:rsidR="00D43369" w:rsidP="00D43369">
      <w:pPr>
        <w:pStyle w:val="FootnoteText"/>
      </w:pPr>
      <w:r>
        <w:rPr>
          <w:rStyle w:val="FootnoteReference"/>
        </w:rPr>
        <w:footnoteRef/>
      </w:r>
      <w:r>
        <w:t xml:space="preserve"> </w:t>
      </w:r>
      <w:r w:rsidRPr="005546E4">
        <w:rPr>
          <w:i/>
        </w:rPr>
        <w:t>Id.</w:t>
      </w:r>
      <w:r>
        <w:t>, 33 FCC Rcd</w:t>
      </w:r>
      <w:r w:rsidRPr="005546E4">
        <w:rPr>
          <w:i/>
        </w:rPr>
        <w:t>.</w:t>
      </w:r>
      <w:r>
        <w:t xml:space="preserve">at 1433, para. 10.  </w:t>
      </w:r>
      <w:r w:rsidRPr="00730147">
        <w:rPr>
          <w:color w:val="000000"/>
          <w:szCs w:val="22"/>
        </w:rPr>
        <w:t xml:space="preserve">FCC Form 183 </w:t>
      </w:r>
      <w:r>
        <w:rPr>
          <w:color w:val="000000"/>
          <w:szCs w:val="22"/>
        </w:rPr>
        <w:t xml:space="preserve">requires each applicant to provide </w:t>
      </w:r>
      <w:r w:rsidRPr="00730147">
        <w:rPr>
          <w:color w:val="000000"/>
          <w:szCs w:val="22"/>
        </w:rPr>
        <w:t xml:space="preserve">specific information and </w:t>
      </w:r>
      <w:r>
        <w:rPr>
          <w:color w:val="000000"/>
          <w:szCs w:val="22"/>
        </w:rPr>
        <w:t>certifications</w:t>
      </w:r>
      <w:r w:rsidRPr="00730147">
        <w:rPr>
          <w:color w:val="000000"/>
          <w:szCs w:val="22"/>
        </w:rPr>
        <w:t xml:space="preserve">, under penalty of perjury, </w:t>
      </w:r>
      <w:r>
        <w:rPr>
          <w:color w:val="000000"/>
          <w:szCs w:val="22"/>
        </w:rPr>
        <w:t xml:space="preserve">regarding its </w:t>
      </w:r>
      <w:r w:rsidRPr="00730147">
        <w:rPr>
          <w:color w:val="000000"/>
          <w:szCs w:val="22"/>
        </w:rPr>
        <w:t>qualifications.</w:t>
      </w:r>
      <w:r>
        <w:rPr>
          <w:color w:val="000000"/>
          <w:szCs w:val="22"/>
        </w:rPr>
        <w:t xml:space="preserve">  </w:t>
      </w:r>
      <w:r>
        <w:rPr>
          <w:i/>
          <w:color w:val="000000"/>
          <w:szCs w:val="22"/>
        </w:rPr>
        <w:t>See i</w:t>
      </w:r>
      <w:r w:rsidRPr="007A2CCB">
        <w:rPr>
          <w:i/>
          <w:color w:val="000000"/>
          <w:szCs w:val="22"/>
        </w:rPr>
        <w:t>d.</w:t>
      </w:r>
      <w:r>
        <w:rPr>
          <w:color w:val="000000"/>
          <w:szCs w:val="22"/>
        </w:rPr>
        <w:t xml:space="preserve"> at 1438, para. 20.</w:t>
      </w:r>
    </w:p>
  </w:footnote>
  <w:footnote w:id="9">
    <w:p w:rsidR="00D43369" w:rsidRPr="0087790C" w:rsidP="00D43369">
      <w:pPr>
        <w:pStyle w:val="FootnoteText"/>
        <w:rPr>
          <w:i/>
        </w:rPr>
      </w:pPr>
      <w:r>
        <w:rPr>
          <w:rStyle w:val="FootnoteReference"/>
        </w:rPr>
        <w:footnoteRef/>
      </w:r>
      <w:r>
        <w:t xml:space="preserve"> </w:t>
      </w:r>
      <w:r>
        <w:rPr>
          <w:i/>
        </w:rPr>
        <w:t xml:space="preserve">See </w:t>
      </w:r>
      <w:r>
        <w:t xml:space="preserve">47 CFR §§ 1.2112(a), 54.315(a)(1) (requiring the disclosure on the short-form application of the applicant’s ownership information as set forth in 47 CFR § 1.2112(a)); </w:t>
      </w:r>
      <w:r>
        <w:rPr>
          <w:i/>
        </w:rPr>
        <w:t xml:space="preserve">see also Auction 903 </w:t>
      </w:r>
      <w:r w:rsidRPr="006A0E53">
        <w:rPr>
          <w:i/>
        </w:rPr>
        <w:t>Procedures Public Notice</w:t>
      </w:r>
      <w:r>
        <w:rPr>
          <w:i/>
        </w:rPr>
        <w:t xml:space="preserve">, </w:t>
      </w:r>
      <w:r>
        <w:t xml:space="preserve">33 FCC </w:t>
      </w:r>
      <w:r w:rsidRPr="00B6494D">
        <w:t>Rcd at 14</w:t>
      </w:r>
      <w:r>
        <w:t>40</w:t>
      </w:r>
      <w:r w:rsidRPr="00B6494D">
        <w:t>,</w:t>
      </w:r>
      <w:r>
        <w:t xml:space="preserve"> para. 28.  Pursuant to the Commission’s rules, </w:t>
      </w:r>
      <w:r>
        <w:rPr>
          <w:szCs w:val="22"/>
        </w:rPr>
        <w:t>t</w:t>
      </w:r>
      <w:r w:rsidRPr="00A85D9A">
        <w:rPr>
          <w:szCs w:val="22"/>
        </w:rPr>
        <w:t xml:space="preserve">hose individuals and entities that have an ownership or other interest in the applicant </w:t>
      </w:r>
      <w:r>
        <w:rPr>
          <w:szCs w:val="22"/>
        </w:rPr>
        <w:t xml:space="preserve">that </w:t>
      </w:r>
      <w:r w:rsidRPr="00A85D9A">
        <w:rPr>
          <w:szCs w:val="22"/>
        </w:rPr>
        <w:t xml:space="preserve">must be disclosed </w:t>
      </w:r>
      <w:r>
        <w:rPr>
          <w:szCs w:val="22"/>
        </w:rPr>
        <w:t xml:space="preserve">and reported on the short-form and long-form auction applications (Forms 183 and 683, respectively) </w:t>
      </w:r>
      <w:r w:rsidRPr="00A85D9A">
        <w:rPr>
          <w:szCs w:val="22"/>
        </w:rPr>
        <w:t xml:space="preserve">are considered </w:t>
      </w:r>
      <w:r>
        <w:rPr>
          <w:szCs w:val="22"/>
        </w:rPr>
        <w:t>to be</w:t>
      </w:r>
      <w:r>
        <w:rPr>
          <w:szCs w:val="22"/>
        </w:rPr>
        <w:t xml:space="preserve"> </w:t>
      </w:r>
      <w:r w:rsidRPr="00A85D9A">
        <w:rPr>
          <w:szCs w:val="22"/>
        </w:rPr>
        <w:t>“disclosable interest holder</w:t>
      </w:r>
      <w:r>
        <w:rPr>
          <w:szCs w:val="22"/>
        </w:rPr>
        <w:t>s</w:t>
      </w:r>
      <w:r w:rsidRPr="00A85D9A">
        <w:rPr>
          <w:szCs w:val="22"/>
        </w:rPr>
        <w:t xml:space="preserve">” (or </w:t>
      </w:r>
      <w:r w:rsidRPr="00A85D9A">
        <w:rPr>
          <w:szCs w:val="22"/>
        </w:rPr>
        <w:t>DIH</w:t>
      </w:r>
      <w:r>
        <w:rPr>
          <w:szCs w:val="22"/>
        </w:rPr>
        <w:t>s</w:t>
      </w:r>
      <w:r w:rsidRPr="00A85D9A">
        <w:rPr>
          <w:szCs w:val="22"/>
        </w:rPr>
        <w:t>) in the applicant</w:t>
      </w:r>
      <w:r>
        <w:rPr>
          <w:szCs w:val="22"/>
        </w:rPr>
        <w:t xml:space="preserve">.  </w:t>
      </w:r>
      <w:r>
        <w:rPr>
          <w:i/>
        </w:rPr>
        <w:t xml:space="preserve">See </w:t>
      </w:r>
      <w:r w:rsidRPr="007A6CCE">
        <w:rPr>
          <w:i/>
        </w:rPr>
        <w:t>FCC Form 183 Application to Participate in Connect America Fund Phase II Auction</w:t>
      </w:r>
      <w:r>
        <w:rPr>
          <w:i/>
        </w:rPr>
        <w:t xml:space="preserve">, </w:t>
      </w:r>
      <w:r w:rsidRPr="0087790C">
        <w:t>Instructions</w:t>
      </w:r>
      <w:r>
        <w:t xml:space="preserve">, section 3.4; FCC Form 683 Application for Connect America Fund Phase II Auction Support, Instructions, section 6.5, posted under the “Education” tab at: </w:t>
      </w:r>
      <w:hyperlink r:id="rId1" w:history="1">
        <w:r w:rsidRPr="00370F87">
          <w:rPr>
            <w:rStyle w:val="Hyperlink"/>
          </w:rPr>
          <w:t>https://www.fcc.gov/auction/903</w:t>
        </w:r>
      </w:hyperlink>
      <w:r>
        <w:t>.</w:t>
      </w:r>
    </w:p>
  </w:footnote>
  <w:footnote w:id="10">
    <w:p w:rsidR="00D43369" w:rsidP="00D43369">
      <w:pPr>
        <w:pStyle w:val="FootnoteText"/>
      </w:pPr>
      <w:r>
        <w:rPr>
          <w:rStyle w:val="FootnoteReference"/>
        </w:rPr>
        <w:footnoteRef/>
      </w:r>
      <w:r>
        <w:t xml:space="preserve"> FCC Form 183 of Sunset Digital Communications, Inc., FCC File No. 0008155732 (filed Mar. 30, 2018) (</w:t>
      </w:r>
      <w:r w:rsidRPr="008D3043">
        <w:t>SDC’s</w:t>
      </w:r>
      <w:r w:rsidRPr="008D3043">
        <w:t xml:space="preserve"> FCC Form 183</w:t>
      </w:r>
      <w:r w:rsidRPr="00E8689A">
        <w:t>).</w:t>
      </w:r>
    </w:p>
  </w:footnote>
  <w:footnote w:id="11">
    <w:p w:rsidR="00D43369" w:rsidRPr="00907BD7" w:rsidP="00D43369">
      <w:pPr>
        <w:pStyle w:val="FootnoteText"/>
        <w:rPr>
          <w:i/>
        </w:rPr>
      </w:pPr>
      <w:r>
        <w:rPr>
          <w:rStyle w:val="FootnoteReference"/>
        </w:rPr>
        <w:footnoteRef/>
      </w:r>
      <w:r>
        <w:t xml:space="preserve"> </w:t>
      </w:r>
      <w:r>
        <w:rPr>
          <w:i/>
        </w:rPr>
        <w:t xml:space="preserve">See id. </w:t>
      </w:r>
    </w:p>
  </w:footnote>
  <w:footnote w:id="12">
    <w:p w:rsidR="00D43369" w:rsidRPr="003402C9" w:rsidP="00D43369">
      <w:pPr>
        <w:pStyle w:val="FootnoteText"/>
      </w:pPr>
      <w:r>
        <w:rPr>
          <w:rStyle w:val="FootnoteReference"/>
        </w:rPr>
        <w:footnoteRef/>
      </w:r>
      <w:r>
        <w:t xml:space="preserve"> </w:t>
      </w:r>
      <w:r>
        <w:rPr>
          <w:i/>
        </w:rPr>
        <w:t>See id.</w:t>
      </w:r>
      <w:r>
        <w:t xml:space="preserve">, Agreements tab.  </w:t>
      </w:r>
    </w:p>
  </w:footnote>
  <w:footnote w:id="13">
    <w:p w:rsidR="00D43369" w:rsidRPr="00A96A2F" w:rsidP="00D43369">
      <w:pPr>
        <w:pStyle w:val="FootnoteText"/>
      </w:pPr>
      <w:r>
        <w:rPr>
          <w:rStyle w:val="FootnoteReference"/>
        </w:rPr>
        <w:footnoteRef/>
      </w:r>
      <w:r>
        <w:t xml:space="preserve"> </w:t>
      </w:r>
      <w:r>
        <w:rPr>
          <w:i/>
        </w:rPr>
        <w:t xml:space="preserve">See id., </w:t>
      </w:r>
      <w:r>
        <w:t xml:space="preserve">Spectrum Access Agreement 2.  Subsequently, on April 17, 2018, </w:t>
      </w:r>
      <w:r>
        <w:t>SDC</w:t>
      </w:r>
      <w:r>
        <w:t xml:space="preserve"> filed a petition seeking waiver of the prohibition on major modifications with respect to its Auction 903 application.  </w:t>
      </w:r>
      <w:r w:rsidRPr="00C31483">
        <w:rPr>
          <w:i/>
        </w:rPr>
        <w:t>See</w:t>
      </w:r>
      <w:r>
        <w:t xml:space="preserve"> Petition of Sunset Digital Communications, Inc. for Waiver of the Commission’s rules, AU Docket No. 17-182, WC Docket No. 10-90 (</w:t>
      </w:r>
      <w:r w:rsidRPr="00E0637A">
        <w:t xml:space="preserve">filed </w:t>
      </w:r>
      <w:r>
        <w:t xml:space="preserve">April 17, 2018).  Later, </w:t>
      </w:r>
      <w:r>
        <w:rPr>
          <w:szCs w:val="22"/>
        </w:rPr>
        <w:t>SDC</w:t>
      </w:r>
      <w:r>
        <w:rPr>
          <w:szCs w:val="22"/>
        </w:rPr>
        <w:t xml:space="preserve"> withdrew this petition for waiver, explaining that the transaction with ITC and Point Broadband was being reformed as an asset purchase transaction and would not be completed prior to the completion of the auction.  </w:t>
      </w:r>
      <w:r w:rsidRPr="00B94386">
        <w:rPr>
          <w:i/>
        </w:rPr>
        <w:t>See</w:t>
      </w:r>
      <w:r>
        <w:t xml:space="preserve"> Letter from James C. Falvey, Esq. to Marlene H. Dortch, FCC Secretary (filed June 7, 2018).  </w:t>
      </w:r>
    </w:p>
  </w:footnote>
  <w:footnote w:id="14">
    <w:p w:rsidR="00D43369" w:rsidP="00D43369">
      <w:pPr>
        <w:pStyle w:val="FootnoteText"/>
      </w:pPr>
      <w:r>
        <w:rPr>
          <w:rStyle w:val="FootnoteReference"/>
        </w:rPr>
        <w:footnoteRef/>
      </w:r>
      <w:r>
        <w:t xml:space="preserve"> </w:t>
      </w:r>
      <w:r>
        <w:rPr>
          <w:i/>
        </w:rPr>
        <w:t>See</w:t>
      </w:r>
      <w:r>
        <w:t xml:space="preserve"> 47 U.S.C. § 214; 47 CFR §§ 63.03-04.  </w:t>
      </w:r>
    </w:p>
  </w:footnote>
  <w:footnote w:id="15">
    <w:p w:rsidR="00D43369" w:rsidP="00D43369">
      <w:pPr>
        <w:pStyle w:val="FootnoteText"/>
      </w:pPr>
      <w:r>
        <w:rPr>
          <w:rStyle w:val="FootnoteReference"/>
        </w:rPr>
        <w:footnoteRef/>
      </w:r>
      <w:r>
        <w:t xml:space="preserve"> </w:t>
      </w:r>
      <w:r>
        <w:rPr>
          <w:i/>
        </w:rPr>
        <w:t>See</w:t>
      </w:r>
      <w:r>
        <w:t xml:space="preserve"> Application for Authorization Pursuant to Section 214 of the Communications Act of 1934, as Amended, for Assignment of Assets and/or Transfer of Control, WC Docket No. 18-98, (filed March 30, 2018); </w:t>
      </w:r>
      <w:hyperlink r:id="rId2" w:history="1">
        <w:r w:rsidRPr="00091350">
          <w:rPr>
            <w:rStyle w:val="Hyperlink"/>
          </w:rPr>
          <w:t>https://ecfsapi.fcc.gov/file/10331015717887/SUNSET%20214%20APPLICATION%20%5BFINAL%5D%20(N0284597xA35AA).pdf</w:t>
        </w:r>
      </w:hyperlink>
      <w:r>
        <w:t xml:space="preserve"> (</w:t>
      </w:r>
      <w:r>
        <w:t>SDC’s</w:t>
      </w:r>
      <w:r>
        <w:t xml:space="preserve"> Section 214 Application).    </w:t>
      </w:r>
    </w:p>
  </w:footnote>
  <w:footnote w:id="16">
    <w:p w:rsidR="00D43369" w:rsidP="00D43369">
      <w:pPr>
        <w:pStyle w:val="FootnoteText"/>
      </w:pPr>
      <w:r>
        <w:rPr>
          <w:rStyle w:val="FootnoteReference"/>
        </w:rPr>
        <w:footnoteRef/>
      </w:r>
      <w:r>
        <w:t xml:space="preserve"> </w:t>
      </w:r>
      <w:r>
        <w:rPr>
          <w:i/>
        </w:rPr>
        <w:t>See i</w:t>
      </w:r>
      <w:r w:rsidRPr="00547413">
        <w:rPr>
          <w:i/>
        </w:rPr>
        <w:t>d</w:t>
      </w:r>
      <w:r>
        <w:t>.</w:t>
      </w:r>
    </w:p>
  </w:footnote>
  <w:footnote w:id="17">
    <w:p w:rsidR="00D43369" w:rsidP="00D43369">
      <w:pPr>
        <w:pStyle w:val="FootnoteText"/>
      </w:pPr>
      <w:r>
        <w:rPr>
          <w:rStyle w:val="FootnoteReference"/>
        </w:rPr>
        <w:footnoteRef/>
      </w:r>
      <w:r>
        <w:t xml:space="preserve"> </w:t>
      </w:r>
      <w:r>
        <w:rPr>
          <w:i/>
        </w:rPr>
        <w:t>See id</w:t>
      </w:r>
      <w:r>
        <w:t xml:space="preserve">.  </w:t>
      </w:r>
    </w:p>
  </w:footnote>
  <w:footnote w:id="18">
    <w:p w:rsidR="00D43369" w:rsidRPr="001A4B96" w:rsidP="00D43369">
      <w:pPr>
        <w:pStyle w:val="FootnoteText"/>
        <w:rPr>
          <w:i/>
        </w:rPr>
      </w:pPr>
      <w:r>
        <w:rPr>
          <w:rStyle w:val="FootnoteReference"/>
        </w:rPr>
        <w:footnoteRef/>
      </w:r>
      <w:r>
        <w:t xml:space="preserve"> </w:t>
      </w:r>
      <w:r>
        <w:rPr>
          <w:i/>
        </w:rPr>
        <w:t>See id.</w:t>
      </w:r>
      <w:r>
        <w:t xml:space="preserve">  </w:t>
      </w:r>
      <w:r>
        <w:rPr>
          <w:szCs w:val="22"/>
        </w:rPr>
        <w:t>SDC’s</w:t>
      </w:r>
      <w:r>
        <w:rPr>
          <w:szCs w:val="22"/>
        </w:rPr>
        <w:t xml:space="preserve"> Section 214 Application includes copies of the proposed pre- and post-closing organizational charts</w:t>
      </w:r>
      <w:r>
        <w:t xml:space="preserve">.  </w:t>
      </w:r>
      <w:r>
        <w:rPr>
          <w:i/>
        </w:rPr>
        <w:t>Id.</w:t>
      </w:r>
    </w:p>
  </w:footnote>
  <w:footnote w:id="19">
    <w:p w:rsidR="00D43369" w:rsidRPr="002F3AA3" w:rsidP="00D43369">
      <w:pPr>
        <w:spacing w:after="120"/>
      </w:pPr>
      <w:r>
        <w:rPr>
          <w:rStyle w:val="FootnoteReference"/>
        </w:rPr>
        <w:footnoteRef/>
      </w:r>
      <w:r>
        <w:t xml:space="preserve"> </w:t>
      </w:r>
      <w:r w:rsidRPr="00F93379">
        <w:rPr>
          <w:rStyle w:val="FootnoteTextChar3"/>
          <w:i/>
          <w:sz w:val="20"/>
        </w:rPr>
        <w:t>Section 214 Application Comment Public Notice</w:t>
      </w:r>
      <w:r w:rsidRPr="00614071">
        <w:rPr>
          <w:rStyle w:val="FootnoteTextChar3"/>
          <w:sz w:val="20"/>
        </w:rPr>
        <w:t>.</w:t>
      </w:r>
      <w:r w:rsidRPr="00614071">
        <w:rPr>
          <w:i/>
          <w:sz w:val="20"/>
        </w:rPr>
        <w:t xml:space="preserve"> </w:t>
      </w:r>
      <w:r w:rsidRPr="004A00E5">
        <w:rPr>
          <w:sz w:val="20"/>
        </w:rPr>
        <w:t xml:space="preserve"> In th</w:t>
      </w:r>
      <w:r>
        <w:rPr>
          <w:sz w:val="20"/>
        </w:rPr>
        <w:t>at</w:t>
      </w:r>
      <w:r w:rsidRPr="004A00E5">
        <w:rPr>
          <w:sz w:val="20"/>
        </w:rPr>
        <w:t xml:space="preserve"> Public Notice</w:t>
      </w:r>
      <w:r>
        <w:rPr>
          <w:sz w:val="20"/>
        </w:rPr>
        <w:t>,</w:t>
      </w:r>
      <w:r w:rsidRPr="004A00E5">
        <w:rPr>
          <w:sz w:val="20"/>
        </w:rPr>
        <w:t xml:space="preserve"> WCB explained that </w:t>
      </w:r>
      <w:r>
        <w:rPr>
          <w:sz w:val="20"/>
        </w:rPr>
        <w:t>t</w:t>
      </w:r>
      <w:r w:rsidRPr="004A00E5">
        <w:rPr>
          <w:sz w:val="20"/>
        </w:rPr>
        <w:t xml:space="preserve">he proposed transaction </w:t>
      </w:r>
      <w:r>
        <w:rPr>
          <w:sz w:val="20"/>
        </w:rPr>
        <w:t>was</w:t>
      </w:r>
      <w:r w:rsidRPr="004A00E5">
        <w:rPr>
          <w:sz w:val="20"/>
        </w:rPr>
        <w:t xml:space="preserve"> related to two </w:t>
      </w:r>
      <w:r>
        <w:rPr>
          <w:sz w:val="20"/>
        </w:rPr>
        <w:t>S</w:t>
      </w:r>
      <w:r w:rsidRPr="004A00E5">
        <w:rPr>
          <w:sz w:val="20"/>
        </w:rPr>
        <w:t xml:space="preserve">ection 214 </w:t>
      </w:r>
      <w:r>
        <w:rPr>
          <w:sz w:val="20"/>
        </w:rPr>
        <w:t xml:space="preserve">domestic transfer of control </w:t>
      </w:r>
      <w:r w:rsidRPr="004A00E5">
        <w:rPr>
          <w:sz w:val="20"/>
        </w:rPr>
        <w:t xml:space="preserve">applications that the Bureau </w:t>
      </w:r>
      <w:r>
        <w:rPr>
          <w:sz w:val="20"/>
        </w:rPr>
        <w:t xml:space="preserve">had previously </w:t>
      </w:r>
      <w:r w:rsidRPr="004A00E5">
        <w:rPr>
          <w:sz w:val="20"/>
        </w:rPr>
        <w:t xml:space="preserve">granted </w:t>
      </w:r>
      <w:r>
        <w:rPr>
          <w:sz w:val="20"/>
        </w:rPr>
        <w:t xml:space="preserve">jointly via Public Notice </w:t>
      </w:r>
      <w:r w:rsidRPr="004A00E5">
        <w:rPr>
          <w:sz w:val="20"/>
        </w:rPr>
        <w:t>on January 16, 2018</w:t>
      </w:r>
      <w:r>
        <w:rPr>
          <w:sz w:val="20"/>
        </w:rPr>
        <w:t xml:space="preserve">, in </w:t>
      </w:r>
      <w:r w:rsidRPr="004A00E5">
        <w:rPr>
          <w:sz w:val="20"/>
        </w:rPr>
        <w:t xml:space="preserve">WC Docket Nos. 17-353, 17-268, </w:t>
      </w:r>
      <w:r>
        <w:rPr>
          <w:sz w:val="20"/>
        </w:rPr>
        <w:t xml:space="preserve">and </w:t>
      </w:r>
      <w:r w:rsidRPr="004A00E5">
        <w:rPr>
          <w:sz w:val="20"/>
        </w:rPr>
        <w:t>17-27</w:t>
      </w:r>
      <w:r>
        <w:rPr>
          <w:sz w:val="20"/>
        </w:rPr>
        <w:t>3</w:t>
      </w:r>
      <w:r w:rsidRPr="004A00E5">
        <w:rPr>
          <w:sz w:val="20"/>
        </w:rPr>
        <w:t>.  In the first, the Bureau granted the acquisition of certain assets of the Bristol Virginia Utilities Authority by Sunset Fiber</w:t>
      </w:r>
      <w:r>
        <w:rPr>
          <w:sz w:val="20"/>
        </w:rPr>
        <w:t xml:space="preserve"> (a subsidiary of Sunset Digital)</w:t>
      </w:r>
      <w:r w:rsidRPr="004A00E5">
        <w:rPr>
          <w:sz w:val="20"/>
        </w:rPr>
        <w:t xml:space="preserve">.  </w:t>
      </w:r>
      <w:r>
        <w:rPr>
          <w:i/>
          <w:sz w:val="20"/>
        </w:rPr>
        <w:t xml:space="preserve">See </w:t>
      </w:r>
      <w:r w:rsidRPr="008A4682">
        <w:rPr>
          <w:i/>
          <w:sz w:val="20"/>
        </w:rPr>
        <w:t>Notice of Domestic Section 214 Authorizations Granted</w:t>
      </w:r>
      <w:r w:rsidRPr="004A00E5">
        <w:rPr>
          <w:sz w:val="20"/>
        </w:rPr>
        <w:t xml:space="preserve">, </w:t>
      </w:r>
      <w:r>
        <w:rPr>
          <w:sz w:val="20"/>
        </w:rPr>
        <w:t xml:space="preserve">Public Notice, 33 FCC Rcd 165, 166 (2018).  </w:t>
      </w:r>
      <w:r w:rsidRPr="008E00E2">
        <w:rPr>
          <w:sz w:val="20"/>
        </w:rPr>
        <w:t xml:space="preserve">In the second, the Bureau had granted a transfer of control application </w:t>
      </w:r>
      <w:r>
        <w:rPr>
          <w:sz w:val="20"/>
        </w:rPr>
        <w:t>with an unrelated purchaser,</w:t>
      </w:r>
      <w:r w:rsidRPr="008E00E2">
        <w:rPr>
          <w:sz w:val="20"/>
        </w:rPr>
        <w:t xml:space="preserve"> </w:t>
      </w:r>
      <w:r w:rsidRPr="004A00E5">
        <w:rPr>
          <w:sz w:val="20"/>
        </w:rPr>
        <w:t>H.I.G</w:t>
      </w:r>
      <w:r w:rsidRPr="004A00E5">
        <w:rPr>
          <w:sz w:val="20"/>
        </w:rPr>
        <w:t>. Capital Partners V, L.P.</w:t>
      </w:r>
      <w:r>
        <w:rPr>
          <w:sz w:val="20"/>
        </w:rPr>
        <w:t xml:space="preserve">, which </w:t>
      </w:r>
      <w:r w:rsidRPr="008E00E2">
        <w:rPr>
          <w:sz w:val="20"/>
        </w:rPr>
        <w:t>had not been consummated</w:t>
      </w:r>
      <w:r w:rsidRPr="004A00E5">
        <w:rPr>
          <w:sz w:val="20"/>
        </w:rPr>
        <w:t xml:space="preserve"> and</w:t>
      </w:r>
      <w:r w:rsidRPr="006D0E68">
        <w:rPr>
          <w:sz w:val="20"/>
        </w:rPr>
        <w:t xml:space="preserve"> </w:t>
      </w:r>
      <w:r w:rsidRPr="008E00E2">
        <w:rPr>
          <w:sz w:val="20"/>
        </w:rPr>
        <w:t xml:space="preserve">which was being </w:t>
      </w:r>
      <w:r>
        <w:rPr>
          <w:sz w:val="20"/>
        </w:rPr>
        <w:t xml:space="preserve">abandoned and </w:t>
      </w:r>
      <w:r w:rsidRPr="008E00E2">
        <w:rPr>
          <w:sz w:val="20"/>
        </w:rPr>
        <w:t>replaced by the proposed transaction with ITC</w:t>
      </w:r>
      <w:r>
        <w:rPr>
          <w:sz w:val="20"/>
        </w:rPr>
        <w:t>/</w:t>
      </w:r>
      <w:r w:rsidRPr="008E00E2">
        <w:rPr>
          <w:sz w:val="20"/>
        </w:rPr>
        <w:t>Point</w:t>
      </w:r>
      <w:r>
        <w:rPr>
          <w:sz w:val="20"/>
        </w:rPr>
        <w:t xml:space="preserve"> </w:t>
      </w:r>
      <w:r w:rsidRPr="008E00E2">
        <w:rPr>
          <w:sz w:val="20"/>
        </w:rPr>
        <w:t>Broadband</w:t>
      </w:r>
      <w:r w:rsidRPr="004A00E5">
        <w:rPr>
          <w:sz w:val="20"/>
        </w:rPr>
        <w:t xml:space="preserve">.  </w:t>
      </w:r>
      <w:r w:rsidRPr="004A00E5">
        <w:rPr>
          <w:i/>
          <w:sz w:val="20"/>
        </w:rPr>
        <w:t>See id.</w:t>
      </w:r>
      <w:r>
        <w:rPr>
          <w:sz w:val="20"/>
        </w:rPr>
        <w:t xml:space="preserve">; </w:t>
      </w:r>
      <w:r w:rsidRPr="000E32CE">
        <w:rPr>
          <w:i/>
          <w:sz w:val="20"/>
        </w:rPr>
        <w:t>see also</w:t>
      </w:r>
      <w:r>
        <w:rPr>
          <w:sz w:val="20"/>
        </w:rPr>
        <w:t xml:space="preserve"> </w:t>
      </w:r>
      <w:r w:rsidRPr="008D3043">
        <w:rPr>
          <w:sz w:val="20"/>
        </w:rPr>
        <w:t>SDC’s</w:t>
      </w:r>
      <w:r w:rsidRPr="000E32CE">
        <w:rPr>
          <w:i/>
          <w:sz w:val="20"/>
        </w:rPr>
        <w:t xml:space="preserve"> </w:t>
      </w:r>
      <w:r>
        <w:rPr>
          <w:i/>
          <w:sz w:val="20"/>
        </w:rPr>
        <w:t xml:space="preserve">Section </w:t>
      </w:r>
      <w:r w:rsidRPr="000E32CE">
        <w:rPr>
          <w:i/>
          <w:sz w:val="20"/>
        </w:rPr>
        <w:t>214 Application Comment Public Notice</w:t>
      </w:r>
      <w:r>
        <w:rPr>
          <w:sz w:val="20"/>
        </w:rPr>
        <w:t xml:space="preserve">, 33 FCC Rcd 3927, 3927 </w:t>
      </w:r>
      <w:r w:rsidRPr="004A00E5">
        <w:rPr>
          <w:sz w:val="20"/>
        </w:rPr>
        <w:t xml:space="preserve">at </w:t>
      </w:r>
      <w:r w:rsidRPr="004A00E5">
        <w:rPr>
          <w:sz w:val="20"/>
        </w:rPr>
        <w:t>n.2</w:t>
      </w:r>
      <w:r>
        <w:rPr>
          <w:sz w:val="20"/>
        </w:rPr>
        <w:t xml:space="preserve"> (</w:t>
      </w:r>
      <w:r w:rsidRPr="004A00E5">
        <w:rPr>
          <w:sz w:val="20"/>
        </w:rPr>
        <w:t>citing</w:t>
      </w:r>
      <w:r>
        <w:rPr>
          <w:sz w:val="20"/>
        </w:rPr>
        <w:t xml:space="preserve"> </w:t>
      </w:r>
      <w:r w:rsidRPr="004A00E5">
        <w:rPr>
          <w:sz w:val="20"/>
        </w:rPr>
        <w:t xml:space="preserve">Letter from Robert J. </w:t>
      </w:r>
      <w:r w:rsidRPr="004A00E5">
        <w:rPr>
          <w:sz w:val="20"/>
        </w:rPr>
        <w:t>Gastner</w:t>
      </w:r>
      <w:r w:rsidRPr="004A00E5">
        <w:rPr>
          <w:sz w:val="20"/>
        </w:rPr>
        <w:t>, counsel to Applicants, to Marlene Dortch, Secretary, FCC, WC Docket No. 17-273 (filed April 17, 2018)</w:t>
      </w:r>
      <w:r>
        <w:rPr>
          <w:sz w:val="20"/>
        </w:rPr>
        <w:t>)</w:t>
      </w:r>
      <w:r w:rsidRPr="004A00E5">
        <w:rPr>
          <w:sz w:val="20"/>
        </w:rPr>
        <w:t xml:space="preserve">.  </w:t>
      </w:r>
    </w:p>
  </w:footnote>
  <w:footnote w:id="20">
    <w:p w:rsidR="00D43369" w:rsidRPr="0001649C" w:rsidP="00D43369">
      <w:pPr>
        <w:pStyle w:val="FootnoteText"/>
      </w:pPr>
      <w:r w:rsidRPr="0001649C">
        <w:rPr>
          <w:rStyle w:val="FootnoteReference"/>
        </w:rPr>
        <w:footnoteRef/>
      </w:r>
      <w:r w:rsidRPr="0001649C">
        <w:t xml:space="preserve"> </w:t>
      </w:r>
      <w:r>
        <w:rPr>
          <w:i/>
        </w:rPr>
        <w:t xml:space="preserve">See </w:t>
      </w:r>
      <w:r w:rsidRPr="0001649C">
        <w:rPr>
          <w:i/>
        </w:rPr>
        <w:t>Notice of Domestic Section 214 Authorization Granted</w:t>
      </w:r>
      <w:r w:rsidRPr="0001649C">
        <w:t xml:space="preserve">, </w:t>
      </w:r>
      <w:r>
        <w:t>Public Notice, 33 FCC Rcd 5203 (</w:t>
      </w:r>
      <w:r w:rsidRPr="0001649C">
        <w:t>2018).</w:t>
      </w:r>
      <w:r>
        <w:t xml:space="preserve">  </w:t>
      </w:r>
    </w:p>
  </w:footnote>
  <w:footnote w:id="21">
    <w:p w:rsidR="00D43369" w:rsidP="00D43369">
      <w:pPr>
        <w:pStyle w:val="FootnoteText"/>
      </w:pPr>
      <w:r>
        <w:rPr>
          <w:rStyle w:val="FootnoteReference"/>
        </w:rPr>
        <w:footnoteRef/>
      </w:r>
      <w:r>
        <w:t xml:space="preserve"> </w:t>
      </w:r>
      <w:r w:rsidRPr="00D26B54">
        <w:rPr>
          <w:i/>
        </w:rPr>
        <w:t>See</w:t>
      </w:r>
      <w:r>
        <w:t xml:space="preserve"> </w:t>
      </w:r>
      <w:r>
        <w:t>SDC’s</w:t>
      </w:r>
      <w:r>
        <w:t xml:space="preserve"> FCC Form 183, Agreement 1.  </w:t>
      </w:r>
      <w:r>
        <w:t>SDC</w:t>
      </w:r>
      <w:r>
        <w:t xml:space="preserve"> amended its short-form application to disclose ITC and Point Broadband in the </w:t>
      </w:r>
      <w:r>
        <w:t>DIH</w:t>
      </w:r>
      <w:r>
        <w:t xml:space="preserve"> data fields of its FCC Form 183, with the ownership percentages held by each of the </w:t>
      </w:r>
      <w:r>
        <w:t>DIHs</w:t>
      </w:r>
      <w:r>
        <w:t xml:space="preserve"> being the same as those proposed in </w:t>
      </w:r>
      <w:r>
        <w:t>SDC’s</w:t>
      </w:r>
      <w:r>
        <w:t xml:space="preserve"> Section 214 Application.  </w:t>
      </w:r>
      <w:bookmarkStart w:id="7" w:name="_Hlk14167211"/>
      <w:r>
        <w:rPr>
          <w:i/>
        </w:rPr>
        <w:t xml:space="preserve">See </w:t>
      </w:r>
      <w:r>
        <w:t>SDC’s</w:t>
      </w:r>
      <w:r>
        <w:t xml:space="preserve"> FCC Form 183, </w:t>
      </w:r>
      <w:r>
        <w:t>DIH</w:t>
      </w:r>
      <w:r>
        <w:t xml:space="preserve"> entries under Ownership tab.  In addition to confirming that the </w:t>
      </w:r>
      <w:r>
        <w:t>Elswicks</w:t>
      </w:r>
      <w:r>
        <w:t xml:space="preserve"> would remain the co-owners </w:t>
      </w:r>
      <w:r>
        <w:t>during the course of</w:t>
      </w:r>
      <w:r>
        <w:t xml:space="preserve"> the auction, </w:t>
      </w:r>
      <w:r>
        <w:t>SDC</w:t>
      </w:r>
      <w:r>
        <w:t xml:space="preserve"> also stated in an update to its application that “[r]</w:t>
      </w:r>
      <w:r>
        <w:t>eferences</w:t>
      </w:r>
      <w:r>
        <w:t xml:space="preserve"> to other Disclosable Interest Holders are therefore removed,” but it did not remove those names from the Form 183 data fields on its application.  </w:t>
      </w:r>
      <w:r w:rsidRPr="00D26B54">
        <w:rPr>
          <w:i/>
        </w:rPr>
        <w:t>See</w:t>
      </w:r>
      <w:r>
        <w:rPr>
          <w:i/>
        </w:rPr>
        <w:t xml:space="preserve"> </w:t>
      </w:r>
      <w:r>
        <w:t>SDC’s</w:t>
      </w:r>
      <w:r>
        <w:t xml:space="preserve"> FCC Form 183, Agreement 1-Resubmission.  </w:t>
      </w:r>
      <w:bookmarkEnd w:id="7"/>
    </w:p>
  </w:footnote>
  <w:footnote w:id="22">
    <w:p w:rsidR="00D43369" w:rsidP="00D43369">
      <w:pPr>
        <w:pStyle w:val="FootnoteText"/>
      </w:pPr>
      <w:r>
        <w:rPr>
          <w:rStyle w:val="FootnoteReference"/>
        </w:rPr>
        <w:footnoteRef/>
      </w:r>
      <w:r>
        <w:t xml:space="preserve"> </w:t>
      </w:r>
      <w:r w:rsidRPr="00D26B54">
        <w:rPr>
          <w:i/>
        </w:rPr>
        <w:t>See</w:t>
      </w:r>
      <w:r>
        <w:rPr>
          <w:i/>
        </w:rPr>
        <w:t xml:space="preserve"> i</w:t>
      </w:r>
      <w:r w:rsidRPr="00B94386">
        <w:rPr>
          <w:i/>
        </w:rPr>
        <w:t>d</w:t>
      </w:r>
      <w:r>
        <w:t xml:space="preserve">. </w:t>
      </w:r>
    </w:p>
  </w:footnote>
  <w:footnote w:id="23">
    <w:p w:rsidR="00D43369" w:rsidP="00D43369">
      <w:pPr>
        <w:pStyle w:val="FootnoteText"/>
      </w:pPr>
      <w:r>
        <w:rPr>
          <w:rStyle w:val="FootnoteReference"/>
        </w:rPr>
        <w:footnoteRef/>
      </w:r>
      <w:r>
        <w:t xml:space="preserve"> </w:t>
      </w:r>
      <w:r>
        <w:rPr>
          <w:i/>
        </w:rPr>
        <w:t>See Auction 903 Closing Public Notice</w:t>
      </w:r>
      <w:r>
        <w:t xml:space="preserve">, 33 FCC Rcd 8257. </w:t>
      </w:r>
    </w:p>
  </w:footnote>
  <w:footnote w:id="24">
    <w:p w:rsidR="00D43369" w:rsidP="00D43369">
      <w:pPr>
        <w:pStyle w:val="FootnoteText"/>
      </w:pPr>
      <w:r>
        <w:rPr>
          <w:rStyle w:val="FootnoteReference"/>
        </w:rPr>
        <w:footnoteRef/>
      </w:r>
      <w:r>
        <w:t xml:space="preserve"> </w:t>
      </w:r>
      <w:r>
        <w:rPr>
          <w:i/>
        </w:rPr>
        <w:t>See id.</w:t>
      </w:r>
      <w:r>
        <w:t xml:space="preserve">, Attach. A.  </w:t>
      </w:r>
    </w:p>
  </w:footnote>
  <w:footnote w:id="25">
    <w:p w:rsidR="00D43369" w:rsidRPr="00556024" w:rsidP="00D43369">
      <w:pPr>
        <w:pStyle w:val="FootnoteText"/>
      </w:pPr>
      <w:r>
        <w:rPr>
          <w:rStyle w:val="FootnoteReference"/>
        </w:rPr>
        <w:footnoteRef/>
      </w:r>
      <w:r>
        <w:t xml:space="preserve"> </w:t>
      </w:r>
      <w:r>
        <w:rPr>
          <w:i/>
        </w:rPr>
        <w:t xml:space="preserve">See </w:t>
      </w:r>
      <w:r w:rsidRPr="00DB0848">
        <w:rPr>
          <w:rStyle w:val="FootnoteTextChar3"/>
          <w:i/>
        </w:rPr>
        <w:t>134 Long-Form Applicants in the Connect America Fund Phase II Auction (Auction 903)</w:t>
      </w:r>
      <w:r w:rsidRPr="00DB0848">
        <w:rPr>
          <w:rStyle w:val="FootnoteTextChar3"/>
        </w:rPr>
        <w:t>, Public Notice, 33</w:t>
      </w:r>
      <w:r>
        <w:rPr>
          <w:rStyle w:val="FootnoteTextChar3"/>
        </w:rPr>
        <w:t> </w:t>
      </w:r>
      <w:r w:rsidRPr="00DB0848">
        <w:rPr>
          <w:rStyle w:val="FootnoteTextChar3"/>
        </w:rPr>
        <w:t>FCC Rcd 10967 (2018).</w:t>
      </w:r>
    </w:p>
  </w:footnote>
  <w:footnote w:id="26">
    <w:p w:rsidR="00D43369" w:rsidP="00D43369">
      <w:pPr>
        <w:pStyle w:val="FootnoteText"/>
      </w:pPr>
      <w:r>
        <w:rPr>
          <w:rStyle w:val="FootnoteReference"/>
        </w:rPr>
        <w:footnoteRef/>
      </w:r>
      <w:r>
        <w:t xml:space="preserve"> </w:t>
      </w:r>
      <w:r>
        <w:t>SDC</w:t>
      </w:r>
      <w:r>
        <w:t xml:space="preserve"> Petition for Waiver.  Absent the grant of a waiver, if an applicant makes a major modification to its long-form application, the application shall be denied.  Major modifications include, but are not limited to, any changes in the ownership of the applicant that constitute an assignment or transfer of control, or changes in the identity of the long-form applicant.  </w:t>
      </w:r>
      <w:r w:rsidRPr="00907BD7">
        <w:rPr>
          <w:i/>
        </w:rPr>
        <w:t>See</w:t>
      </w:r>
      <w:r w:rsidRPr="00864112">
        <w:rPr>
          <w:i/>
        </w:rPr>
        <w:t xml:space="preserve"> </w:t>
      </w:r>
      <w:r w:rsidRPr="00ED5762">
        <w:t>47 CFR § 54.315(b)(6)(iv).</w:t>
      </w:r>
      <w:r>
        <w:t xml:space="preserve">  </w:t>
      </w:r>
    </w:p>
  </w:footnote>
  <w:footnote w:id="27">
    <w:p w:rsidR="00D43369" w:rsidP="00D43369">
      <w:pPr>
        <w:pStyle w:val="FootnoteText"/>
      </w:pPr>
      <w:r>
        <w:rPr>
          <w:rStyle w:val="FootnoteReference"/>
        </w:rPr>
        <w:footnoteRef/>
      </w:r>
      <w:r>
        <w:t xml:space="preserve"> The proposed post-consummation ownership percentages are the same as those listed in the stock acquisition transaction that had initially been described in </w:t>
      </w:r>
      <w:r>
        <w:t>SDC’s</w:t>
      </w:r>
      <w:r>
        <w:t xml:space="preserve"> Section 214 Application; namely, </w:t>
      </w:r>
      <w:r w:rsidRPr="006E21DF">
        <w:t>Point Broadband would hold a 59.5% interest in Sunset Digital Holding, and Paul Elswick and Ryan Elswick would each hold a 16.5% interest</w:t>
      </w:r>
      <w:r>
        <w:t xml:space="preserve"> in Sunset Digital Holding</w:t>
      </w:r>
      <w:r w:rsidRPr="00554103">
        <w:t xml:space="preserve">. </w:t>
      </w:r>
      <w:r>
        <w:t xml:space="preserve"> </w:t>
      </w:r>
      <w:r w:rsidRPr="00B6494D">
        <w:rPr>
          <w:i/>
        </w:rPr>
        <w:t>See</w:t>
      </w:r>
      <w:r w:rsidRPr="00B6494D">
        <w:t xml:space="preserve"> </w:t>
      </w:r>
      <w:r w:rsidRPr="00B6494D">
        <w:t>SDC</w:t>
      </w:r>
      <w:r w:rsidRPr="00B6494D">
        <w:t xml:space="preserve"> Petition for Waiver at Attachment A.</w:t>
      </w:r>
      <w:r>
        <w:t xml:space="preserve">  </w:t>
      </w:r>
      <w:bookmarkStart w:id="8" w:name="_Hlk13758959"/>
      <w:r>
        <w:t>SDC</w:t>
      </w:r>
      <w:r>
        <w:t xml:space="preserve"> contends that this asset purchase transaction is not “materially different” than the transaction approved by WCB.  </w:t>
      </w:r>
      <w:bookmarkEnd w:id="8"/>
      <w:r>
        <w:rPr>
          <w:i/>
        </w:rPr>
        <w:t xml:space="preserve">See </w:t>
      </w:r>
      <w:r w:rsidRPr="002564AE">
        <w:t>SDC</w:t>
      </w:r>
      <w:r>
        <w:t xml:space="preserve"> </w:t>
      </w:r>
      <w:r w:rsidRPr="002564AE">
        <w:t>Petition for Waiver</w:t>
      </w:r>
      <w:r>
        <w:t xml:space="preserve"> </w:t>
      </w:r>
      <w:r>
        <w:t>at 2-3.</w:t>
      </w:r>
    </w:p>
  </w:footnote>
  <w:footnote w:id="28">
    <w:p w:rsidR="00D43369" w:rsidP="00D43369">
      <w:pPr>
        <w:pStyle w:val="FootnoteText"/>
      </w:pPr>
      <w:r>
        <w:rPr>
          <w:rStyle w:val="FootnoteReference"/>
        </w:rPr>
        <w:footnoteRef/>
      </w:r>
      <w:r>
        <w:t xml:space="preserve"> </w:t>
      </w:r>
      <w:r>
        <w:rPr>
          <w:i/>
        </w:rPr>
        <w:t xml:space="preserve">See </w:t>
      </w:r>
      <w:r>
        <w:t>SDC</w:t>
      </w:r>
      <w:r>
        <w:t xml:space="preserve"> Petition for Waiver at 3.</w:t>
      </w:r>
    </w:p>
  </w:footnote>
  <w:footnote w:id="29">
    <w:p w:rsidR="00D43369" w:rsidP="00D43369">
      <w:pPr>
        <w:pStyle w:val="FootnoteText"/>
      </w:pPr>
      <w:r>
        <w:rPr>
          <w:rStyle w:val="FootnoteReference"/>
        </w:rPr>
        <w:footnoteRef/>
      </w:r>
      <w:r>
        <w:t xml:space="preserve"> </w:t>
      </w:r>
      <w:r w:rsidRPr="007F102E">
        <w:rPr>
          <w:i/>
        </w:rPr>
        <w:t>Id</w:t>
      </w:r>
      <w:r>
        <w:t xml:space="preserve">. at 3-4, citing </w:t>
      </w:r>
      <w:r w:rsidRPr="00F41774">
        <w:rPr>
          <w:i/>
        </w:rPr>
        <w:t>Connect America Fund, Petition of Hawaiian Telecom Inc. et. al</w:t>
      </w:r>
      <w:r>
        <w:t xml:space="preserve">. </w:t>
      </w:r>
      <w:r w:rsidRPr="006E21DF">
        <w:t xml:space="preserve">Order, </w:t>
      </w:r>
      <w:r>
        <w:t xml:space="preserve">33 FCC Rcd 6208 </w:t>
      </w:r>
      <w:r w:rsidRPr="006E21DF">
        <w:t>(WCB</w:t>
      </w:r>
      <w:r>
        <w:t>/</w:t>
      </w:r>
      <w:r w:rsidRPr="006E21DF">
        <w:t>WTB</w:t>
      </w:r>
      <w:r w:rsidRPr="006E21DF">
        <w:t xml:space="preserve"> 2018)</w:t>
      </w:r>
      <w:r>
        <w:t xml:space="preserve"> (</w:t>
      </w:r>
      <w:r w:rsidRPr="00A217C8">
        <w:rPr>
          <w:i/>
        </w:rPr>
        <w:t>Hawaiian Telecom</w:t>
      </w:r>
      <w:r>
        <w:t>) (granting waivers to permit auction applicants to make a major modification to their Auction 903 short-form applications)</w:t>
      </w:r>
      <w:r w:rsidRPr="006E21DF">
        <w:t>.</w:t>
      </w:r>
    </w:p>
  </w:footnote>
  <w:footnote w:id="30">
    <w:p w:rsidR="00D43369" w:rsidP="00D43369">
      <w:pPr>
        <w:pStyle w:val="FootnoteText"/>
      </w:pPr>
      <w:r>
        <w:rPr>
          <w:rStyle w:val="FootnoteReference"/>
        </w:rPr>
        <w:footnoteRef/>
      </w:r>
      <w:r>
        <w:t xml:space="preserve"> </w:t>
      </w:r>
      <w:r>
        <w:t>SDC</w:t>
      </w:r>
      <w:r>
        <w:t xml:space="preserve"> Petition for Waiver</w:t>
      </w:r>
      <w:r>
        <w:t xml:space="preserve"> </w:t>
      </w:r>
      <w:r>
        <w:t xml:space="preserve">at 6-7. </w:t>
      </w:r>
    </w:p>
  </w:footnote>
  <w:footnote w:id="31">
    <w:p w:rsidR="00D43369" w:rsidP="00D43369">
      <w:pPr>
        <w:pStyle w:val="FootnoteText"/>
      </w:pPr>
      <w:r>
        <w:rPr>
          <w:rStyle w:val="FootnoteReference"/>
        </w:rPr>
        <w:footnoteRef/>
      </w:r>
      <w:r>
        <w:t xml:space="preserve"> 47 CFR § 1.3 (“</w:t>
      </w:r>
      <w:r w:rsidRPr="004E68B3">
        <w:rPr>
          <w:snapToGrid w:val="0"/>
          <w:kern w:val="28"/>
        </w:rPr>
        <w:t xml:space="preserve">Any provision of the rules may be waived by the </w:t>
      </w:r>
      <w:hyperlink r:id="rId3" w:tooltip="Commission" w:history="1">
        <w:r w:rsidRPr="00355E9F">
          <w:rPr>
            <w:snapToGrid w:val="0"/>
            <w:kern w:val="28"/>
          </w:rPr>
          <w:t>Commission</w:t>
        </w:r>
      </w:hyperlink>
      <w:r w:rsidRPr="004E68B3">
        <w:rPr>
          <w:snapToGrid w:val="0"/>
          <w:kern w:val="28"/>
        </w:rPr>
        <w:t xml:space="preserve"> on its own motion or on petition if good cause therefor is shown.</w:t>
      </w:r>
      <w:r>
        <w:rPr>
          <w:snapToGrid w:val="0"/>
          <w:kern w:val="28"/>
        </w:rPr>
        <w:t>”).</w:t>
      </w:r>
    </w:p>
  </w:footnote>
  <w:footnote w:id="32">
    <w:p w:rsidR="00D43369" w:rsidP="00D43369">
      <w:pPr>
        <w:pStyle w:val="FootnoteText"/>
      </w:pPr>
      <w:r>
        <w:rPr>
          <w:rStyle w:val="FootnoteReference"/>
        </w:rPr>
        <w:footnoteRef/>
      </w:r>
      <w:r>
        <w:t xml:space="preserve"> </w:t>
      </w:r>
      <w:r w:rsidRPr="00DE51AF">
        <w:rPr>
          <w:i/>
        </w:rPr>
        <w:t>Ne. Cellular Tel</w:t>
      </w:r>
      <w:r>
        <w:rPr>
          <w:i/>
        </w:rPr>
        <w:t>.</w:t>
      </w:r>
      <w:r w:rsidRPr="00DE51AF">
        <w:rPr>
          <w:i/>
        </w:rPr>
        <w:t xml:space="preserve"> Co. v. FCC</w:t>
      </w:r>
      <w:r>
        <w:t xml:space="preserve">, 897 </w:t>
      </w:r>
      <w:r>
        <w:t>F.2d</w:t>
      </w:r>
      <w:r>
        <w:t xml:space="preserve"> 1164, 1166 (D.C. Cir. 1990).</w:t>
      </w:r>
    </w:p>
  </w:footnote>
  <w:footnote w:id="33">
    <w:p w:rsidR="00D43369" w:rsidP="00D43369">
      <w:pPr>
        <w:pStyle w:val="FootnoteText"/>
      </w:pPr>
      <w:r>
        <w:rPr>
          <w:rStyle w:val="FootnoteReference"/>
        </w:rPr>
        <w:footnoteRef/>
      </w:r>
      <w:r>
        <w:t xml:space="preserve"> </w:t>
      </w:r>
      <w:r w:rsidRPr="00E43C57">
        <w:rPr>
          <w:i/>
        </w:rPr>
        <w:t>WAIT Radio v. FCC</w:t>
      </w:r>
      <w:r>
        <w:t xml:space="preserve">, 418 </w:t>
      </w:r>
      <w:r>
        <w:t>F.2d</w:t>
      </w:r>
      <w:r>
        <w:t xml:space="preserve"> 1153, 1159 (D.C. Cir. 1969).</w:t>
      </w:r>
    </w:p>
  </w:footnote>
  <w:footnote w:id="34">
    <w:p w:rsidR="00D43369" w:rsidP="00D43369">
      <w:pPr>
        <w:pStyle w:val="FootnoteText"/>
      </w:pPr>
      <w:r>
        <w:rPr>
          <w:rStyle w:val="FootnoteReference"/>
        </w:rPr>
        <w:footnoteRef/>
      </w:r>
      <w:r>
        <w:t xml:space="preserve"> </w:t>
      </w:r>
      <w:r w:rsidRPr="00DE51AF">
        <w:rPr>
          <w:i/>
        </w:rPr>
        <w:t>Ne. Cellular Tel</w:t>
      </w:r>
      <w:r>
        <w:rPr>
          <w:i/>
        </w:rPr>
        <w:t>.</w:t>
      </w:r>
      <w:r w:rsidRPr="00DE51AF">
        <w:rPr>
          <w:i/>
        </w:rPr>
        <w:t xml:space="preserve"> Co.</w:t>
      </w:r>
      <w:r>
        <w:t xml:space="preserve">, 897 </w:t>
      </w:r>
      <w:r>
        <w:t>F.2d</w:t>
      </w:r>
      <w:r>
        <w:t xml:space="preserve"> at 1166.</w:t>
      </w:r>
    </w:p>
  </w:footnote>
  <w:footnote w:id="35">
    <w:p w:rsidR="00D43369" w:rsidRPr="00E74049" w:rsidP="00D43369">
      <w:pPr>
        <w:pStyle w:val="FootnoteText"/>
      </w:pPr>
      <w:r>
        <w:rPr>
          <w:rStyle w:val="FootnoteReference"/>
        </w:rPr>
        <w:footnoteRef/>
      </w:r>
      <w:r>
        <w:t xml:space="preserve"> </w:t>
      </w:r>
      <w:r>
        <w:rPr>
          <w:i/>
        </w:rPr>
        <w:t xml:space="preserve">See, e.g., </w:t>
      </w:r>
      <w:r w:rsidRPr="00F93100">
        <w:rPr>
          <w:i/>
          <w:color w:val="000000"/>
        </w:rPr>
        <w:t xml:space="preserve">Request for Permanent Renewal of, and Changes to Conditions on, Waiver Granted to </w:t>
      </w:r>
      <w:r w:rsidRPr="00F93100">
        <w:rPr>
          <w:i/>
          <w:color w:val="000000"/>
        </w:rPr>
        <w:t>SafeView</w:t>
      </w:r>
      <w:r w:rsidRPr="00F93100">
        <w:rPr>
          <w:i/>
          <w:color w:val="000000"/>
        </w:rPr>
        <w:t>, Inc.</w:t>
      </w:r>
      <w:r>
        <w:rPr>
          <w:color w:val="000000"/>
        </w:rPr>
        <w:t>, Order, 26 FCC Rcd 10250, 10252 (</w:t>
      </w:r>
      <w:r>
        <w:rPr>
          <w:color w:val="000000"/>
        </w:rPr>
        <w:t>OET</w:t>
      </w:r>
      <w:r>
        <w:rPr>
          <w:color w:val="000000"/>
        </w:rPr>
        <w:t xml:space="preserve"> 2011) (citing </w:t>
      </w:r>
      <w:r>
        <w:rPr>
          <w:i/>
          <w:color w:val="000000"/>
        </w:rPr>
        <w:t>Ne. Cellular Tel. Co.</w:t>
      </w:r>
      <w:r>
        <w:rPr>
          <w:color w:val="000000"/>
        </w:rPr>
        <w:t xml:space="preserve">, </w:t>
      </w:r>
      <w:r w:rsidRPr="00D74A5D">
        <w:rPr>
          <w:color w:val="000000"/>
        </w:rPr>
        <w:t xml:space="preserve">897 </w:t>
      </w:r>
      <w:r w:rsidRPr="00D74A5D">
        <w:rPr>
          <w:color w:val="000000"/>
        </w:rPr>
        <w:t>F.2d</w:t>
      </w:r>
      <w:r w:rsidRPr="00D74A5D">
        <w:rPr>
          <w:color w:val="000000"/>
        </w:rPr>
        <w:t xml:space="preserve"> at 1166</w:t>
      </w:r>
      <w:r>
        <w:rPr>
          <w:color w:val="000000"/>
        </w:rPr>
        <w:t xml:space="preserve">); </w:t>
      </w:r>
      <w:r>
        <w:rPr>
          <w:i/>
          <w:color w:val="000000"/>
        </w:rPr>
        <w:t>see also</w:t>
      </w:r>
      <w:r w:rsidRPr="00C76DEA">
        <w:rPr>
          <w:i/>
        </w:rPr>
        <w:t xml:space="preserve"> WAIT Radio</w:t>
      </w:r>
      <w:r w:rsidRPr="00C76DEA">
        <w:t xml:space="preserve">, 418 </w:t>
      </w:r>
      <w:r w:rsidRPr="00C76DEA">
        <w:t>F.2d</w:t>
      </w:r>
      <w:r>
        <w:t xml:space="preserve"> at</w:t>
      </w:r>
      <w:r w:rsidRPr="00C76DEA">
        <w:t xml:space="preserve"> 1155, 1157</w:t>
      </w:r>
      <w:r>
        <w:t>.</w:t>
      </w:r>
      <w:r w:rsidRPr="00C76DEA">
        <w:t xml:space="preserve"> </w:t>
      </w:r>
      <w:r>
        <w:t xml:space="preserve"> The </w:t>
      </w:r>
      <w:r>
        <w:rPr>
          <w:rStyle w:val="cosearchterm"/>
        </w:rPr>
        <w:t>waiver</w:t>
      </w:r>
      <w:r>
        <w:t xml:space="preserve"> standard applied under S</w:t>
      </w:r>
      <w:r w:rsidRPr="006B38FD">
        <w:t xml:space="preserve">ection 1.3 </w:t>
      </w:r>
      <w:r>
        <w:t xml:space="preserve">is substantially the same as </w:t>
      </w:r>
      <w:r w:rsidRPr="006B38FD">
        <w:t xml:space="preserve">the waiver standard applied </w:t>
      </w:r>
      <w:r>
        <w:t xml:space="preserve">under Section 1.925 </w:t>
      </w:r>
      <w:r w:rsidRPr="006B38FD">
        <w:t>in the context of wireles</w:t>
      </w:r>
      <w:r>
        <w:t>s radio services licenses</w:t>
      </w:r>
      <w:r w:rsidRPr="006B38FD">
        <w:t xml:space="preserve">. </w:t>
      </w:r>
      <w:r>
        <w:t xml:space="preserve"> </w:t>
      </w:r>
      <w:r w:rsidRPr="00502C64">
        <w:rPr>
          <w:i/>
        </w:rPr>
        <w:t>See</w:t>
      </w:r>
      <w:r>
        <w:t xml:space="preserve"> </w:t>
      </w:r>
      <w:r w:rsidRPr="00BB3AF2">
        <w:rPr>
          <w:i/>
        </w:rPr>
        <w:t>Delta Radio, Inc</w:t>
      </w:r>
      <w:r w:rsidRPr="006B38FD">
        <w:t>., Memorandum Opinion and</w:t>
      </w:r>
      <w:r>
        <w:t xml:space="preserve"> Order, 18 FCC Rcd 16889, 16891, para.</w:t>
      </w:r>
      <w:r w:rsidRPr="006B38FD">
        <w:t xml:space="preserve"> 7 &amp; </w:t>
      </w:r>
      <w:r w:rsidRPr="006B38FD">
        <w:t>n.19</w:t>
      </w:r>
      <w:r w:rsidRPr="006B38FD">
        <w:t xml:space="preserve"> (2003) (citing </w:t>
      </w:r>
      <w:r w:rsidRPr="00BB3AF2">
        <w:rPr>
          <w:i/>
        </w:rPr>
        <w:t>Bellsouth Corp</w:t>
      </w:r>
      <w:r>
        <w:rPr>
          <w:i/>
        </w:rPr>
        <w:t>.</w:t>
      </w:r>
      <w:r w:rsidRPr="00BB3AF2">
        <w:rPr>
          <w:i/>
        </w:rPr>
        <w:t xml:space="preserve"> v. FCC</w:t>
      </w:r>
      <w:r w:rsidRPr="006B38FD">
        <w:t xml:space="preserve">, 162 </w:t>
      </w:r>
      <w:r w:rsidRPr="006B38FD">
        <w:t>F.3d</w:t>
      </w:r>
      <w:r w:rsidRPr="006B38FD">
        <w:t xml:space="preserve"> 1215, 1225 </w:t>
      </w:r>
      <w:r w:rsidRPr="006B38FD">
        <w:t>n.10</w:t>
      </w:r>
      <w:r w:rsidRPr="006B38FD">
        <w:t xml:space="preserve"> (D.C. Cir. 1999))</w:t>
      </w:r>
      <w:r>
        <w:t>; 47 CFR § 1.925</w:t>
      </w:r>
      <w:r w:rsidRPr="006B38FD">
        <w:t xml:space="preserve">.  </w:t>
      </w:r>
    </w:p>
  </w:footnote>
  <w:footnote w:id="36">
    <w:p w:rsidR="00D43369" w:rsidP="00D43369">
      <w:pPr>
        <w:pStyle w:val="FootnoteText"/>
      </w:pPr>
      <w:r>
        <w:rPr>
          <w:rStyle w:val="FootnoteReference"/>
        </w:rPr>
        <w:footnoteRef/>
      </w:r>
      <w:r>
        <w:t xml:space="preserve"> </w:t>
      </w:r>
      <w:r>
        <w:rPr>
          <w:i/>
        </w:rPr>
        <w:t xml:space="preserve">See </w:t>
      </w:r>
      <w:r>
        <w:t>SDC</w:t>
      </w:r>
      <w:r>
        <w:t xml:space="preserve"> Petition for Waiver</w:t>
      </w:r>
      <w:r>
        <w:t xml:space="preserve"> </w:t>
      </w:r>
      <w:r>
        <w:t xml:space="preserve">at 3-6, citing </w:t>
      </w:r>
      <w:r w:rsidRPr="00A217C8">
        <w:rPr>
          <w:i/>
        </w:rPr>
        <w:t>Hawaiian Telecom</w:t>
      </w:r>
      <w:r>
        <w:t>, 33 FCC Rcd at 6211, para. 9.</w:t>
      </w:r>
    </w:p>
  </w:footnote>
  <w:footnote w:id="37">
    <w:p w:rsidR="00D43369" w:rsidP="00D43369">
      <w:pPr>
        <w:pStyle w:val="FootnoteText"/>
      </w:pPr>
      <w:r>
        <w:rPr>
          <w:rStyle w:val="FootnoteReference"/>
        </w:rPr>
        <w:footnoteRef/>
      </w:r>
      <w:r>
        <w:t xml:space="preserve"> </w:t>
      </w:r>
      <w:r>
        <w:rPr>
          <w:i/>
        </w:rPr>
        <w:t>See</w:t>
      </w:r>
      <w:r>
        <w:t xml:space="preserve"> </w:t>
      </w:r>
      <w:r>
        <w:t>SDC</w:t>
      </w:r>
      <w:r>
        <w:t xml:space="preserve"> Section 214 Application.  The application included pre- and post-closing organizational charts.</w:t>
      </w:r>
    </w:p>
  </w:footnote>
  <w:footnote w:id="38">
    <w:p w:rsidR="00D43369" w:rsidP="00D43369">
      <w:pPr>
        <w:pStyle w:val="FootnoteText"/>
      </w:pPr>
      <w:r>
        <w:rPr>
          <w:rStyle w:val="FootnoteReference"/>
        </w:rPr>
        <w:footnoteRef/>
      </w:r>
      <w:r>
        <w:t xml:space="preserve"> </w:t>
      </w:r>
      <w:r>
        <w:rPr>
          <w:i/>
        </w:rPr>
        <w:t>See</w:t>
      </w:r>
      <w:r>
        <w:t xml:space="preserve"> </w:t>
      </w:r>
      <w:r>
        <w:t>SDC’s</w:t>
      </w:r>
      <w:r>
        <w:t xml:space="preserve"> FCC Form 183,</w:t>
      </w:r>
      <w:r w:rsidRPr="00456E63">
        <w:t xml:space="preserve"> </w:t>
      </w:r>
      <w:r>
        <w:t>Admin. Tab, Spectrum Access, Agreement 2, and Spectrum Attachment – Resubmission attachments</w:t>
      </w:r>
      <w:r w:rsidRPr="002E69E7">
        <w:t xml:space="preserve">. </w:t>
      </w:r>
      <w:r>
        <w:t xml:space="preserve"> </w:t>
      </w:r>
    </w:p>
  </w:footnote>
  <w:footnote w:id="39">
    <w:p w:rsidR="00D43369" w:rsidP="00D43369">
      <w:pPr>
        <w:pStyle w:val="FootnoteText"/>
      </w:pPr>
      <w:r>
        <w:rPr>
          <w:rStyle w:val="FootnoteReference"/>
        </w:rPr>
        <w:footnoteRef/>
      </w:r>
      <w:r>
        <w:t xml:space="preserve"> The Commission and the public were on notice that all the parties were continuing to pursue a transaction that would be consummated after the close of Auction 903.  </w:t>
      </w:r>
      <w:r w:rsidRPr="00D26B54">
        <w:rPr>
          <w:i/>
        </w:rPr>
        <w:t>See</w:t>
      </w:r>
      <w:r>
        <w:t xml:space="preserve"> </w:t>
      </w:r>
      <w:r>
        <w:t>SDC’s</w:t>
      </w:r>
      <w:r>
        <w:t xml:space="preserve"> FCC Form 183, Admin. Tab, Other Attachment.</w:t>
      </w:r>
    </w:p>
  </w:footnote>
  <w:footnote w:id="40">
    <w:p w:rsidR="00D43369" w:rsidRPr="000F3B8B" w:rsidP="00D43369">
      <w:pPr>
        <w:pStyle w:val="FootnoteText"/>
      </w:pPr>
      <w:r>
        <w:rPr>
          <w:rStyle w:val="FootnoteReference"/>
        </w:rPr>
        <w:footnoteRef/>
      </w:r>
      <w:r>
        <w:t xml:space="preserve"> </w:t>
      </w:r>
      <w:r w:rsidRPr="000F3B8B">
        <w:rPr>
          <w:i/>
        </w:rPr>
        <w:t>Id</w:t>
      </w:r>
      <w:r w:rsidRPr="000F3B8B">
        <w:t>.</w:t>
      </w:r>
      <w:r>
        <w:t>,</w:t>
      </w:r>
      <w:r w:rsidRPr="00B27E04">
        <w:t xml:space="preserve"> Admin. Tab, Other Attachment.</w:t>
      </w:r>
      <w:r w:rsidRPr="00B27E04">
        <w:t xml:space="preserve"> </w:t>
      </w:r>
      <w:r w:rsidRPr="0015437A">
        <w:t>SDC</w:t>
      </w:r>
      <w:r w:rsidRPr="000F3B8B">
        <w:t xml:space="preserve"> Petition for Waiver at 3</w:t>
      </w:r>
      <w:r>
        <w:t>, fn. 8</w:t>
      </w:r>
      <w:r w:rsidRPr="000F3B8B">
        <w:t xml:space="preserve">.  </w:t>
      </w:r>
    </w:p>
  </w:footnote>
  <w:footnote w:id="41">
    <w:p w:rsidR="00D43369" w:rsidP="00D43369">
      <w:pPr>
        <w:pStyle w:val="FootnoteText"/>
      </w:pPr>
      <w:r>
        <w:rPr>
          <w:rStyle w:val="FootnoteReference"/>
        </w:rPr>
        <w:footnoteRef/>
      </w:r>
      <w:r>
        <w:rPr>
          <w:i/>
        </w:rPr>
        <w:t xml:space="preserve"> </w:t>
      </w:r>
      <w:r w:rsidRPr="00D26B54">
        <w:rPr>
          <w:i/>
        </w:rPr>
        <w:t>See</w:t>
      </w:r>
      <w:r>
        <w:t xml:space="preserve"> </w:t>
      </w:r>
      <w:r>
        <w:t>SDC’s</w:t>
      </w:r>
      <w:r>
        <w:t xml:space="preserve"> FCC Form 183, Admin. Tab, Other Attachment. </w:t>
      </w:r>
    </w:p>
  </w:footnote>
  <w:footnote w:id="42">
    <w:p w:rsidR="00D43369" w:rsidP="00D43369">
      <w:pPr>
        <w:pStyle w:val="FootnoteText"/>
      </w:pPr>
      <w:r>
        <w:rPr>
          <w:rStyle w:val="FootnoteReference"/>
        </w:rPr>
        <w:footnoteRef/>
      </w:r>
      <w:r>
        <w:t xml:space="preserve"> </w:t>
      </w:r>
      <w:r w:rsidRPr="0015437A">
        <w:t>SDC</w:t>
      </w:r>
      <w:r w:rsidRPr="000F3B8B">
        <w:t xml:space="preserve"> Petition for Waiver at 3.</w:t>
      </w:r>
      <w:r>
        <w:t xml:space="preserve"> </w:t>
      </w:r>
    </w:p>
  </w:footnote>
  <w:footnote w:id="43">
    <w:p w:rsidR="00D43369" w:rsidP="00D43369">
      <w:pPr>
        <w:pStyle w:val="FootnoteText"/>
      </w:pPr>
      <w:r>
        <w:rPr>
          <w:rStyle w:val="FootnoteReference"/>
        </w:rPr>
        <w:footnoteRef/>
      </w:r>
      <w:r>
        <w:t xml:space="preserve"> </w:t>
      </w:r>
      <w:r w:rsidRPr="00547413">
        <w:rPr>
          <w:i/>
        </w:rPr>
        <w:t>Id</w:t>
      </w:r>
      <w:r>
        <w:t>.</w:t>
      </w:r>
    </w:p>
  </w:footnote>
  <w:footnote w:id="44">
    <w:p w:rsidR="00D43369" w:rsidP="00D43369">
      <w:pPr>
        <w:pStyle w:val="FootnoteText"/>
      </w:pPr>
      <w:r>
        <w:rPr>
          <w:rStyle w:val="FootnoteReference"/>
        </w:rPr>
        <w:footnoteRef/>
      </w:r>
      <w:r>
        <w:t xml:space="preserve"> </w:t>
      </w:r>
      <w:r>
        <w:rPr>
          <w:i/>
        </w:rPr>
        <w:t>Id.</w:t>
      </w:r>
      <w:r>
        <w:t xml:space="preserve"> at 5.</w:t>
      </w:r>
    </w:p>
  </w:footnote>
  <w:footnote w:id="45">
    <w:p w:rsidR="00D43369" w:rsidRPr="00C11697" w:rsidP="00D43369">
      <w:pPr>
        <w:pStyle w:val="FootnoteText"/>
      </w:pPr>
      <w:r>
        <w:rPr>
          <w:rStyle w:val="FootnoteReference"/>
        </w:rPr>
        <w:footnoteRef/>
      </w:r>
      <w:r>
        <w:t xml:space="preserve"> </w:t>
      </w:r>
      <w:r>
        <w:rPr>
          <w:i/>
        </w:rPr>
        <w:t xml:space="preserve">See </w:t>
      </w:r>
      <w:r w:rsidRPr="00A217C8">
        <w:rPr>
          <w:i/>
        </w:rPr>
        <w:t>Hawaiian Telecom</w:t>
      </w:r>
      <w:r>
        <w:t xml:space="preserve">, 33 FCC Rcd 6208.  </w:t>
      </w:r>
    </w:p>
  </w:footnote>
  <w:footnote w:id="46">
    <w:p w:rsidR="00D43369" w:rsidRPr="00187564" w:rsidP="00D43369">
      <w:pPr>
        <w:pStyle w:val="FootnoteText"/>
        <w:rPr>
          <w:color w:val="000000"/>
          <w:sz w:val="24"/>
          <w:szCs w:val="24"/>
        </w:rPr>
      </w:pPr>
      <w:r>
        <w:rPr>
          <w:rStyle w:val="FootnoteReference"/>
        </w:rPr>
        <w:footnoteRef/>
      </w:r>
      <w:r>
        <w:t xml:space="preserve">  </w:t>
      </w:r>
      <w:r>
        <w:rPr>
          <w:rStyle w:val="FootnoteTextChar3"/>
          <w:i/>
        </w:rPr>
        <w:t xml:space="preserve">Id. </w:t>
      </w:r>
      <w:r w:rsidRPr="00804269">
        <w:rPr>
          <w:rStyle w:val="FootnoteTextChar3"/>
        </w:rPr>
        <w:t>at</w:t>
      </w:r>
      <w:r w:rsidRPr="00115C1B">
        <w:rPr>
          <w:rStyle w:val="FootnoteTextChar3"/>
        </w:rPr>
        <w:t xml:space="preserve"> </w:t>
      </w:r>
      <w:r>
        <w:rPr>
          <w:rStyle w:val="FootnoteTextChar3"/>
        </w:rPr>
        <w:t>6211, para. 9</w:t>
      </w:r>
      <w:r w:rsidRPr="00F87296">
        <w:rPr>
          <w:rStyle w:val="FootnoteTextChar3"/>
        </w:rPr>
        <w:t>.</w:t>
      </w:r>
      <w:r>
        <w:t xml:space="preserve"> </w:t>
      </w:r>
    </w:p>
  </w:footnote>
  <w:footnote w:id="47">
    <w:p w:rsidR="00D43369" w:rsidRPr="00187564" w:rsidP="00D43369">
      <w:pPr>
        <w:pStyle w:val="FootnoteText"/>
        <w:rPr>
          <w:color w:val="000000"/>
          <w:sz w:val="24"/>
          <w:szCs w:val="24"/>
        </w:rPr>
      </w:pPr>
      <w:r>
        <w:rPr>
          <w:rStyle w:val="FootnoteReference"/>
        </w:rPr>
        <w:footnoteRef/>
      </w:r>
      <w:r>
        <w:t xml:space="preserve">  </w:t>
      </w:r>
      <w:r w:rsidRPr="0087790C">
        <w:rPr>
          <w:i/>
        </w:rPr>
        <w:t>Id</w:t>
      </w:r>
      <w:r>
        <w:t xml:space="preserve">.  </w:t>
      </w:r>
    </w:p>
  </w:footnote>
  <w:footnote w:id="48">
    <w:p w:rsidR="00D43369" w:rsidP="00D43369">
      <w:pPr>
        <w:pStyle w:val="FootnoteText"/>
      </w:pPr>
      <w:r>
        <w:rPr>
          <w:rStyle w:val="FootnoteReference"/>
        </w:rPr>
        <w:footnoteRef/>
      </w:r>
      <w:r>
        <w:t xml:space="preserve"> </w:t>
      </w:r>
      <w:r w:rsidRPr="00C0316E">
        <w:rPr>
          <w:rStyle w:val="FootnoteTextChar3"/>
          <w:i/>
        </w:rPr>
        <w:t>See</w:t>
      </w:r>
      <w:r w:rsidRPr="00C0316E">
        <w:rPr>
          <w:rStyle w:val="FootnoteTextChar3"/>
        </w:rPr>
        <w:t xml:space="preserve"> </w:t>
      </w:r>
      <w:r w:rsidRPr="00C0316E">
        <w:rPr>
          <w:rStyle w:val="FootnoteTextChar3"/>
        </w:rPr>
        <w:t>SDC</w:t>
      </w:r>
      <w:r>
        <w:rPr>
          <w:rStyle w:val="FootnoteTextChar3"/>
        </w:rPr>
        <w:t xml:space="preserve"> Petition for </w:t>
      </w:r>
      <w:r w:rsidRPr="00C0316E">
        <w:rPr>
          <w:rStyle w:val="FootnoteTextChar3"/>
        </w:rPr>
        <w:t>Waiver at 6</w:t>
      </w:r>
      <w:r>
        <w:rPr>
          <w:rStyle w:val="FootnoteTextChar3"/>
        </w:rPr>
        <w:t>.</w:t>
      </w:r>
    </w:p>
  </w:footnote>
  <w:footnote w:id="49">
    <w:p w:rsidR="00D43369" w:rsidRPr="00FD133D" w:rsidP="00D43369">
      <w:pPr>
        <w:pStyle w:val="FootnoteText"/>
      </w:pPr>
      <w:r>
        <w:rPr>
          <w:rStyle w:val="FootnoteReference"/>
        </w:rPr>
        <w:footnoteRef/>
      </w:r>
      <w:r>
        <w:t xml:space="preserve"> </w:t>
      </w:r>
      <w:r>
        <w:rPr>
          <w:i/>
        </w:rPr>
        <w:t xml:space="preserve">See </w:t>
      </w:r>
      <w:r w:rsidRPr="00A217C8">
        <w:rPr>
          <w:i/>
        </w:rPr>
        <w:t>Hawaiian Telecom</w:t>
      </w:r>
      <w:r>
        <w:t xml:space="preserve">, 33 FCC Rcd at 6211, para. 10. </w:t>
      </w:r>
    </w:p>
  </w:footnote>
  <w:footnote w:id="50">
    <w:p w:rsidR="00D43369" w:rsidP="00D43369">
      <w:pPr>
        <w:pStyle w:val="FootnoteText"/>
      </w:pPr>
      <w:r>
        <w:rPr>
          <w:rStyle w:val="FootnoteReference"/>
        </w:rPr>
        <w:footnoteRef/>
      </w:r>
      <w:r>
        <w:t xml:space="preserve"> Grant of a waiver here is consistent with the Commission’s decision to grant </w:t>
      </w:r>
      <w:r w:rsidRPr="00F87296">
        <w:rPr>
          <w:rStyle w:val="FootnoteTextChar3"/>
        </w:rPr>
        <w:t>waiver</w:t>
      </w:r>
      <w:r>
        <w:rPr>
          <w:rStyle w:val="FootnoteTextChar3"/>
        </w:rPr>
        <w:t>s</w:t>
      </w:r>
      <w:r w:rsidRPr="00220847">
        <w:rPr>
          <w:rStyle w:val="FootnoteTextChar3"/>
          <w:i/>
          <w:szCs w:val="22"/>
        </w:rPr>
        <w:t xml:space="preserve"> </w:t>
      </w:r>
      <w:r>
        <w:rPr>
          <w:rStyle w:val="FootnoteTextChar3"/>
          <w:szCs w:val="22"/>
        </w:rPr>
        <w:t>to</w:t>
      </w:r>
      <w:r w:rsidRPr="00220847">
        <w:rPr>
          <w:rStyle w:val="FootnoteTextChar3"/>
          <w:szCs w:val="22"/>
        </w:rPr>
        <w:t xml:space="preserve"> allow </w:t>
      </w:r>
      <w:r>
        <w:rPr>
          <w:rStyle w:val="FootnoteTextChar3"/>
          <w:szCs w:val="22"/>
        </w:rPr>
        <w:t xml:space="preserve">for </w:t>
      </w:r>
      <w:r w:rsidRPr="00220847">
        <w:rPr>
          <w:rStyle w:val="FootnoteTextChar3"/>
          <w:szCs w:val="22"/>
        </w:rPr>
        <w:t>the transfer of control of an applicant during the Incentive Auction, provided that the assignment or transfer application: (1) had been accepted for filing with the Commission as of the deadline to submit an application to participate in the reverse auction, and (2) included the express representation that the party that would hold the license(s) upon consummation agreed to be bound by the original applicant's actions in the auction with respect to the license(s</w:t>
      </w:r>
      <w:r>
        <w:rPr>
          <w:rStyle w:val="FootnoteTextChar3"/>
          <w:szCs w:val="22"/>
        </w:rPr>
        <w:t xml:space="preserve">).  </w:t>
      </w:r>
      <w:r>
        <w:rPr>
          <w:i/>
          <w:iCs/>
          <w:snapToGrid w:val="0"/>
        </w:rPr>
        <w:t>See Guidance Regarding the Prohibition of Certain Communications During the Incentive Auction, Auction 1000</w:t>
      </w:r>
      <w:r>
        <w:rPr>
          <w:snapToGrid w:val="0"/>
        </w:rPr>
        <w:t>, Public Notice, 30 FCC Rcd 10794, 10803, paras. 23-24 (</w:t>
      </w:r>
      <w:r>
        <w:rPr>
          <w:snapToGrid w:val="0"/>
        </w:rPr>
        <w:t>WTB</w:t>
      </w:r>
      <w:r>
        <w:rPr>
          <w:snapToGrid w:val="0"/>
        </w:rPr>
        <w:t xml:space="preserve"> 2015).</w:t>
      </w:r>
    </w:p>
  </w:footnote>
  <w:footnote w:id="51">
    <w:p w:rsidR="00D43369" w:rsidP="00D43369">
      <w:pPr>
        <w:pStyle w:val="FootnoteText"/>
      </w:pPr>
      <w:r>
        <w:rPr>
          <w:rStyle w:val="FootnoteReference"/>
        </w:rPr>
        <w:footnoteRef/>
      </w:r>
      <w:r>
        <w:t xml:space="preserve"> </w:t>
      </w:r>
      <w:r>
        <w:t>SDC</w:t>
      </w:r>
      <w:r>
        <w:t xml:space="preserve"> Petition for Waiver at 6 (</w:t>
      </w:r>
      <w:r w:rsidRPr="006E2D48">
        <w:t>SDC</w:t>
      </w:r>
      <w:r w:rsidRPr="006E2D48">
        <w:t xml:space="preserve"> notes that upon consummation of the proposed transaction, </w:t>
      </w:r>
      <w:r w:rsidRPr="006E2D48">
        <w:t>SDC</w:t>
      </w:r>
      <w:r w:rsidRPr="006E2D48">
        <w:t>, LLC will benefit from an “influx of significant new capital, as well as access to the technical and operational experience of Point Broadband and ITC”</w:t>
      </w:r>
      <w:r>
        <w:t>).</w:t>
      </w:r>
    </w:p>
  </w:footnote>
  <w:footnote w:id="52">
    <w:p w:rsidR="00D43369" w:rsidP="00D43369">
      <w:pPr>
        <w:pStyle w:val="FootnoteText"/>
      </w:pPr>
      <w:r>
        <w:rPr>
          <w:rStyle w:val="FootnoteReference"/>
        </w:rPr>
        <w:footnoteRef/>
      </w:r>
      <w:r>
        <w:t xml:space="preserve"> </w:t>
      </w:r>
      <w:r>
        <w:rPr>
          <w:i/>
        </w:rPr>
        <w:t>See i</w:t>
      </w:r>
      <w:r w:rsidRPr="00F87296">
        <w:rPr>
          <w:i/>
        </w:rPr>
        <w:t>d</w:t>
      </w:r>
      <w:r>
        <w:t>. at 7.</w:t>
      </w:r>
    </w:p>
  </w:footnote>
  <w:footnote w:id="53">
    <w:p w:rsidR="00D43369" w:rsidRPr="00653CA5" w:rsidP="00D43369">
      <w:pPr>
        <w:pStyle w:val="FootnoteText"/>
      </w:pPr>
      <w:r>
        <w:rPr>
          <w:rStyle w:val="FootnoteReference"/>
        </w:rPr>
        <w:footnoteRef/>
      </w:r>
      <w:r>
        <w:t xml:space="preserve"> P</w:t>
      </w:r>
      <w:r>
        <w:rPr>
          <w:szCs w:val="22"/>
        </w:rPr>
        <w:t xml:space="preserve">etitioner shall notify the Commission within 30 days after the effective date of the transfer of control.  </w:t>
      </w:r>
      <w:r w:rsidRPr="00032242">
        <w:rPr>
          <w:i/>
        </w:rPr>
        <w:t>See</w:t>
      </w:r>
      <w:r w:rsidRPr="004355E2">
        <w:t xml:space="preserve"> </w:t>
      </w:r>
      <w:r>
        <w:t xml:space="preserve">47 CFR § 1.65.  </w:t>
      </w:r>
      <w:r w:rsidRPr="00C60499">
        <w:t xml:space="preserve">Pursuant to </w:t>
      </w:r>
      <w:r>
        <w:t>Section 1.65</w:t>
      </w:r>
      <w:r w:rsidRPr="00C60499">
        <w:t>, each applicant has a continuing obligation to maintain the accuracy and completeness of information furnished in a pending application</w:t>
      </w:r>
      <w:r>
        <w:t>.</w:t>
      </w:r>
      <w:r w:rsidRPr="00C60499">
        <w:t xml:space="preserve"> </w:t>
      </w:r>
      <w:r>
        <w:rPr>
          <w:i/>
        </w:rPr>
        <w:t>See</w:t>
      </w:r>
      <w:r w:rsidRPr="00C60499">
        <w:t xml:space="preserve">, </w:t>
      </w:r>
      <w:r w:rsidRPr="00CC4648">
        <w:rPr>
          <w:i/>
        </w:rPr>
        <w:t>id</w:t>
      </w:r>
      <w:r>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D43369">
      <w:t>DA 19-745</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43369">
      <w:rPr>
        <w:spacing w:val="-2"/>
      </w:rPr>
      <w:t>DA 19-745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69"/>
    <w:rsid w:val="0001649C"/>
    <w:rsid w:val="00032242"/>
    <w:rsid w:val="00036039"/>
    <w:rsid w:val="00037F90"/>
    <w:rsid w:val="00043513"/>
    <w:rsid w:val="00076B3A"/>
    <w:rsid w:val="000875BF"/>
    <w:rsid w:val="00091350"/>
    <w:rsid w:val="00096D8C"/>
    <w:rsid w:val="000C0B65"/>
    <w:rsid w:val="000E05FE"/>
    <w:rsid w:val="000E32CE"/>
    <w:rsid w:val="000E3D42"/>
    <w:rsid w:val="000F3B8B"/>
    <w:rsid w:val="001026F5"/>
    <w:rsid w:val="00115C1B"/>
    <w:rsid w:val="00122BD5"/>
    <w:rsid w:val="00133F79"/>
    <w:rsid w:val="0015437A"/>
    <w:rsid w:val="00187564"/>
    <w:rsid w:val="0019242C"/>
    <w:rsid w:val="00194A66"/>
    <w:rsid w:val="001A4B96"/>
    <w:rsid w:val="001D6BCF"/>
    <w:rsid w:val="001E01CA"/>
    <w:rsid w:val="00220847"/>
    <w:rsid w:val="002452B7"/>
    <w:rsid w:val="002564AE"/>
    <w:rsid w:val="00275CF5"/>
    <w:rsid w:val="0028301F"/>
    <w:rsid w:val="00285017"/>
    <w:rsid w:val="002A2D2E"/>
    <w:rsid w:val="002C00E8"/>
    <w:rsid w:val="002C4797"/>
    <w:rsid w:val="002E69E7"/>
    <w:rsid w:val="002F3AA3"/>
    <w:rsid w:val="003402C9"/>
    <w:rsid w:val="00343749"/>
    <w:rsid w:val="003515FB"/>
    <w:rsid w:val="00355E9F"/>
    <w:rsid w:val="003660ED"/>
    <w:rsid w:val="00370F87"/>
    <w:rsid w:val="00385714"/>
    <w:rsid w:val="00391925"/>
    <w:rsid w:val="003B0550"/>
    <w:rsid w:val="003B694F"/>
    <w:rsid w:val="003F171C"/>
    <w:rsid w:val="00412DD0"/>
    <w:rsid w:val="00412FC5"/>
    <w:rsid w:val="00422276"/>
    <w:rsid w:val="004242F1"/>
    <w:rsid w:val="004355E2"/>
    <w:rsid w:val="00445A00"/>
    <w:rsid w:val="00451B0F"/>
    <w:rsid w:val="00456E63"/>
    <w:rsid w:val="004646E1"/>
    <w:rsid w:val="0049491E"/>
    <w:rsid w:val="004A00E5"/>
    <w:rsid w:val="004C2EE3"/>
    <w:rsid w:val="004E4A22"/>
    <w:rsid w:val="004E68B3"/>
    <w:rsid w:val="00502C64"/>
    <w:rsid w:val="005103CA"/>
    <w:rsid w:val="00511968"/>
    <w:rsid w:val="00530CE3"/>
    <w:rsid w:val="00547413"/>
    <w:rsid w:val="00554103"/>
    <w:rsid w:val="005546E4"/>
    <w:rsid w:val="00556024"/>
    <w:rsid w:val="0055614C"/>
    <w:rsid w:val="00566D06"/>
    <w:rsid w:val="005E14C2"/>
    <w:rsid w:val="005E5CE3"/>
    <w:rsid w:val="00607BA5"/>
    <w:rsid w:val="0061180A"/>
    <w:rsid w:val="00614071"/>
    <w:rsid w:val="00626EB6"/>
    <w:rsid w:val="00653CA5"/>
    <w:rsid w:val="00655D03"/>
    <w:rsid w:val="00683388"/>
    <w:rsid w:val="00683F84"/>
    <w:rsid w:val="006A0E53"/>
    <w:rsid w:val="006A6A81"/>
    <w:rsid w:val="006B38FD"/>
    <w:rsid w:val="006D0E68"/>
    <w:rsid w:val="006E21DF"/>
    <w:rsid w:val="006E2D48"/>
    <w:rsid w:val="006F7393"/>
    <w:rsid w:val="0070224F"/>
    <w:rsid w:val="007115F7"/>
    <w:rsid w:val="00730147"/>
    <w:rsid w:val="00785689"/>
    <w:rsid w:val="0079754B"/>
    <w:rsid w:val="007A1E6D"/>
    <w:rsid w:val="007A2CCB"/>
    <w:rsid w:val="007A6CCE"/>
    <w:rsid w:val="007B0EB2"/>
    <w:rsid w:val="007F102E"/>
    <w:rsid w:val="00804269"/>
    <w:rsid w:val="00810B6F"/>
    <w:rsid w:val="00822CE0"/>
    <w:rsid w:val="00831283"/>
    <w:rsid w:val="00841AB1"/>
    <w:rsid w:val="00846CF4"/>
    <w:rsid w:val="00864112"/>
    <w:rsid w:val="0087790C"/>
    <w:rsid w:val="008A4682"/>
    <w:rsid w:val="008B061A"/>
    <w:rsid w:val="008C68F1"/>
    <w:rsid w:val="008D3043"/>
    <w:rsid w:val="008E00E2"/>
    <w:rsid w:val="00907BD7"/>
    <w:rsid w:val="00921803"/>
    <w:rsid w:val="00926503"/>
    <w:rsid w:val="009726D8"/>
    <w:rsid w:val="009B0A51"/>
    <w:rsid w:val="009D7308"/>
    <w:rsid w:val="009F76DB"/>
    <w:rsid w:val="00A217C8"/>
    <w:rsid w:val="00A32C3B"/>
    <w:rsid w:val="00A45F4F"/>
    <w:rsid w:val="00A600A9"/>
    <w:rsid w:val="00A65808"/>
    <w:rsid w:val="00A85D9A"/>
    <w:rsid w:val="00A96A2F"/>
    <w:rsid w:val="00AA55B7"/>
    <w:rsid w:val="00AA5B9E"/>
    <w:rsid w:val="00AA785F"/>
    <w:rsid w:val="00AB2407"/>
    <w:rsid w:val="00AB53DF"/>
    <w:rsid w:val="00B07E5C"/>
    <w:rsid w:val="00B2392F"/>
    <w:rsid w:val="00B27E04"/>
    <w:rsid w:val="00B6494D"/>
    <w:rsid w:val="00B70301"/>
    <w:rsid w:val="00B76BEF"/>
    <w:rsid w:val="00B811F7"/>
    <w:rsid w:val="00B87C91"/>
    <w:rsid w:val="00B94386"/>
    <w:rsid w:val="00BA5DC6"/>
    <w:rsid w:val="00BA6196"/>
    <w:rsid w:val="00BB2E2B"/>
    <w:rsid w:val="00BB3AF2"/>
    <w:rsid w:val="00BC6D8C"/>
    <w:rsid w:val="00C0316E"/>
    <w:rsid w:val="00C11697"/>
    <w:rsid w:val="00C31483"/>
    <w:rsid w:val="00C34006"/>
    <w:rsid w:val="00C36B4C"/>
    <w:rsid w:val="00C426B1"/>
    <w:rsid w:val="00C44900"/>
    <w:rsid w:val="00C60499"/>
    <w:rsid w:val="00C66160"/>
    <w:rsid w:val="00C721AC"/>
    <w:rsid w:val="00C76DEA"/>
    <w:rsid w:val="00C83AE4"/>
    <w:rsid w:val="00C90D6A"/>
    <w:rsid w:val="00CA247E"/>
    <w:rsid w:val="00CA6D21"/>
    <w:rsid w:val="00CC4648"/>
    <w:rsid w:val="00CC72B6"/>
    <w:rsid w:val="00D00A8E"/>
    <w:rsid w:val="00D0218D"/>
    <w:rsid w:val="00D25FB5"/>
    <w:rsid w:val="00D26B54"/>
    <w:rsid w:val="00D43369"/>
    <w:rsid w:val="00D44223"/>
    <w:rsid w:val="00D74A5D"/>
    <w:rsid w:val="00D81BA2"/>
    <w:rsid w:val="00D821C6"/>
    <w:rsid w:val="00DA2529"/>
    <w:rsid w:val="00DB0848"/>
    <w:rsid w:val="00DB130A"/>
    <w:rsid w:val="00DB2EBB"/>
    <w:rsid w:val="00DC10A1"/>
    <w:rsid w:val="00DC655F"/>
    <w:rsid w:val="00DD0B59"/>
    <w:rsid w:val="00DD7EBD"/>
    <w:rsid w:val="00DE51AF"/>
    <w:rsid w:val="00DF62B6"/>
    <w:rsid w:val="00E0637A"/>
    <w:rsid w:val="00E07225"/>
    <w:rsid w:val="00E239C8"/>
    <w:rsid w:val="00E43C57"/>
    <w:rsid w:val="00E52EA9"/>
    <w:rsid w:val="00E5409F"/>
    <w:rsid w:val="00E74049"/>
    <w:rsid w:val="00E84CB4"/>
    <w:rsid w:val="00E8689A"/>
    <w:rsid w:val="00EC3865"/>
    <w:rsid w:val="00ED5762"/>
    <w:rsid w:val="00EE6488"/>
    <w:rsid w:val="00EF7FCC"/>
    <w:rsid w:val="00F021FA"/>
    <w:rsid w:val="00F41774"/>
    <w:rsid w:val="00F62E97"/>
    <w:rsid w:val="00F64209"/>
    <w:rsid w:val="00F85BF2"/>
    <w:rsid w:val="00F87296"/>
    <w:rsid w:val="00F93100"/>
    <w:rsid w:val="00F93379"/>
    <w:rsid w:val="00F93BF5"/>
    <w:rsid w:val="00FD133D"/>
    <w:rsid w:val="00FD4B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58E1F47-7A54-4043-B9E5-DD5A5A23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369"/>
    <w:pPr>
      <w:widowControl w:val="0"/>
    </w:pPr>
    <w:rPr>
      <w:snapToGrid w:val="0"/>
      <w:kern w:val="28"/>
      <w:sz w:val="22"/>
    </w:rPr>
  </w:style>
  <w:style w:type="paragraph" w:styleId="Heading1">
    <w:name w:val="heading 1"/>
    <w:basedOn w:val="Normal"/>
    <w:next w:val="ParaNum"/>
    <w:qFormat/>
    <w:rsid w:val="00D4336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43369"/>
    <w:pPr>
      <w:keepNext/>
      <w:numPr>
        <w:ilvl w:val="1"/>
        <w:numId w:val="3"/>
      </w:numPr>
      <w:spacing w:after="120"/>
      <w:outlineLvl w:val="1"/>
    </w:pPr>
    <w:rPr>
      <w:b/>
    </w:rPr>
  </w:style>
  <w:style w:type="paragraph" w:styleId="Heading3">
    <w:name w:val="heading 3"/>
    <w:basedOn w:val="Normal"/>
    <w:next w:val="ParaNum"/>
    <w:qFormat/>
    <w:rsid w:val="00D43369"/>
    <w:pPr>
      <w:keepNext/>
      <w:numPr>
        <w:ilvl w:val="2"/>
        <w:numId w:val="3"/>
      </w:numPr>
      <w:tabs>
        <w:tab w:val="left" w:pos="2160"/>
      </w:tabs>
      <w:spacing w:after="120"/>
      <w:outlineLvl w:val="2"/>
    </w:pPr>
    <w:rPr>
      <w:b/>
    </w:rPr>
  </w:style>
  <w:style w:type="paragraph" w:styleId="Heading4">
    <w:name w:val="heading 4"/>
    <w:basedOn w:val="Normal"/>
    <w:next w:val="ParaNum"/>
    <w:qFormat/>
    <w:rsid w:val="00D43369"/>
    <w:pPr>
      <w:keepNext/>
      <w:numPr>
        <w:ilvl w:val="3"/>
        <w:numId w:val="3"/>
      </w:numPr>
      <w:tabs>
        <w:tab w:val="left" w:pos="2880"/>
      </w:tabs>
      <w:spacing w:after="120"/>
      <w:outlineLvl w:val="3"/>
    </w:pPr>
    <w:rPr>
      <w:b/>
    </w:rPr>
  </w:style>
  <w:style w:type="paragraph" w:styleId="Heading5">
    <w:name w:val="heading 5"/>
    <w:basedOn w:val="Normal"/>
    <w:next w:val="ParaNum"/>
    <w:qFormat/>
    <w:rsid w:val="00D4336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43369"/>
    <w:pPr>
      <w:numPr>
        <w:ilvl w:val="5"/>
        <w:numId w:val="3"/>
      </w:numPr>
      <w:tabs>
        <w:tab w:val="left" w:pos="4320"/>
      </w:tabs>
      <w:spacing w:after="120"/>
      <w:outlineLvl w:val="5"/>
    </w:pPr>
    <w:rPr>
      <w:b/>
    </w:rPr>
  </w:style>
  <w:style w:type="paragraph" w:styleId="Heading7">
    <w:name w:val="heading 7"/>
    <w:basedOn w:val="Normal"/>
    <w:next w:val="ParaNum"/>
    <w:qFormat/>
    <w:rsid w:val="00D4336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4336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4336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433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3369"/>
  </w:style>
  <w:style w:type="paragraph" w:customStyle="1" w:styleId="ParaNum">
    <w:name w:val="ParaNum"/>
    <w:basedOn w:val="Normal"/>
    <w:link w:val="ParaNumCharChar1"/>
    <w:rsid w:val="00D43369"/>
    <w:pPr>
      <w:numPr>
        <w:numId w:val="2"/>
      </w:numPr>
      <w:tabs>
        <w:tab w:val="clear" w:pos="1080"/>
        <w:tab w:val="num" w:pos="1440"/>
      </w:tabs>
      <w:spacing w:after="120"/>
    </w:pPr>
  </w:style>
  <w:style w:type="paragraph" w:styleId="EndnoteText">
    <w:name w:val="endnote text"/>
    <w:basedOn w:val="Normal"/>
    <w:semiHidden/>
    <w:rsid w:val="00D43369"/>
    <w:rPr>
      <w:sz w:val="20"/>
    </w:rPr>
  </w:style>
  <w:style w:type="character" w:styleId="EndnoteReference">
    <w:name w:val="endnote reference"/>
    <w:semiHidden/>
    <w:rsid w:val="00D43369"/>
    <w:rPr>
      <w:vertAlign w:val="superscript"/>
    </w:rPr>
  </w:style>
  <w:style w:type="paragraph" w:styleId="FootnoteText">
    <w:name w:val="footnote text"/>
    <w:aliases w:val="Footnote Text Char,Footnote Text Char Char,Footnote Text Char Char3 Char Char Char Char,Footnote Text Char1,Footnote Text Char1 Char1 Char,Footnote Text Char2,Footnote Text Char3 Char1 Char Char Char,Footnote Text Char4 Char Char Char,f,fn"/>
    <w:link w:val="FootnoteTextChar3"/>
    <w:rsid w:val="00D43369"/>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D43369"/>
    <w:rPr>
      <w:rFonts w:ascii="Times New Roman" w:hAnsi="Times New Roman"/>
      <w:dstrike w:val="0"/>
      <w:color w:val="auto"/>
      <w:sz w:val="20"/>
      <w:vertAlign w:val="superscript"/>
    </w:rPr>
  </w:style>
  <w:style w:type="paragraph" w:styleId="TOC1">
    <w:name w:val="toc 1"/>
    <w:basedOn w:val="Normal"/>
    <w:next w:val="Normal"/>
    <w:semiHidden/>
    <w:rsid w:val="00D4336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43369"/>
    <w:pPr>
      <w:tabs>
        <w:tab w:val="left" w:pos="720"/>
        <w:tab w:val="right" w:leader="dot" w:pos="9360"/>
      </w:tabs>
      <w:suppressAutoHyphens/>
      <w:ind w:left="720" w:right="720" w:hanging="360"/>
    </w:pPr>
    <w:rPr>
      <w:noProof/>
    </w:rPr>
  </w:style>
  <w:style w:type="paragraph" w:styleId="TOC3">
    <w:name w:val="toc 3"/>
    <w:basedOn w:val="Normal"/>
    <w:next w:val="Normal"/>
    <w:semiHidden/>
    <w:rsid w:val="00D4336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4336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4336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4336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4336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4336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4336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43369"/>
    <w:pPr>
      <w:tabs>
        <w:tab w:val="right" w:pos="9360"/>
      </w:tabs>
      <w:suppressAutoHyphens/>
    </w:pPr>
  </w:style>
  <w:style w:type="character" w:customStyle="1" w:styleId="EquationCaption">
    <w:name w:val="_Equation Caption"/>
    <w:rsid w:val="00D43369"/>
  </w:style>
  <w:style w:type="paragraph" w:styleId="Header">
    <w:name w:val="header"/>
    <w:basedOn w:val="Normal"/>
    <w:autoRedefine/>
    <w:rsid w:val="00D43369"/>
    <w:pPr>
      <w:tabs>
        <w:tab w:val="center" w:pos="4680"/>
        <w:tab w:val="right" w:pos="9360"/>
      </w:tabs>
    </w:pPr>
    <w:rPr>
      <w:b/>
    </w:rPr>
  </w:style>
  <w:style w:type="paragraph" w:styleId="Footer">
    <w:name w:val="footer"/>
    <w:basedOn w:val="Normal"/>
    <w:link w:val="FooterChar"/>
    <w:uiPriority w:val="99"/>
    <w:rsid w:val="00D43369"/>
    <w:pPr>
      <w:tabs>
        <w:tab w:val="center" w:pos="4320"/>
        <w:tab w:val="right" w:pos="8640"/>
      </w:tabs>
    </w:pPr>
  </w:style>
  <w:style w:type="character" w:styleId="PageNumber">
    <w:name w:val="page number"/>
    <w:basedOn w:val="DefaultParagraphFont"/>
    <w:rsid w:val="00D43369"/>
  </w:style>
  <w:style w:type="paragraph" w:styleId="BlockText">
    <w:name w:val="Block Text"/>
    <w:basedOn w:val="Normal"/>
    <w:rsid w:val="00D43369"/>
    <w:pPr>
      <w:spacing w:after="240"/>
      <w:ind w:left="1440" w:right="1440"/>
    </w:pPr>
  </w:style>
  <w:style w:type="paragraph" w:customStyle="1" w:styleId="Paratitle">
    <w:name w:val="Para title"/>
    <w:basedOn w:val="Normal"/>
    <w:rsid w:val="00D43369"/>
    <w:pPr>
      <w:tabs>
        <w:tab w:val="center" w:pos="9270"/>
      </w:tabs>
      <w:spacing w:after="240"/>
    </w:pPr>
    <w:rPr>
      <w:spacing w:val="-2"/>
    </w:rPr>
  </w:style>
  <w:style w:type="paragraph" w:customStyle="1" w:styleId="Bullet">
    <w:name w:val="Bullet"/>
    <w:basedOn w:val="Normal"/>
    <w:rsid w:val="00D43369"/>
    <w:pPr>
      <w:tabs>
        <w:tab w:val="left" w:pos="2160"/>
      </w:tabs>
      <w:spacing w:after="220"/>
      <w:ind w:left="2160" w:hanging="720"/>
    </w:pPr>
  </w:style>
  <w:style w:type="paragraph" w:customStyle="1" w:styleId="TableFormat">
    <w:name w:val="TableFormat"/>
    <w:basedOn w:val="Bullet"/>
    <w:rsid w:val="00D43369"/>
    <w:pPr>
      <w:tabs>
        <w:tab w:val="clear" w:pos="2160"/>
        <w:tab w:val="left" w:pos="5040"/>
      </w:tabs>
      <w:ind w:left="5040" w:hanging="3600"/>
    </w:pPr>
  </w:style>
  <w:style w:type="paragraph" w:customStyle="1" w:styleId="TOCTitle">
    <w:name w:val="TOC Title"/>
    <w:basedOn w:val="Normal"/>
    <w:rsid w:val="00D4336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43369"/>
    <w:pPr>
      <w:jc w:val="center"/>
    </w:pPr>
    <w:rPr>
      <w:rFonts w:ascii="Times New Roman Bold" w:hAnsi="Times New Roman Bold"/>
      <w:b/>
      <w:bCs/>
      <w:caps/>
      <w:szCs w:val="22"/>
    </w:rPr>
  </w:style>
  <w:style w:type="character" w:styleId="Hyperlink">
    <w:name w:val="Hyperlink"/>
    <w:rsid w:val="00D43369"/>
    <w:rPr>
      <w:color w:val="0000FF"/>
      <w:u w:val="single"/>
    </w:rPr>
  </w:style>
  <w:style w:type="character" w:customStyle="1" w:styleId="FooterChar">
    <w:name w:val="Footer Char"/>
    <w:link w:val="Footer"/>
    <w:uiPriority w:val="99"/>
    <w:rsid w:val="00D43369"/>
    <w:rPr>
      <w:snapToGrid w:val="0"/>
      <w:kern w:val="28"/>
      <w:sz w:val="22"/>
    </w:rPr>
  </w:style>
  <w:style w:type="character" w:customStyle="1" w:styleId="FootnoteTextChar3">
    <w:name w:val="Footnote Text Char3"/>
    <w:aliases w:val="Footnote Text Char Char Char,Footnote Text Char Char1,Footnote Text Char Char3 Char Char Char Char Char,Footnote Text Char1 Char,Footnote Text Char1 Char1 Char Char,Footnote Text Char2 Char,Footnote Text Char4 Char Char Char Char"/>
    <w:link w:val="FootnoteText"/>
    <w:rsid w:val="00D43369"/>
  </w:style>
  <w:style w:type="character" w:customStyle="1" w:styleId="ParaNumCharChar1">
    <w:name w:val="ParaNum Char Char1"/>
    <w:link w:val="ParaNum"/>
    <w:locked/>
    <w:rsid w:val="00D43369"/>
    <w:rPr>
      <w:snapToGrid w:val="0"/>
      <w:kern w:val="28"/>
      <w:sz w:val="22"/>
    </w:rPr>
  </w:style>
  <w:style w:type="character" w:customStyle="1" w:styleId="searchterm">
    <w:name w:val="searchterm"/>
    <w:rsid w:val="00D43369"/>
  </w:style>
  <w:style w:type="character" w:customStyle="1" w:styleId="cosearchterm">
    <w:name w:val="co_searchterm"/>
    <w:rsid w:val="00D43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auction/903" TargetMode="External" /><Relationship Id="rId2" Type="http://schemas.openxmlformats.org/officeDocument/2006/relationships/hyperlink" Target="https://ecfsapi.fcc.gov/file/10331015717887/SUNSET%20214%20APPLICATION%20%5BFINAL%5D%20(N0284597xA35AA).pdf" TargetMode="External" /><Relationship Id="rId3" Type="http://schemas.openxmlformats.org/officeDocument/2006/relationships/hyperlink" Target="https://www.law.cornell.edu/definitions/index.php?width=840&amp;height=800&amp;iframe=true&amp;def_id=a6297a35c9ac3fd0044718728be4adbe&amp;term_occur=1&amp;term_src=Title:47:Chapter:I:Subchapter:A:Part:1:Subpart:A:Subjgrp:147:1.3"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