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AB71F2">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B83BA2">
              <w:t>3</w:t>
            </w:r>
            <w:r w:rsidR="0093379B">
              <w:t>21</w:t>
            </w:r>
            <w:r w:rsidR="00106F6E">
              <w:t>5127</w:t>
            </w:r>
          </w:p>
          <w:p w:rsidR="00AB71F2">
            <w:pPr>
              <w:rPr>
                <w:szCs w:val="22"/>
              </w:rPr>
            </w:pPr>
            <w:r>
              <w:rPr>
                <w:szCs w:val="22"/>
              </w:rPr>
              <w:t xml:space="preserve">                  </w:t>
            </w:r>
          </w:p>
          <w:p w:rsidR="00AB71F2">
            <w:pPr>
              <w:pStyle w:val="TOAHeading"/>
              <w:rPr>
                <w:szCs w:val="22"/>
              </w:rPr>
            </w:pPr>
            <w:bookmarkStart w:id="0" w:name="_GoBack"/>
            <w:bookmarkEnd w:id="0"/>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 xml:space="preserve">Adopted: </w:t>
      </w:r>
      <w:r w:rsidR="00C21BE4">
        <w:rPr>
          <w:b/>
          <w:spacing w:val="-2"/>
          <w:szCs w:val="22"/>
        </w:rPr>
        <w:t xml:space="preserve">August </w:t>
      </w:r>
      <w:r w:rsidR="00C21BE4">
        <w:rPr>
          <w:b/>
          <w:spacing w:val="-2"/>
          <w:szCs w:val="22"/>
        </w:rPr>
        <w:t>8,</w:t>
      </w:r>
      <w:r>
        <w:rPr>
          <w:b/>
          <w:spacing w:val="-2"/>
          <w:szCs w:val="22"/>
        </w:rPr>
        <w:t>,</w:t>
      </w:r>
      <w:r>
        <w:rPr>
          <w:b/>
          <w:spacing w:val="-2"/>
          <w:szCs w:val="22"/>
        </w:rPr>
        <w:t xml:space="preserve"> 2019</w:t>
      </w:r>
      <w:r>
        <w:rPr>
          <w:b/>
          <w:spacing w:val="-2"/>
          <w:szCs w:val="22"/>
        </w:rPr>
        <w:tab/>
      </w:r>
      <w:r>
        <w:rPr>
          <w:b/>
          <w:spacing w:val="-2"/>
          <w:szCs w:val="22"/>
        </w:rPr>
        <w:tab/>
        <w:t xml:space="preserve">Released: </w:t>
      </w:r>
      <w:r w:rsidR="00C21BE4">
        <w:rPr>
          <w:b/>
          <w:spacing w:val="-2"/>
          <w:szCs w:val="22"/>
        </w:rPr>
        <w:t>August 8</w:t>
      </w:r>
      <w:r>
        <w:rPr>
          <w:b/>
          <w:spacing w:val="-2"/>
          <w:szCs w:val="22"/>
        </w:rPr>
        <w:t>, 2019</w:t>
      </w:r>
    </w:p>
    <w:p w:rsidR="00AB71F2" w:rsidP="00AB71F2">
      <w:pPr>
        <w:rPr>
          <w:szCs w:val="22"/>
        </w:rPr>
      </w:pPr>
    </w:p>
    <w:p w:rsidR="00AB71F2" w:rsidP="00305DCB">
      <w:pPr>
        <w:spacing w:after="120"/>
        <w:rPr>
          <w:szCs w:val="22"/>
        </w:rPr>
      </w:pPr>
      <w:r>
        <w:rPr>
          <w:szCs w:val="22"/>
        </w:rPr>
        <w:t>By the Deputy Chief, Consumer Policy Division, Consumer and Governmental Affairs Bureau:</w:t>
      </w:r>
    </w:p>
    <w:p w:rsidR="00AB71F2" w:rsidP="00305DCB">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83BA2">
        <w:rPr>
          <w:szCs w:val="22"/>
        </w:rPr>
        <w:t>Telplex</w:t>
      </w:r>
      <w:r w:rsidRPr="00237F60" w:rsidR="00B83BA2">
        <w:rPr>
          <w:szCs w:val="22"/>
        </w:rPr>
        <w:t>’s</w:t>
      </w:r>
      <w:r w:rsidRPr="00237F60" w:rsidR="00B83BA2">
        <w:rPr>
          <w:szCs w:val="22"/>
        </w:rPr>
        <w:t xml:space="preserve"> actions violated the Commission’s slamming rules, and we therefore grant Complainant</w:t>
      </w:r>
      <w:r w:rsidR="00B83BA2">
        <w:rPr>
          <w:szCs w:val="22"/>
        </w:rPr>
        <w:t>’s</w:t>
      </w:r>
      <w:r w:rsidRPr="00237F60" w:rsidR="00B83BA2">
        <w:rPr>
          <w:szCs w:val="22"/>
        </w:rPr>
        <w:t xml:space="preserve"> complaint.</w:t>
      </w:r>
    </w:p>
    <w:p w:rsidR="00B83BA2" w:rsidP="00305DCB">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AB71F2" w:rsidRPr="00B83BA2" w:rsidP="00305DCB">
      <w:pPr>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Pr>
          <w:szCs w:val="22"/>
        </w:rPr>
        <w:t xml:space="preserve"> </w:t>
      </w:r>
      <w:r w:rsidR="00CF2AA9">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r w:rsidR="00CF2AA9">
        <w:rPr>
          <w:szCs w:val="22"/>
        </w:rPr>
        <w:t xml:space="preserve">  </w:t>
      </w:r>
      <w:r w:rsidRPr="00B83BA2">
        <w:rPr>
          <w:szCs w:val="22"/>
        </w:rPr>
        <w:t xml:space="preserve"> </w:t>
      </w:r>
    </w:p>
    <w:p w:rsidR="00E342E6" w:rsidP="00305DCB">
      <w:pPr>
        <w:numPr>
          <w:ilvl w:val="0"/>
          <w:numId w:val="7"/>
        </w:numPr>
        <w:snapToGrid w:val="0"/>
        <w:spacing w:after="120"/>
        <w:ind w:left="0" w:firstLine="720"/>
        <w:rPr>
          <w:szCs w:val="22"/>
        </w:rPr>
      </w:pPr>
      <w:r>
        <w:rPr>
          <w:szCs w:val="22"/>
        </w:rPr>
        <w:t>We received Complainant</w:t>
      </w:r>
      <w:r w:rsidR="00B83BA2">
        <w:rPr>
          <w:szCs w:val="22"/>
        </w:rPr>
        <w:t>’s</w:t>
      </w:r>
      <w:r>
        <w:rPr>
          <w:szCs w:val="22"/>
        </w:rPr>
        <w:t xml:space="preserve"> complaint alleging that Complainant</w:t>
      </w:r>
      <w:r w:rsidR="00B83BA2">
        <w:rPr>
          <w:szCs w:val="22"/>
        </w:rPr>
        <w:t>’s</w:t>
      </w:r>
      <w:r>
        <w:rPr>
          <w:szCs w:val="22"/>
        </w:rPr>
        <w:t xml:space="preserve"> telecommunications service provider had been changed </w:t>
      </w:r>
      <w:r w:rsidR="009F6F0E">
        <w:rPr>
          <w:szCs w:val="22"/>
        </w:rPr>
        <w:t xml:space="preserve">to </w:t>
      </w:r>
      <w:r w:rsidR="009F6F0E">
        <w:rPr>
          <w:szCs w:val="22"/>
        </w:rPr>
        <w:t>Telplex</w:t>
      </w:r>
      <w:r w:rsidR="009F6F0E">
        <w:rPr>
          <w:szCs w:val="22"/>
        </w:rPr>
        <w:t xml:space="preserve"> </w:t>
      </w:r>
      <w:r>
        <w:rPr>
          <w:szCs w:val="22"/>
        </w:rPr>
        <w:t>without Complainant</w:t>
      </w:r>
      <w:r w:rsidR="00B83BA2">
        <w:rPr>
          <w:szCs w:val="22"/>
        </w:rPr>
        <w:t>’s</w:t>
      </w:r>
      <w:r>
        <w:rPr>
          <w:szCs w:val="22"/>
        </w:rPr>
        <w:t xml:space="preserve"> authorization</w:t>
      </w:r>
      <w:r w:rsidR="00311848">
        <w:rPr>
          <w:szCs w:val="22"/>
        </w:rPr>
        <w:t xml:space="preserve">.  </w:t>
      </w:r>
      <w:r w:rsidR="00B83BA2">
        <w:rPr>
          <w:szCs w:val="22"/>
        </w:rPr>
        <w:t xml:space="preserve">In </w:t>
      </w:r>
      <w:r w:rsidR="00305DCB">
        <w:rPr>
          <w:szCs w:val="22"/>
        </w:rPr>
        <w:t>the complaint</w:t>
      </w:r>
      <w:r w:rsidR="00B83BA2">
        <w:rPr>
          <w:szCs w:val="22"/>
        </w:rPr>
        <w:t xml:space="preserve">, Complainant </w:t>
      </w:r>
      <w:r w:rsidR="00305DCB">
        <w:rPr>
          <w:szCs w:val="22"/>
        </w:rPr>
        <w:t xml:space="preserve">also </w:t>
      </w:r>
      <w:r w:rsidR="00B83BA2">
        <w:rPr>
          <w:szCs w:val="22"/>
        </w:rPr>
        <w:t>allege</w:t>
      </w:r>
      <w:r w:rsidR="00305DCB">
        <w:rPr>
          <w:szCs w:val="22"/>
        </w:rPr>
        <w:t>s</w:t>
      </w:r>
      <w:r w:rsidR="00B83BA2">
        <w:rPr>
          <w:szCs w:val="22"/>
        </w:rPr>
        <w:t xml:space="preserve"> that </w:t>
      </w:r>
      <w:r w:rsidR="00B83BA2">
        <w:rPr>
          <w:szCs w:val="22"/>
        </w:rPr>
        <w:t>Telplex’s</w:t>
      </w:r>
      <w:r w:rsidR="00B83BA2">
        <w:rPr>
          <w:szCs w:val="22"/>
        </w:rPr>
        <w:t xml:space="preserve"> telemarketer </w:t>
      </w:r>
      <w:r w:rsidR="00BA5BB7">
        <w:rPr>
          <w:szCs w:val="22"/>
        </w:rPr>
        <w:t>“</w:t>
      </w:r>
      <w:r w:rsidR="009F6F0E">
        <w:rPr>
          <w:szCs w:val="22"/>
        </w:rPr>
        <w:t>called our office while we were waiting for a call back from AT&amp;T about our bill.  Under the [g]</w:t>
      </w:r>
      <w:r w:rsidR="009F6F0E">
        <w:rPr>
          <w:szCs w:val="22"/>
        </w:rPr>
        <w:t>uise</w:t>
      </w:r>
      <w:r w:rsidR="009F6F0E">
        <w:rPr>
          <w:szCs w:val="22"/>
        </w:rPr>
        <w:t xml:space="preserve"> of a[n] AT&amp;T [e]</w:t>
      </w:r>
      <w:r w:rsidR="009F6F0E">
        <w:rPr>
          <w:szCs w:val="22"/>
        </w:rPr>
        <w:t>mployee</w:t>
      </w:r>
      <w:r w:rsidR="009F6F0E">
        <w:rPr>
          <w:szCs w:val="22"/>
        </w:rPr>
        <w:t xml:space="preserve"> (…employee number 8977)</w:t>
      </w:r>
      <w:r w:rsidR="006D44BD">
        <w:rPr>
          <w:szCs w:val="22"/>
        </w:rPr>
        <w:t>, [the telemarketer]</w:t>
      </w:r>
      <w:r w:rsidR="009F6F0E">
        <w:rPr>
          <w:szCs w:val="22"/>
        </w:rPr>
        <w:t xml:space="preserve"> claimed that the FCC had mandated we [be] given better pricing options with AT&amp;T affiliat</w:t>
      </w:r>
      <w:r w:rsidR="006D7353">
        <w:rPr>
          <w:szCs w:val="22"/>
        </w:rPr>
        <w:t>e</w:t>
      </w:r>
      <w:r w:rsidR="009F6F0E">
        <w:rPr>
          <w:szCs w:val="22"/>
        </w:rPr>
        <w:t xml:space="preserve">d </w:t>
      </w:r>
      <w:r w:rsidR="009F6F0E">
        <w:rPr>
          <w:szCs w:val="22"/>
        </w:rPr>
        <w:t>Telplex</w:t>
      </w:r>
      <w:r w:rsidR="009F6F0E">
        <w:rPr>
          <w:szCs w:val="22"/>
        </w:rPr>
        <w:t>.  [T]</w:t>
      </w:r>
      <w:r w:rsidR="009F6F0E">
        <w:rPr>
          <w:szCs w:val="22"/>
        </w:rPr>
        <w:t>urns</w:t>
      </w:r>
      <w:r w:rsidR="009F6F0E">
        <w:rPr>
          <w:szCs w:val="22"/>
        </w:rPr>
        <w:t xml:space="preserve"> out they were</w:t>
      </w:r>
      <w:r w:rsidR="006D7353">
        <w:rPr>
          <w:szCs w:val="22"/>
        </w:rPr>
        <w:t>n’t</w:t>
      </w:r>
      <w:r w:rsidR="009F6F0E">
        <w:rPr>
          <w:szCs w:val="22"/>
        </w:rPr>
        <w:t xml:space="preserve"> an AT&amp;T employee and lied about the FCC mandate.”</w:t>
      </w:r>
      <w:r>
        <w:rPr>
          <w:rStyle w:val="FootnoteReference"/>
          <w:szCs w:val="22"/>
        </w:rPr>
        <w:footnoteReference w:id="11"/>
      </w:r>
      <w:r w:rsidR="00B83BA2">
        <w:rPr>
          <w:szCs w:val="22"/>
        </w:rPr>
        <w:t xml:space="preserve">  </w:t>
      </w:r>
    </w:p>
    <w:p w:rsidR="00A87E8F" w:rsidRPr="00A87E8F" w:rsidP="00305DCB">
      <w:pPr>
        <w:numPr>
          <w:ilvl w:val="0"/>
          <w:numId w:val="7"/>
        </w:numPr>
        <w:snapToGrid w:val="0"/>
        <w:spacing w:after="120"/>
        <w:ind w:left="0" w:firstLine="720"/>
        <w:rPr>
          <w:szCs w:val="22"/>
        </w:rPr>
      </w:pPr>
      <w:r>
        <w:rPr>
          <w:szCs w:val="22"/>
        </w:rPr>
        <w:t xml:space="preserve">Pursuant to our rules, we notified </w:t>
      </w:r>
      <w:r>
        <w:rPr>
          <w:szCs w:val="22"/>
        </w:rPr>
        <w:t>Telplex</w:t>
      </w:r>
      <w:r>
        <w:rPr>
          <w:szCs w:val="22"/>
        </w:rPr>
        <w:t xml:space="preserve"> of the complaint</w:t>
      </w:r>
      <w:r w:rsidR="00FE6960">
        <w:rPr>
          <w:szCs w:val="22"/>
        </w:rPr>
        <w:t>,</w:t>
      </w:r>
      <w:r>
        <w:rPr>
          <w:szCs w:val="22"/>
        </w:rPr>
        <w:t xml:space="preserve"> and </w:t>
      </w:r>
      <w:r>
        <w:rPr>
          <w:szCs w:val="22"/>
        </w:rPr>
        <w:t>Telplex</w:t>
      </w:r>
      <w:r>
        <w:rPr>
          <w:szCs w:val="22"/>
        </w:rPr>
        <w:t xml:space="preserve"> responded.</w:t>
      </w:r>
      <w:r>
        <w:rPr>
          <w:rStyle w:val="FootnoteReference"/>
          <w:szCs w:val="22"/>
        </w:rPr>
        <w:footnoteReference w:id="12"/>
      </w:r>
      <w:r>
        <w:rPr>
          <w:szCs w:val="22"/>
        </w:rPr>
        <w:t xml:space="preserve">  </w:t>
      </w:r>
      <w:r>
        <w:rPr>
          <w:szCs w:val="22"/>
        </w:rPr>
        <w:t>Telplex</w:t>
      </w:r>
      <w:r>
        <w:rPr>
          <w:szCs w:val="22"/>
        </w:rPr>
        <w:t xml:space="preserve"> state</w:t>
      </w:r>
      <w:r w:rsidR="00D33E46">
        <w:rPr>
          <w:szCs w:val="22"/>
        </w:rPr>
        <w:t>d</w:t>
      </w:r>
      <w:r>
        <w:rPr>
          <w:szCs w:val="22"/>
        </w:rPr>
        <w:t xml:space="preserve"> that authorization was received and confirmed through </w:t>
      </w:r>
      <w:r w:rsidR="00305DCB">
        <w:rPr>
          <w:szCs w:val="22"/>
        </w:rPr>
        <w:t xml:space="preserve">a </w:t>
      </w:r>
      <w:r>
        <w:rPr>
          <w:szCs w:val="22"/>
        </w:rPr>
        <w:t xml:space="preserve">TPV.  </w:t>
      </w:r>
      <w:r w:rsidR="00CF2AA9">
        <w:rPr>
          <w:szCs w:val="22"/>
        </w:rPr>
        <w:t>It also state</w:t>
      </w:r>
      <w:r w:rsidR="00D33E46">
        <w:rPr>
          <w:szCs w:val="22"/>
        </w:rPr>
        <w:t>d</w:t>
      </w:r>
      <w:r w:rsidR="00CF2AA9">
        <w:rPr>
          <w:szCs w:val="22"/>
        </w:rPr>
        <w:t xml:space="preserve"> that </w:t>
      </w:r>
      <w:r>
        <w:rPr>
          <w:szCs w:val="24"/>
        </w:rPr>
        <w:t>Complainant’s</w:t>
      </w:r>
      <w:r w:rsidR="00CF2AA9">
        <w:rPr>
          <w:szCs w:val="24"/>
        </w:rPr>
        <w:t xml:space="preserve"> </w:t>
      </w:r>
      <w:r>
        <w:rPr>
          <w:szCs w:val="24"/>
        </w:rPr>
        <w:t>“</w:t>
      </w:r>
      <w:r w:rsidR="00CF2AA9">
        <w:rPr>
          <w:szCs w:val="24"/>
        </w:rPr>
        <w:t>un</w:t>
      </w:r>
      <w:r w:rsidR="00C80625">
        <w:rPr>
          <w:szCs w:val="24"/>
        </w:rPr>
        <w:t>verified hearsay</w:t>
      </w:r>
      <w:r w:rsidR="00CF2AA9">
        <w:rPr>
          <w:szCs w:val="24"/>
        </w:rPr>
        <w:t xml:space="preserve"> allegations are directly contradicted by the TPV recording and </w:t>
      </w:r>
      <w:r w:rsidR="008F7313">
        <w:rPr>
          <w:szCs w:val="24"/>
        </w:rPr>
        <w:t xml:space="preserve">[TPV] </w:t>
      </w:r>
      <w:r w:rsidR="00CF2AA9">
        <w:rPr>
          <w:szCs w:val="24"/>
        </w:rPr>
        <w:t>transcript un</w:t>
      </w:r>
      <w:r w:rsidR="00C80625">
        <w:rPr>
          <w:szCs w:val="24"/>
        </w:rPr>
        <w:t>equivocally confirms</w:t>
      </w:r>
      <w:r w:rsidR="00CF2AA9">
        <w:rPr>
          <w:szCs w:val="24"/>
        </w:rPr>
        <w:t xml:space="preserve"> </w:t>
      </w:r>
      <w:r w:rsidR="00C80625">
        <w:rPr>
          <w:szCs w:val="24"/>
        </w:rPr>
        <w:t xml:space="preserve">his understanding that the telemarketer called him </w:t>
      </w:r>
      <w:r w:rsidR="00CF2AA9">
        <w:rPr>
          <w:szCs w:val="24"/>
        </w:rPr>
        <w:t xml:space="preserve">on behalf of </w:t>
      </w:r>
      <w:r w:rsidR="00CF2AA9">
        <w:rPr>
          <w:szCs w:val="24"/>
        </w:rPr>
        <w:t>Telplex</w:t>
      </w:r>
      <w:r w:rsidR="008F7313">
        <w:rPr>
          <w:szCs w:val="24"/>
        </w:rPr>
        <w:t>…</w:t>
      </w:r>
      <w:r>
        <w:rPr>
          <w:szCs w:val="24"/>
        </w:rPr>
        <w:t>”</w:t>
      </w:r>
      <w:r>
        <w:rPr>
          <w:rStyle w:val="FootnoteReference"/>
          <w:szCs w:val="24"/>
        </w:rPr>
        <w:footnoteReference w:id="13"/>
      </w:r>
      <w:r w:rsidR="00CA752A">
        <w:rPr>
          <w:szCs w:val="24"/>
        </w:rPr>
        <w:t xml:space="preserve">  </w:t>
      </w:r>
      <w:r w:rsidR="00CA752A">
        <w:rPr>
          <w:szCs w:val="24"/>
        </w:rPr>
        <w:t>Telplex</w:t>
      </w:r>
      <w:r w:rsidR="00305DCB">
        <w:rPr>
          <w:szCs w:val="24"/>
        </w:rPr>
        <w:t xml:space="preserve"> </w:t>
      </w:r>
      <w:r w:rsidR="00CA752A">
        <w:rPr>
          <w:szCs w:val="24"/>
        </w:rPr>
        <w:t>d</w:t>
      </w:r>
      <w:r w:rsidR="008F5FAB">
        <w:rPr>
          <w:szCs w:val="24"/>
        </w:rPr>
        <w:t>id</w:t>
      </w:r>
      <w:r w:rsidR="00CA752A">
        <w:rPr>
          <w:szCs w:val="24"/>
        </w:rPr>
        <w:t xml:space="preserve"> not</w:t>
      </w:r>
      <w:r w:rsidR="00305DCB">
        <w:rPr>
          <w:szCs w:val="24"/>
        </w:rPr>
        <w:t>, however,</w:t>
      </w:r>
      <w:r w:rsidR="00CA752A">
        <w:rPr>
          <w:szCs w:val="24"/>
        </w:rPr>
        <w:t xml:space="preserve"> provide the sales call recording</w:t>
      </w:r>
      <w:r>
        <w:rPr>
          <w:szCs w:val="24"/>
        </w:rPr>
        <w:t xml:space="preserve"> </w:t>
      </w:r>
      <w:r w:rsidR="00E342E6">
        <w:rPr>
          <w:szCs w:val="24"/>
        </w:rPr>
        <w:t>or other</w:t>
      </w:r>
      <w:r w:rsidR="001B1CAF">
        <w:rPr>
          <w:szCs w:val="24"/>
        </w:rPr>
        <w:t xml:space="preserve"> persuasive</w:t>
      </w:r>
      <w:r>
        <w:rPr>
          <w:szCs w:val="24"/>
        </w:rPr>
        <w:t xml:space="preserve"> evidence</w:t>
      </w:r>
      <w:r w:rsidR="001B1CAF">
        <w:rPr>
          <w:szCs w:val="24"/>
        </w:rPr>
        <w:t xml:space="preserve"> to rebut Complainant’s claim</w:t>
      </w:r>
      <w:r w:rsidR="008F7313">
        <w:rPr>
          <w:szCs w:val="24"/>
        </w:rPr>
        <w:t xml:space="preserve"> of misrepresentation.</w:t>
      </w:r>
      <w:r>
        <w:rPr>
          <w:szCs w:val="24"/>
        </w:rPr>
        <w:t xml:space="preserve"> </w:t>
      </w:r>
    </w:p>
    <w:p w:rsidR="00AB71F2" w:rsidP="00305DCB">
      <w:pPr>
        <w:numPr>
          <w:ilvl w:val="0"/>
          <w:numId w:val="7"/>
        </w:numPr>
        <w:snapToGrid w:val="0"/>
        <w:spacing w:after="120"/>
        <w:ind w:left="0" w:firstLine="720"/>
        <w:rPr>
          <w:szCs w:val="22"/>
        </w:rPr>
      </w:pPr>
      <w:r>
        <w:rPr>
          <w:szCs w:val="22"/>
        </w:rPr>
        <w:t>Based on all the evidence in the record, w</w:t>
      </w:r>
      <w:r w:rsidR="005D20F0">
        <w:rPr>
          <w:szCs w:val="22"/>
        </w:rPr>
        <w:t xml:space="preserve">e </w:t>
      </w:r>
      <w:r w:rsidR="00305DCB">
        <w:rPr>
          <w:szCs w:val="22"/>
        </w:rPr>
        <w:t>find Complainant’s allegation of a sales call misrepresentation to be credible</w:t>
      </w:r>
      <w:r w:rsidR="00FE6960">
        <w:rPr>
          <w:szCs w:val="22"/>
        </w:rPr>
        <w:t xml:space="preserve"> due to its specificity and consistency with other complaints we have reviewed</w:t>
      </w:r>
      <w:r w:rsidR="00305DCB">
        <w:rPr>
          <w:szCs w:val="22"/>
        </w:rPr>
        <w:t xml:space="preserve">.  We </w:t>
      </w:r>
      <w:r w:rsidR="001B1CAF">
        <w:rPr>
          <w:szCs w:val="22"/>
        </w:rPr>
        <w:t>further find</w:t>
      </w:r>
      <w:r w:rsidR="00305DCB">
        <w:rPr>
          <w:szCs w:val="22"/>
        </w:rPr>
        <w:t xml:space="preserve"> that </w:t>
      </w:r>
      <w:r w:rsidR="00305DCB">
        <w:rPr>
          <w:szCs w:val="22"/>
        </w:rPr>
        <w:t>Telplex</w:t>
      </w:r>
      <w:r w:rsidR="00305DCB">
        <w:rPr>
          <w:szCs w:val="22"/>
        </w:rPr>
        <w:t xml:space="preserve"> has failed to provide persuasive evidence to rebut Complainant’s claim</w:t>
      </w:r>
      <w:r w:rsidR="001B1CAF">
        <w:rPr>
          <w:szCs w:val="22"/>
        </w:rPr>
        <w:t xml:space="preserve"> and therefore that Complainant’s authorization to change carriers is invalid</w:t>
      </w:r>
      <w:r w:rsidR="00305DCB">
        <w:rPr>
          <w:szCs w:val="22"/>
        </w:rPr>
        <w:t xml:space="preserve">. </w:t>
      </w:r>
      <w:r w:rsidR="001B1CAF">
        <w:rPr>
          <w:szCs w:val="22"/>
        </w:rPr>
        <w:t xml:space="preserve"> </w:t>
      </w:r>
      <w:r>
        <w:rPr>
          <w:szCs w:val="22"/>
        </w:rPr>
        <w:t>W</w:t>
      </w:r>
      <w:r w:rsidR="005D20F0">
        <w:rPr>
          <w:szCs w:val="22"/>
        </w:rPr>
        <w:t>e</w:t>
      </w:r>
      <w:r>
        <w:rPr>
          <w:szCs w:val="22"/>
        </w:rPr>
        <w:t xml:space="preserve"> therefore</w:t>
      </w:r>
      <w:r w:rsidR="005D20F0">
        <w:rPr>
          <w:szCs w:val="22"/>
        </w:rPr>
        <w:t xml:space="preserve"> </w:t>
      </w:r>
      <w:r>
        <w:rPr>
          <w:szCs w:val="22"/>
        </w:rPr>
        <w:t>find</w:t>
      </w:r>
      <w:r w:rsidR="005D20F0">
        <w:rPr>
          <w:szCs w:val="22"/>
        </w:rPr>
        <w:t xml:space="preserve"> that </w:t>
      </w:r>
      <w:r w:rsidR="00B83BA2">
        <w:rPr>
          <w:szCs w:val="22"/>
        </w:rPr>
        <w:t>Telplex’s</w:t>
      </w:r>
      <w:r w:rsidR="00B83BA2">
        <w:rPr>
          <w:szCs w:val="22"/>
        </w:rPr>
        <w:t xml:space="preserve"> actions resulted in an unauthorized change in Complainant’s </w:t>
      </w:r>
      <w:r>
        <w:rPr>
          <w:szCs w:val="22"/>
        </w:rPr>
        <w:t xml:space="preserve">telecommunications service provider, as defined by the rules. </w:t>
      </w:r>
    </w:p>
    <w:p w:rsidR="00AB71F2" w:rsidP="00305DCB">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Pr>
          <w:szCs w:val="22"/>
        </w:rPr>
        <w:t>Telplex</w:t>
      </w:r>
      <w:r>
        <w:rPr>
          <w:szCs w:val="22"/>
        </w:rPr>
        <w:t xml:space="preserve"> Communications </w:t>
      </w:r>
      <w:r w:rsidR="00A87E8F">
        <w:rPr>
          <w:szCs w:val="22"/>
        </w:rPr>
        <w:t>IS</w:t>
      </w:r>
      <w:r>
        <w:rPr>
          <w:szCs w:val="22"/>
        </w:rPr>
        <w:t xml:space="preserve"> </w:t>
      </w:r>
      <w:r w:rsidR="00A87E8F">
        <w:rPr>
          <w:szCs w:val="22"/>
        </w:rPr>
        <w:t>GRANTED</w:t>
      </w:r>
      <w:r>
        <w:rPr>
          <w:szCs w:val="22"/>
        </w:rPr>
        <w:t>.</w:t>
      </w:r>
    </w:p>
    <w:p w:rsidR="00AB71F2" w:rsidRPr="00DB138B" w:rsidP="00D46AA1">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w:t>
      </w:r>
      <w:r w:rsidRPr="00FD2C3C">
        <w:rPr>
          <w:szCs w:val="22"/>
        </w:rPr>
        <w:t xml:space="preserve">first thirty days after the unauthorized change occurred and that </w:t>
      </w:r>
      <w:r>
        <w:rPr>
          <w:szCs w:val="22"/>
        </w:rPr>
        <w:t>Telplex</w:t>
      </w:r>
      <w:r>
        <w:rPr>
          <w:szCs w:val="22"/>
        </w:rPr>
        <w:t xml:space="preserve"> Communications</w:t>
      </w:r>
      <w:r w:rsidRPr="00FD2C3C">
        <w:rPr>
          <w:szCs w:val="22"/>
        </w:rPr>
        <w:t xml:space="preserve"> may not pursue any collection against Complainant for those charges.</w:t>
      </w:r>
    </w:p>
    <w:p w:rsidR="00AB71F2" w:rsidRPr="00305DCB" w:rsidP="00305DCB">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CC5A9C">
      <w:pPr>
        <w:spacing w:after="120"/>
        <w:ind w:left="3600" w:right="270"/>
        <w:rPr>
          <w:szCs w:val="22"/>
        </w:rPr>
      </w:pPr>
      <w:r>
        <w:rPr>
          <w:szCs w:val="22"/>
        </w:rPr>
        <w:t>FEDERAL COMMUNICATIONS COMMISSION</w:t>
      </w:r>
    </w:p>
    <w:p w:rsidR="00AB71F2" w:rsidP="005328A1">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AB71F2" w:rsidP="00AB71F2">
      <w:pPr>
        <w:ind w:left="540"/>
        <w:rPr>
          <w:szCs w:val="22"/>
        </w:rPr>
      </w:pP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695B">
      <w:r>
        <w:separator/>
      </w:r>
    </w:p>
  </w:footnote>
  <w:footnote w:type="continuationSeparator" w:id="1">
    <w:p w:rsidR="0003695B" w:rsidP="00C721AC">
      <w:pPr>
        <w:spacing w:before="120"/>
        <w:rPr>
          <w:sz w:val="20"/>
        </w:rPr>
      </w:pPr>
      <w:r>
        <w:rPr>
          <w:sz w:val="20"/>
        </w:rPr>
        <w:t xml:space="preserve">(Continued from previous page)  </w:t>
      </w:r>
      <w:r>
        <w:rPr>
          <w:sz w:val="20"/>
        </w:rPr>
        <w:separator/>
      </w:r>
    </w:p>
  </w:footnote>
  <w:footnote w:type="continuationNotice" w:id="2">
    <w:p w:rsidR="0003695B"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3</w:t>
      </w:r>
      <w:r w:rsidR="00106F6E">
        <w:t>215127</w:t>
      </w:r>
      <w:r w:rsidR="006533AA">
        <w:t xml:space="preserve"> (filed </w:t>
      </w:r>
      <w:r w:rsidR="00106F6E">
        <w:t>Apr</w:t>
      </w:r>
      <w:r w:rsidR="009F6F0E">
        <w:t>.</w:t>
      </w:r>
      <w:r w:rsidR="00106F6E">
        <w:t xml:space="preserve"> </w:t>
      </w:r>
      <w:r w:rsidR="009F6F0E">
        <w:t>25</w:t>
      </w:r>
      <w:r w:rsidR="006533AA">
        <w:t xml:space="preserve">,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w:t>
      </w:r>
      <w:r w:rsidRPr="009F6F0E" w:rsidR="009F6F0E">
        <w:rPr>
          <w:i/>
        </w:rPr>
        <w:t>Id</w:t>
      </w:r>
      <w:r w:rsidR="009F6F0E">
        <w:t>.</w:t>
      </w:r>
      <w:r>
        <w:t xml:space="preserve">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305DCB">
      <w:pPr>
        <w:pStyle w:val="FootnoteText"/>
      </w:pPr>
      <w:r>
        <w:rPr>
          <w:rStyle w:val="FootnoteReference"/>
        </w:rPr>
        <w:footnoteRef/>
      </w:r>
      <w:r>
        <w:t xml:space="preserve"> </w:t>
      </w:r>
      <w:r w:rsidRPr="00305DCB">
        <w:rPr>
          <w:i/>
        </w:rPr>
        <w:t>See</w:t>
      </w:r>
      <w:r>
        <w:t xml:space="preserve"> Informal Complaint No. 3</w:t>
      </w:r>
      <w:r w:rsidR="006D19EC">
        <w:t>215127</w:t>
      </w:r>
      <w:r>
        <w:t>.</w:t>
      </w:r>
    </w:p>
  </w:footnote>
  <w:footnote w:id="12">
    <w:p w:rsidR="00AB71F2" w:rsidP="00AB71F2">
      <w:pPr>
        <w:pStyle w:val="FootnoteText"/>
        <w:tabs>
          <w:tab w:val="left" w:pos="0"/>
        </w:tabs>
      </w:pPr>
      <w:r>
        <w:rPr>
          <w:rStyle w:val="FootnoteReference"/>
        </w:rPr>
        <w:footnoteRef/>
      </w:r>
      <w:r>
        <w:t xml:space="preserve"> 47 CFR § 1.719 (Commission procedure for informal complaints filed pursuant to </w:t>
      </w:r>
      <w:r w:rsidR="00305DCB">
        <w:t>s</w:t>
      </w:r>
      <w:r>
        <w:t xml:space="preserve">ection 258 of the Act); </w:t>
      </w:r>
      <w:r>
        <w:rPr>
          <w:i/>
        </w:rPr>
        <w:t>id</w:t>
      </w:r>
      <w:r>
        <w:t>. § 64.1150 (procedures for resolution of unauthorized changes in preferred carrier).</w:t>
      </w:r>
    </w:p>
  </w:footnote>
  <w:footnote w:id="13">
    <w:p w:rsidR="008F5FAB">
      <w:pPr>
        <w:pStyle w:val="FootnoteText"/>
      </w:pPr>
      <w:r>
        <w:rPr>
          <w:rStyle w:val="FootnoteReference"/>
        </w:rPr>
        <w:footnoteRef/>
      </w:r>
      <w:r>
        <w:t xml:space="preserve"> </w:t>
      </w:r>
      <w:r w:rsidRPr="008F5FAB">
        <w:rPr>
          <w:i/>
        </w:rPr>
        <w:t>See</w:t>
      </w:r>
      <w:r>
        <w:t xml:space="preserve"> </w:t>
      </w:r>
      <w:r>
        <w:t>Telplex</w:t>
      </w:r>
      <w:r>
        <w:t xml:space="preserve"> Response to Informal Complaint No. 3</w:t>
      </w:r>
      <w:r w:rsidR="006D19EC">
        <w:t>215127</w:t>
      </w:r>
      <w:r>
        <w:t xml:space="preserve"> (filed Ma</w:t>
      </w:r>
      <w:r w:rsidR="006D19EC">
        <w:t>y 28</w:t>
      </w:r>
      <w:r>
        <w:t xml:space="preserv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C21BE4">
      <w:t>751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sidR="00C21BE4">
      <w:rPr>
        <w:spacing w:val="-2"/>
      </w:rPr>
      <w:t>751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237AB"/>
    <w:rsid w:val="00036039"/>
    <w:rsid w:val="0003695B"/>
    <w:rsid w:val="00037F90"/>
    <w:rsid w:val="00060FC4"/>
    <w:rsid w:val="000875BF"/>
    <w:rsid w:val="00096D8C"/>
    <w:rsid w:val="000C0B65"/>
    <w:rsid w:val="000E05FE"/>
    <w:rsid w:val="000E3D42"/>
    <w:rsid w:val="00106F6E"/>
    <w:rsid w:val="00122BD5"/>
    <w:rsid w:val="00133F79"/>
    <w:rsid w:val="00194A66"/>
    <w:rsid w:val="001B1CAF"/>
    <w:rsid w:val="001B7EAB"/>
    <w:rsid w:val="001D6BCF"/>
    <w:rsid w:val="001E01CA"/>
    <w:rsid w:val="00237F60"/>
    <w:rsid w:val="00275CF5"/>
    <w:rsid w:val="0028301F"/>
    <w:rsid w:val="00285017"/>
    <w:rsid w:val="002A2D2E"/>
    <w:rsid w:val="002C00E8"/>
    <w:rsid w:val="00305DCB"/>
    <w:rsid w:val="00311848"/>
    <w:rsid w:val="00343749"/>
    <w:rsid w:val="003660ED"/>
    <w:rsid w:val="003B0550"/>
    <w:rsid w:val="003B694F"/>
    <w:rsid w:val="003F171C"/>
    <w:rsid w:val="00412FC5"/>
    <w:rsid w:val="00422276"/>
    <w:rsid w:val="004242F1"/>
    <w:rsid w:val="00445A00"/>
    <w:rsid w:val="00451B0F"/>
    <w:rsid w:val="004C2EE3"/>
    <w:rsid w:val="004E4A22"/>
    <w:rsid w:val="00511968"/>
    <w:rsid w:val="005328A1"/>
    <w:rsid w:val="0055614C"/>
    <w:rsid w:val="00566D06"/>
    <w:rsid w:val="005D20F0"/>
    <w:rsid w:val="005E14C2"/>
    <w:rsid w:val="00607BA5"/>
    <w:rsid w:val="0061180A"/>
    <w:rsid w:val="00626EB6"/>
    <w:rsid w:val="006533AA"/>
    <w:rsid w:val="00655D03"/>
    <w:rsid w:val="00683388"/>
    <w:rsid w:val="00683F84"/>
    <w:rsid w:val="006A6A81"/>
    <w:rsid w:val="006D19EC"/>
    <w:rsid w:val="006D44BD"/>
    <w:rsid w:val="006D7353"/>
    <w:rsid w:val="006F7393"/>
    <w:rsid w:val="0070224F"/>
    <w:rsid w:val="007115F7"/>
    <w:rsid w:val="00785689"/>
    <w:rsid w:val="0079754B"/>
    <w:rsid w:val="007A1E6D"/>
    <w:rsid w:val="007B0EB2"/>
    <w:rsid w:val="007D10ED"/>
    <w:rsid w:val="00810B6F"/>
    <w:rsid w:val="00822CE0"/>
    <w:rsid w:val="00841AB1"/>
    <w:rsid w:val="00856C22"/>
    <w:rsid w:val="008C68F1"/>
    <w:rsid w:val="008F5FAB"/>
    <w:rsid w:val="008F7313"/>
    <w:rsid w:val="00921803"/>
    <w:rsid w:val="00926503"/>
    <w:rsid w:val="0093379B"/>
    <w:rsid w:val="009726D8"/>
    <w:rsid w:val="009D7308"/>
    <w:rsid w:val="009E714E"/>
    <w:rsid w:val="009F6F0E"/>
    <w:rsid w:val="009F76DB"/>
    <w:rsid w:val="00A138E2"/>
    <w:rsid w:val="00A32C3B"/>
    <w:rsid w:val="00A45F4F"/>
    <w:rsid w:val="00A600A9"/>
    <w:rsid w:val="00A87E8F"/>
    <w:rsid w:val="00AA55B7"/>
    <w:rsid w:val="00AA5B9E"/>
    <w:rsid w:val="00AB2407"/>
    <w:rsid w:val="00AB53DF"/>
    <w:rsid w:val="00AB71F2"/>
    <w:rsid w:val="00B07E5C"/>
    <w:rsid w:val="00B811F7"/>
    <w:rsid w:val="00B83BA2"/>
    <w:rsid w:val="00BA5BB7"/>
    <w:rsid w:val="00BA5DC6"/>
    <w:rsid w:val="00BA6196"/>
    <w:rsid w:val="00BC6D8C"/>
    <w:rsid w:val="00C21BE4"/>
    <w:rsid w:val="00C34006"/>
    <w:rsid w:val="00C36B4C"/>
    <w:rsid w:val="00C426B1"/>
    <w:rsid w:val="00C66160"/>
    <w:rsid w:val="00C721AC"/>
    <w:rsid w:val="00C80625"/>
    <w:rsid w:val="00C90D6A"/>
    <w:rsid w:val="00CA247E"/>
    <w:rsid w:val="00CA6D21"/>
    <w:rsid w:val="00CA752A"/>
    <w:rsid w:val="00CC5A9C"/>
    <w:rsid w:val="00CC72B6"/>
    <w:rsid w:val="00CE5BF4"/>
    <w:rsid w:val="00CF2AA9"/>
    <w:rsid w:val="00D0218D"/>
    <w:rsid w:val="00D25FB5"/>
    <w:rsid w:val="00D26A9E"/>
    <w:rsid w:val="00D33E46"/>
    <w:rsid w:val="00D44223"/>
    <w:rsid w:val="00D46AA1"/>
    <w:rsid w:val="00DA2529"/>
    <w:rsid w:val="00DB130A"/>
    <w:rsid w:val="00DB138B"/>
    <w:rsid w:val="00DB2EBB"/>
    <w:rsid w:val="00DC10A1"/>
    <w:rsid w:val="00DC655F"/>
    <w:rsid w:val="00DD0B59"/>
    <w:rsid w:val="00DD7EBD"/>
    <w:rsid w:val="00DF62B6"/>
    <w:rsid w:val="00E07225"/>
    <w:rsid w:val="00E342E6"/>
    <w:rsid w:val="00E5409F"/>
    <w:rsid w:val="00EE6488"/>
    <w:rsid w:val="00EF3395"/>
    <w:rsid w:val="00F021FA"/>
    <w:rsid w:val="00F62E97"/>
    <w:rsid w:val="00F64209"/>
    <w:rsid w:val="00F93BF5"/>
    <w:rsid w:val="00FD2C3C"/>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