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Tele</w:t>
            </w:r>
            <w:r w:rsidR="00AC0554">
              <w:rPr>
                <w:szCs w:val="22"/>
              </w:rPr>
              <w:t xml:space="preserve"> </w:t>
            </w:r>
            <w:r>
              <w:rPr>
                <w:szCs w:val="22"/>
              </w:rPr>
              <w:t>Circuit</w:t>
            </w:r>
            <w:r w:rsidR="00AC0554">
              <w:rPr>
                <w:szCs w:val="22"/>
              </w:rPr>
              <w:t xml:space="preserve"> Network Corporation</w:t>
            </w:r>
          </w:p>
          <w:p w:rsidR="00543CA2">
            <w:pPr>
              <w:tabs>
                <w:tab w:val="center" w:pos="4680"/>
              </w:tabs>
              <w:suppressAutoHyphens/>
              <w:rPr>
                <w:szCs w:val="22"/>
              </w:rPr>
            </w:pPr>
          </w:p>
          <w:p w:rsidR="00543CA2">
            <w:pPr>
              <w:pStyle w:val="TOAHeading"/>
              <w:tabs>
                <w:tab w:val="center" w:pos="4680"/>
              </w:tabs>
              <w:rPr>
                <w:szCs w:val="22"/>
              </w:rPr>
            </w:pPr>
            <w:r>
              <w:rPr>
                <w:szCs w:val="22"/>
              </w:rPr>
              <w:t xml:space="preserve">Complaint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9F31B8" w:rsidRPr="006701B4" w:rsidP="006701B4">
            <w:pPr>
              <w:pStyle w:val="TOAHeading"/>
              <w:rPr>
                <w:szCs w:val="22"/>
              </w:rPr>
            </w:pPr>
            <w:r>
              <w:rPr>
                <w:szCs w:val="22"/>
              </w:rPr>
              <w:t xml:space="preserve">Complaint No. </w:t>
            </w:r>
            <w:r w:rsidR="00240D4F">
              <w:rPr>
                <w:szCs w:val="22"/>
              </w:rPr>
              <w:t xml:space="preserve"> </w:t>
            </w:r>
            <w:r w:rsidR="00576F1C">
              <w:rPr>
                <w:szCs w:val="22"/>
              </w:rPr>
              <w:t>3162301</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1F12F0">
        <w:rPr>
          <w:b/>
          <w:spacing w:val="-2"/>
          <w:szCs w:val="22"/>
        </w:rPr>
        <w:t xml:space="preserve"> </w:t>
      </w:r>
      <w:r w:rsidR="00A35665">
        <w:rPr>
          <w:b/>
          <w:spacing w:val="-2"/>
          <w:szCs w:val="22"/>
        </w:rPr>
        <w:t>August 8</w:t>
      </w:r>
      <w:r>
        <w:rPr>
          <w:b/>
          <w:spacing w:val="-2"/>
          <w:szCs w:val="22"/>
        </w:rPr>
        <w:t>, 201</w:t>
      </w:r>
      <w:r w:rsidR="006E3575">
        <w:rPr>
          <w:b/>
          <w:spacing w:val="-2"/>
          <w:szCs w:val="22"/>
        </w:rPr>
        <w:t>9</w:t>
      </w:r>
      <w:r>
        <w:rPr>
          <w:b/>
          <w:spacing w:val="-2"/>
          <w:szCs w:val="22"/>
        </w:rPr>
        <w:tab/>
      </w:r>
      <w:r w:rsidR="00AC0554">
        <w:rPr>
          <w:b/>
          <w:spacing w:val="-2"/>
          <w:szCs w:val="22"/>
        </w:rPr>
        <w:tab/>
      </w:r>
      <w:r>
        <w:rPr>
          <w:b/>
          <w:spacing w:val="-2"/>
          <w:szCs w:val="22"/>
        </w:rPr>
        <w:t xml:space="preserve">Released:  </w:t>
      </w:r>
      <w:r w:rsidR="00A35665">
        <w:rPr>
          <w:b/>
          <w:spacing w:val="-2"/>
          <w:szCs w:val="22"/>
        </w:rPr>
        <w:t>August 8</w:t>
      </w:r>
      <w:r>
        <w:rPr>
          <w:b/>
          <w:spacing w:val="-2"/>
          <w:szCs w:val="22"/>
        </w:rPr>
        <w:t>, 201</w:t>
      </w:r>
      <w:r w:rsidR="006E3575">
        <w:rPr>
          <w:b/>
          <w:spacing w:val="-2"/>
          <w:szCs w:val="22"/>
        </w:rPr>
        <w:t>9</w:t>
      </w:r>
    </w:p>
    <w:p w:rsidR="00543CA2" w:rsidP="00543CA2">
      <w:pPr>
        <w:rPr>
          <w:szCs w:val="22"/>
        </w:rPr>
      </w:pPr>
    </w:p>
    <w:p w:rsidR="00543CA2" w:rsidP="00153139">
      <w:pPr>
        <w:spacing w:after="120"/>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RPr="005457D3" w:rsidP="00153139">
      <w:pPr>
        <w:numPr>
          <w:ilvl w:val="0"/>
          <w:numId w:val="7"/>
        </w:numPr>
        <w:tabs>
          <w:tab w:val="num" w:pos="0"/>
        </w:tabs>
        <w:snapToGrid w:val="0"/>
        <w:spacing w:after="120"/>
        <w:ind w:left="0" w:firstLine="720"/>
        <w:rPr>
          <w:kern w:val="0"/>
          <w:szCs w:val="22"/>
        </w:rPr>
      </w:pPr>
      <w:r>
        <w:rPr>
          <w:szCs w:val="22"/>
        </w:rPr>
        <w:t xml:space="preserve">In this Order, we consider </w:t>
      </w:r>
      <w:r w:rsidR="00AC0554">
        <w:rPr>
          <w:szCs w:val="22"/>
        </w:rPr>
        <w:t>a</w:t>
      </w:r>
      <w:r w:rsidR="006701B4">
        <w:rPr>
          <w:szCs w:val="22"/>
        </w:rPr>
        <w:t xml:space="preserve"> </w:t>
      </w:r>
      <w:r>
        <w:rPr>
          <w:szCs w:val="22"/>
        </w:rPr>
        <w:t>complaint alleging that</w:t>
      </w:r>
      <w:r w:rsidR="00CB4EAA">
        <w:rPr>
          <w:szCs w:val="22"/>
        </w:rPr>
        <w:t xml:space="preserve"> </w:t>
      </w:r>
      <w:r w:rsidR="00576F1C">
        <w:rPr>
          <w:szCs w:val="22"/>
        </w:rPr>
        <w:t>Tele</w:t>
      </w:r>
      <w:r w:rsidR="00AC0554">
        <w:rPr>
          <w:szCs w:val="22"/>
        </w:rPr>
        <w:t xml:space="preserve"> </w:t>
      </w:r>
      <w:r w:rsidR="00576F1C">
        <w:rPr>
          <w:szCs w:val="22"/>
        </w:rPr>
        <w:t>Circuit</w:t>
      </w:r>
      <w:r w:rsidR="00AC0554">
        <w:rPr>
          <w:szCs w:val="22"/>
        </w:rPr>
        <w:t xml:space="preserve"> Network Corporation (Tele Circuit)</w:t>
      </w:r>
      <w:r>
        <w:rPr>
          <w:szCs w:val="22"/>
        </w:rPr>
        <w:t xml:space="preserve"> changed Complainant</w:t>
      </w:r>
      <w:r w:rsidR="006701B4">
        <w:rPr>
          <w:szCs w:val="22"/>
        </w:rPr>
        <w:t>’s</w:t>
      </w:r>
      <w:r>
        <w:rPr>
          <w:szCs w:val="22"/>
        </w:rPr>
        <w:t xml:space="preserve"> telecommunications service provider without obtaining authorization and verification from Complainant </w:t>
      </w:r>
      <w:r w:rsidR="00AC0554">
        <w:rPr>
          <w:szCs w:val="22"/>
        </w:rPr>
        <w:t>as required by</w:t>
      </w:r>
      <w:r>
        <w:rPr>
          <w:szCs w:val="22"/>
        </w:rPr>
        <w:t xml:space="preserve"> the Commission’s rules.</w:t>
      </w:r>
      <w:r>
        <w:rPr>
          <w:rStyle w:val="FootnoteReference"/>
          <w:szCs w:val="22"/>
        </w:rPr>
        <w:footnoteReference w:id="3"/>
      </w:r>
      <w:r>
        <w:rPr>
          <w:szCs w:val="22"/>
        </w:rPr>
        <w:t xml:space="preserve">  We </w:t>
      </w:r>
      <w:r w:rsidR="00E11822">
        <w:rPr>
          <w:szCs w:val="22"/>
        </w:rPr>
        <w:t>find</w:t>
      </w:r>
      <w:r>
        <w:rPr>
          <w:szCs w:val="22"/>
        </w:rPr>
        <w:t xml:space="preserve"> that</w:t>
      </w:r>
      <w:r w:rsidR="003C3A54">
        <w:rPr>
          <w:szCs w:val="22"/>
        </w:rPr>
        <w:t xml:space="preserve"> </w:t>
      </w:r>
      <w:r w:rsidR="00576F1C">
        <w:rPr>
          <w:szCs w:val="22"/>
        </w:rPr>
        <w:t>Tele</w:t>
      </w:r>
      <w:r w:rsidR="00AC0554">
        <w:rPr>
          <w:szCs w:val="22"/>
        </w:rPr>
        <w:t xml:space="preserve"> </w:t>
      </w:r>
      <w:r w:rsidR="00576F1C">
        <w:rPr>
          <w:szCs w:val="22"/>
        </w:rPr>
        <w:t>Circuit</w:t>
      </w:r>
      <w:r>
        <w:rPr>
          <w:szCs w:val="22"/>
        </w:rPr>
        <w:t xml:space="preserve">’s actions violated the Commission’s </w:t>
      </w:r>
      <w:r w:rsidR="00AC0554">
        <w:rPr>
          <w:szCs w:val="22"/>
        </w:rPr>
        <w:t>slamming</w:t>
      </w:r>
      <w:r>
        <w:rPr>
          <w:szCs w:val="22"/>
        </w:rPr>
        <w:t xml:space="preserve"> rules</w:t>
      </w:r>
      <w:r w:rsidR="00E11822">
        <w:rPr>
          <w:szCs w:val="22"/>
        </w:rPr>
        <w:t>,</w:t>
      </w:r>
      <w:r>
        <w:rPr>
          <w:szCs w:val="22"/>
        </w:rPr>
        <w:t xml:space="preserve"> and we </w:t>
      </w:r>
      <w:r w:rsidR="00E11822">
        <w:rPr>
          <w:szCs w:val="22"/>
        </w:rPr>
        <w:t xml:space="preserve">therefore </w:t>
      </w:r>
      <w:r>
        <w:rPr>
          <w:szCs w:val="22"/>
        </w:rPr>
        <w:t>g</w:t>
      </w:r>
      <w:bookmarkStart w:id="0" w:name="_GoBack"/>
      <w:bookmarkEnd w:id="0"/>
      <w:r>
        <w:rPr>
          <w:szCs w:val="22"/>
        </w:rPr>
        <w:t>rant Complainant</w:t>
      </w:r>
      <w:r w:rsidR="006701B4">
        <w:rPr>
          <w:szCs w:val="22"/>
        </w:rPr>
        <w:t>’s</w:t>
      </w:r>
      <w:r>
        <w:rPr>
          <w:szCs w:val="22"/>
        </w:rPr>
        <w:t xml:space="preserve"> complaint.</w:t>
      </w:r>
    </w:p>
    <w:p w:rsidR="00543CA2" w:rsidRPr="00154175" w:rsidP="00153139">
      <w:pPr>
        <w:numPr>
          <w:ilvl w:val="0"/>
          <w:numId w:val="7"/>
        </w:numPr>
        <w:tabs>
          <w:tab w:val="num" w:pos="0"/>
        </w:tabs>
        <w:snapToGrid w:val="0"/>
        <w:spacing w:after="120"/>
        <w:ind w:left="0" w:firstLine="720"/>
        <w:rPr>
          <w:szCs w:val="22"/>
        </w:rPr>
      </w:pPr>
      <w:r w:rsidRPr="00142D97">
        <w:t>Section 258 of the Communications Act of 1934, as amended</w:t>
      </w:r>
      <w:r w:rsidR="00AC0554">
        <w:t xml:space="preserve"> (the Act)</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AC0554">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The Commission has</w:t>
      </w:r>
      <w:r w:rsidR="00AC0554">
        <w:t xml:space="preserve"> also</w:t>
      </w:r>
      <w:r w:rsidRPr="00142D97">
        <w:t xml:space="preserve">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562BA0" w:rsidRPr="005457D3" w:rsidP="00153139">
      <w:pPr>
        <w:numPr>
          <w:ilvl w:val="0"/>
          <w:numId w:val="7"/>
        </w:numPr>
        <w:snapToGrid w:val="0"/>
        <w:spacing w:after="120"/>
        <w:ind w:left="0" w:firstLine="720"/>
        <w:rPr>
          <w:szCs w:val="22"/>
        </w:rPr>
      </w:pPr>
      <w:r w:rsidRPr="00142D97">
        <w:t xml:space="preserve">We received </w:t>
      </w:r>
      <w:r>
        <w:t>Complainant</w:t>
      </w:r>
      <w:r w:rsidR="006701B4">
        <w:t>’s</w:t>
      </w:r>
      <w:r w:rsidRPr="00142D97">
        <w:t xml:space="preserve"> complaint alleging that Complainan</w:t>
      </w:r>
      <w:r w:rsidR="003C3A54">
        <w:t>t</w:t>
      </w:r>
      <w:r w:rsidR="006701B4">
        <w:t>’s</w:t>
      </w:r>
      <w:r w:rsidRPr="00142D97">
        <w:t xml:space="preserve"> tele</w:t>
      </w:r>
      <w:r>
        <w:t>communications service provider</w:t>
      </w:r>
      <w:r w:rsidRPr="00142D97">
        <w:t xml:space="preserve"> had b</w:t>
      </w:r>
      <w:r>
        <w:t xml:space="preserve">een changed </w:t>
      </w:r>
      <w:r w:rsidR="00B16546">
        <w:t xml:space="preserve">to Tele Circuit </w:t>
      </w:r>
      <w:r>
        <w:t>without Complainant</w:t>
      </w:r>
      <w:r w:rsidR="006701B4">
        <w:t>’s</w:t>
      </w:r>
      <w:r w:rsidRPr="00142D97">
        <w:t xml:space="preserve"> authorization.  Pursuant to our rules, we notified </w:t>
      </w:r>
      <w:r w:rsidR="00576F1C">
        <w:t>Tele</w:t>
      </w:r>
      <w:r w:rsidR="00AC0554">
        <w:t xml:space="preserve"> </w:t>
      </w:r>
      <w:r w:rsidR="00576F1C">
        <w:t>Circuit</w:t>
      </w:r>
      <w:r>
        <w:t xml:space="preserve"> of the complaint</w:t>
      </w:r>
      <w:r w:rsidR="00CB4EAA">
        <w:t>.</w:t>
      </w:r>
      <w:r>
        <w:rPr>
          <w:rStyle w:val="FootnoteReference"/>
        </w:rPr>
        <w:footnoteReference w:id="8"/>
      </w:r>
      <w:r w:rsidRPr="00142D97">
        <w:t xml:space="preserve">  </w:t>
      </w:r>
      <w:r w:rsidR="00576F1C">
        <w:t>Tele</w:t>
      </w:r>
      <w:r w:rsidR="00AC0554">
        <w:t xml:space="preserve"> </w:t>
      </w:r>
      <w:r w:rsidR="00576F1C">
        <w:t>Circuit</w:t>
      </w:r>
      <w:r>
        <w:t xml:space="preserve"> responded to the complaint, stating that it</w:t>
      </w:r>
      <w:r w:rsidR="00154175">
        <w:t xml:space="preserve"> </w:t>
      </w:r>
      <w:r>
        <w:t>obtained authorization from Complainant through</w:t>
      </w:r>
      <w:r w:rsidR="00B16546">
        <w:t xml:space="preserve"> a</w:t>
      </w:r>
      <w:r>
        <w:t xml:space="preserve"> third</w:t>
      </w:r>
      <w:r w:rsidR="002674F1">
        <w:t>-</w:t>
      </w:r>
      <w:r>
        <w:t xml:space="preserve">party verification </w:t>
      </w:r>
      <w:r w:rsidR="00B16546">
        <w:t xml:space="preserve">recording </w:t>
      </w:r>
      <w:r>
        <w:t>(TPV).</w:t>
      </w:r>
      <w:r>
        <w:rPr>
          <w:rStyle w:val="FootnoteReference"/>
        </w:rPr>
        <w:footnoteReference w:id="9"/>
      </w:r>
      <w:r>
        <w:rPr>
          <w:szCs w:val="22"/>
        </w:rPr>
        <w:t xml:space="preserve">  </w:t>
      </w:r>
    </w:p>
    <w:p w:rsidR="00543CA2" w:rsidRPr="005457D3" w:rsidP="00153139">
      <w:pPr>
        <w:numPr>
          <w:ilvl w:val="0"/>
          <w:numId w:val="7"/>
        </w:numPr>
        <w:snapToGrid w:val="0"/>
        <w:spacing w:after="120"/>
        <w:ind w:left="0" w:firstLine="720"/>
        <w:rPr>
          <w:szCs w:val="22"/>
        </w:rPr>
      </w:pPr>
      <w:r>
        <w:rPr>
          <w:szCs w:val="22"/>
        </w:rPr>
        <w:t xml:space="preserve">In </w:t>
      </w:r>
      <w:r w:rsidR="000D4992">
        <w:rPr>
          <w:szCs w:val="22"/>
        </w:rPr>
        <w:t xml:space="preserve">the </w:t>
      </w:r>
      <w:r w:rsidR="00732ADE">
        <w:rPr>
          <w:szCs w:val="22"/>
        </w:rPr>
        <w:t>TPV</w:t>
      </w:r>
      <w:r>
        <w:rPr>
          <w:szCs w:val="22"/>
        </w:rPr>
        <w:t xml:space="preserve">, </w:t>
      </w:r>
      <w:r w:rsidR="00576F1C">
        <w:rPr>
          <w:szCs w:val="22"/>
        </w:rPr>
        <w:t>Tele</w:t>
      </w:r>
      <w:r w:rsidR="00B16546">
        <w:rPr>
          <w:szCs w:val="22"/>
        </w:rPr>
        <w:t xml:space="preserve"> </w:t>
      </w:r>
      <w:r w:rsidR="00576F1C">
        <w:rPr>
          <w:szCs w:val="22"/>
        </w:rPr>
        <w:t>Circuit</w:t>
      </w:r>
      <w:r w:rsidR="00154175">
        <w:rPr>
          <w:szCs w:val="22"/>
        </w:rPr>
        <w: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B16546">
        <w:rPr>
          <w:szCs w:val="22"/>
        </w:rPr>
        <w:t>,</w:t>
      </w:r>
      <w:r w:rsidR="00576F1C">
        <w:rPr>
          <w:szCs w:val="22"/>
        </w:rPr>
        <w:t xml:space="preserve"> </w:t>
      </w:r>
      <w:r w:rsidR="000D4992">
        <w:rPr>
          <w:szCs w:val="22"/>
        </w:rPr>
        <w:t>“</w:t>
      </w:r>
      <w:r w:rsidR="00576F1C">
        <w:rPr>
          <w:szCs w:val="22"/>
        </w:rPr>
        <w:t>are you the authorized person who can make decisions for this telephone line?</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w:t>
      </w:r>
      <w:r w:rsidR="00B16546">
        <w:t>Section 64.1120(c)(3) of the rules sets forth detailed procedures that carriers using a TPV to verify consumer authorization must follow.</w:t>
      </w:r>
      <w:r>
        <w:rPr>
          <w:rStyle w:val="FootnoteReference"/>
        </w:rPr>
        <w:footnoteReference w:id="10"/>
      </w:r>
      <w:r w:rsidR="00B16546">
        <w:t xml:space="preserve">  </w:t>
      </w:r>
      <w:r w:rsidRPr="00C13897" w:rsidR="00B16546">
        <w:rPr>
          <w:szCs w:val="22"/>
        </w:rPr>
        <w:t xml:space="preserve">The procedures </w:t>
      </w:r>
      <w:r w:rsidR="00B16546">
        <w:rPr>
          <w:szCs w:val="22"/>
        </w:rPr>
        <w:t xml:space="preserve">specifically </w:t>
      </w:r>
      <w:r w:rsidRPr="00C13897" w:rsidR="00B16546">
        <w:rPr>
          <w:color w:val="000000"/>
        </w:rPr>
        <w:t xml:space="preserve">require that the carrier’s third-party verifier “elicit, at a minimum the identity of the subscriber; [and] confirmation that the person on the call is authorized to make the </w:t>
      </w:r>
      <w:r w:rsidRPr="00C13897" w:rsidR="00B16546">
        <w:rPr>
          <w:i/>
          <w:iCs/>
          <w:color w:val="000000"/>
        </w:rPr>
        <w:t>carrier change</w:t>
      </w:r>
      <w:r w:rsidRPr="00C13897" w:rsidR="00B16546">
        <w:rPr>
          <w:color w:val="000000"/>
        </w:rPr>
        <w:t xml:space="preserve"> . . . .”</w:t>
      </w:r>
      <w:r>
        <w:rPr>
          <w:rStyle w:val="FootnoteReference"/>
        </w:rPr>
        <w:footnoteReference w:id="11"/>
      </w:r>
      <w:r w:rsidRPr="00C13897" w:rsidR="00B16546">
        <w:rPr>
          <w:szCs w:val="22"/>
        </w:rPr>
        <w:t xml:space="preserve"> </w:t>
      </w:r>
      <w:r w:rsidR="00130F38">
        <w:rPr>
          <w:szCs w:val="22"/>
        </w:rPr>
        <w:t xml:space="preserve"> Confirming that a person </w:t>
      </w:r>
      <w:r w:rsidR="00F82C63">
        <w:rPr>
          <w:szCs w:val="22"/>
        </w:rPr>
        <w:t xml:space="preserve">can make decisions for a telephone line </w:t>
      </w:r>
      <w:r>
        <w:rPr>
          <w:szCs w:val="22"/>
        </w:rPr>
        <w:t xml:space="preserve">differs from </w:t>
      </w:r>
      <w:r w:rsidR="008D6F1B">
        <w:rPr>
          <w:szCs w:val="22"/>
        </w:rPr>
        <w:t xml:space="preserve">confirming </w:t>
      </w:r>
      <w:r w:rsidR="00F82C63">
        <w:rPr>
          <w:szCs w:val="22"/>
        </w:rPr>
        <w:t xml:space="preserve">that </w:t>
      </w:r>
      <w:r w:rsidR="008D6F1B">
        <w:rPr>
          <w:szCs w:val="22"/>
        </w:rPr>
        <w:t xml:space="preserve">the person </w:t>
      </w:r>
      <w:r w:rsidR="00F82C63">
        <w:rPr>
          <w:szCs w:val="22"/>
        </w:rPr>
        <w:t>is authorized to make a switch from one carrier to another carrier</w:t>
      </w:r>
      <w:r>
        <w:rPr>
          <w:szCs w:val="22"/>
        </w:rPr>
        <w:t xml:space="preserve">.  We </w:t>
      </w:r>
      <w:r w:rsidR="00525E4A">
        <w:rPr>
          <w:szCs w:val="22"/>
        </w:rPr>
        <w:t xml:space="preserve">therefore </w:t>
      </w:r>
      <w:r>
        <w:rPr>
          <w:szCs w:val="22"/>
        </w:rPr>
        <w:t xml:space="preserve">find that </w:t>
      </w:r>
      <w:r w:rsidR="00576F1C">
        <w:rPr>
          <w:szCs w:val="22"/>
        </w:rPr>
        <w:t>Tele</w:t>
      </w:r>
      <w:r w:rsidR="00BE6F56">
        <w:rPr>
          <w:szCs w:val="22"/>
        </w:rPr>
        <w:t xml:space="preserve"> </w:t>
      </w:r>
      <w:r w:rsidR="00576F1C">
        <w:rPr>
          <w:szCs w:val="22"/>
        </w:rPr>
        <w:t>Circuit</w:t>
      </w:r>
      <w:r>
        <w:rPr>
          <w:szCs w:val="22"/>
        </w:rPr>
        <w:t xml:space="preserve">’s actions were in violation of our </w:t>
      </w:r>
      <w:r w:rsidR="00BE6F56">
        <w:rPr>
          <w:szCs w:val="22"/>
        </w:rPr>
        <w:t>slamming</w:t>
      </w:r>
      <w:r>
        <w:rPr>
          <w:szCs w:val="22"/>
        </w:rPr>
        <w:t xml:space="preserve"> rules, and we discuss </w:t>
      </w:r>
      <w:r w:rsidR="00576F1C">
        <w:rPr>
          <w:szCs w:val="22"/>
        </w:rPr>
        <w:t>Tele</w:t>
      </w:r>
      <w:r w:rsidR="00BE6F56">
        <w:rPr>
          <w:szCs w:val="22"/>
        </w:rPr>
        <w:t xml:space="preserve"> </w:t>
      </w:r>
      <w:r w:rsidR="00576F1C">
        <w:rPr>
          <w:szCs w:val="22"/>
        </w:rPr>
        <w:t>Circuit</w:t>
      </w:r>
      <w:r>
        <w:rPr>
          <w:szCs w:val="22"/>
        </w:rPr>
        <w:t>’s liability below.</w:t>
      </w:r>
      <w:r>
        <w:rPr>
          <w:rStyle w:val="FootnoteReference"/>
          <w:szCs w:val="22"/>
        </w:rPr>
        <w:footnoteReference w:id="12"/>
      </w:r>
    </w:p>
    <w:p w:rsidR="00543CA2" w:rsidRPr="005457D3" w:rsidP="00153139">
      <w:pPr>
        <w:numPr>
          <w:ilvl w:val="0"/>
          <w:numId w:val="7"/>
        </w:numPr>
        <w:snapToGrid w:val="0"/>
        <w:spacing w:after="120"/>
        <w:ind w:left="0" w:firstLine="720"/>
        <w:rPr>
          <w:szCs w:val="22"/>
        </w:rPr>
      </w:pPr>
      <w:r>
        <w:rPr>
          <w:szCs w:val="22"/>
        </w:rPr>
        <w:t>Tele</w:t>
      </w:r>
      <w:r w:rsidR="00BE6F56">
        <w:rPr>
          <w:szCs w:val="22"/>
        </w:rPr>
        <w:t xml:space="preserve"> </w:t>
      </w:r>
      <w:r>
        <w:rPr>
          <w:szCs w:val="22"/>
        </w:rPr>
        <w:t>Circuit</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3"/>
      </w:r>
      <w:r>
        <w:rPr>
          <w:szCs w:val="22"/>
        </w:rPr>
        <w:t xml:space="preserve">  We have determined that Complainant </w:t>
      </w:r>
      <w:r w:rsidR="000D4992">
        <w:rPr>
          <w:szCs w:val="22"/>
        </w:rPr>
        <w:t>is</w:t>
      </w:r>
      <w:r>
        <w:rPr>
          <w:szCs w:val="22"/>
        </w:rPr>
        <w:t xml:space="preserve"> 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rsidR="000D4992">
        <w:t>’s</w:t>
      </w:r>
      <w:r w:rsidR="00653081">
        <w:t xml:space="preserve"> authorized carrier nor </w:t>
      </w:r>
      <w:r>
        <w:rPr>
          <w:szCs w:val="22"/>
        </w:rPr>
        <w:t>Tele</w:t>
      </w:r>
      <w:r w:rsidR="00BE6F56">
        <w:rPr>
          <w:szCs w:val="22"/>
        </w:rPr>
        <w:t xml:space="preserve"> </w:t>
      </w:r>
      <w:r>
        <w:rPr>
          <w:szCs w:val="22"/>
        </w:rPr>
        <w:t>Circuit</w:t>
      </w:r>
      <w:r>
        <w:rPr>
          <w:szCs w:val="22"/>
        </w:rPr>
        <w:t xml:space="preserve"> may pursue any collection against Complainant for those charges.</w:t>
      </w:r>
      <w:r>
        <w:rPr>
          <w:rStyle w:val="FootnoteReference"/>
          <w:szCs w:val="22"/>
        </w:rPr>
        <w:footnoteReference w:id="14"/>
      </w:r>
      <w:r>
        <w:rPr>
          <w:szCs w:val="22"/>
        </w:rPr>
        <w:t xml:space="preserve"> </w:t>
      </w:r>
      <w:r w:rsidR="00763CD4">
        <w:rPr>
          <w:szCs w:val="22"/>
        </w:rPr>
        <w:t xml:space="preserve"> </w:t>
      </w:r>
      <w:r>
        <w:rPr>
          <w:szCs w:val="22"/>
        </w:rPr>
        <w:t xml:space="preserve">Any charges imposed by </w:t>
      </w:r>
      <w:r>
        <w:rPr>
          <w:szCs w:val="22"/>
        </w:rPr>
        <w:t>Tele</w:t>
      </w:r>
      <w:r w:rsidR="00BE6F56">
        <w:rPr>
          <w:szCs w:val="22"/>
        </w:rPr>
        <w:t xml:space="preserve"> </w:t>
      </w:r>
      <w:r>
        <w:rPr>
          <w:szCs w:val="22"/>
        </w:rPr>
        <w:t>Circuit</w:t>
      </w:r>
      <w:r>
        <w:rPr>
          <w:szCs w:val="22"/>
        </w:rPr>
        <w:t xml:space="preserve"> on the subscriber for service provided after this 30-day period shall be paid by the subscriber at the rates the subscriber w</w:t>
      </w:r>
      <w:r w:rsidR="000D4992">
        <w:rPr>
          <w:szCs w:val="22"/>
        </w:rPr>
        <w:t>as</w:t>
      </w:r>
      <w:r>
        <w:rPr>
          <w:szCs w:val="22"/>
        </w:rPr>
        <w:t xml:space="preserve"> paying to </w:t>
      </w:r>
      <w:r w:rsidR="0060144A">
        <w:rPr>
          <w:szCs w:val="22"/>
        </w:rPr>
        <w:t xml:space="preserve">the </w:t>
      </w:r>
      <w:r>
        <w:rPr>
          <w:szCs w:val="22"/>
        </w:rPr>
        <w:t>authorized carrier at the time of the unauthorized change.</w:t>
      </w:r>
      <w:r>
        <w:rPr>
          <w:rStyle w:val="FootnoteReference"/>
          <w:szCs w:val="22"/>
        </w:rPr>
        <w:footnoteReference w:id="15"/>
      </w:r>
    </w:p>
    <w:p w:rsidR="00543CA2" w:rsidRPr="005457D3" w:rsidP="00153139">
      <w:pPr>
        <w:numPr>
          <w:ilvl w:val="0"/>
          <w:numId w:val="7"/>
        </w:numPr>
        <w:snapToGrid w:val="0"/>
        <w:spacing w:after="120"/>
        <w:ind w:left="0" w:firstLine="720"/>
        <w:rPr>
          <w:szCs w:val="22"/>
        </w:rPr>
      </w:pPr>
      <w:r>
        <w:rPr>
          <w:szCs w:val="22"/>
        </w:rPr>
        <w:t xml:space="preserve">Accordingly, IT IS ORDERED that, pursuant to </w:t>
      </w:r>
      <w:r w:rsidR="00BE6F56">
        <w:rPr>
          <w:szCs w:val="22"/>
        </w:rPr>
        <w:t>s</w:t>
      </w:r>
      <w:r>
        <w:rPr>
          <w:szCs w:val="22"/>
        </w:rPr>
        <w:t xml:space="preserve">ection 258 of the Communications Act of 1934, as amended, 47 U.S.C. § 258, and </w:t>
      </w:r>
      <w:r w:rsidR="00BE6F56">
        <w:rPr>
          <w:szCs w:val="22"/>
        </w:rPr>
        <w:t>s</w:t>
      </w:r>
      <w:r>
        <w:rPr>
          <w:szCs w:val="22"/>
        </w:rPr>
        <w:t>ections 0.141, 0.361 and 1.719 of the Commission’s rules, 47 CFR §§ 0.141, 0.361</w:t>
      </w:r>
      <w:r w:rsidR="00E66984">
        <w:rPr>
          <w:szCs w:val="22"/>
        </w:rPr>
        <w:t>,</w:t>
      </w:r>
      <w:r>
        <w:rPr>
          <w:szCs w:val="22"/>
        </w:rPr>
        <w:t xml:space="preserve"> 1.719, the complaint filed against </w:t>
      </w:r>
      <w:r w:rsidR="00576F1C">
        <w:rPr>
          <w:szCs w:val="22"/>
        </w:rPr>
        <w:t>Tele</w:t>
      </w:r>
      <w:r w:rsidR="00BE6F56">
        <w:rPr>
          <w:szCs w:val="22"/>
        </w:rPr>
        <w:t xml:space="preserve"> </w:t>
      </w:r>
      <w:r w:rsidR="00576F1C">
        <w:rPr>
          <w:szCs w:val="22"/>
        </w:rPr>
        <w:t>Circuit</w:t>
      </w:r>
      <w:r w:rsidR="00AD7D33">
        <w:rPr>
          <w:szCs w:val="22"/>
        </w:rPr>
        <w:t xml:space="preserve"> </w:t>
      </w:r>
      <w:r w:rsidR="00BE6F56">
        <w:rPr>
          <w:szCs w:val="22"/>
        </w:rPr>
        <w:t xml:space="preserve">Network Corporation </w:t>
      </w:r>
      <w:r w:rsidR="000D4992">
        <w:rPr>
          <w:szCs w:val="22"/>
        </w:rPr>
        <w:t>IS</w:t>
      </w:r>
      <w:r>
        <w:rPr>
          <w:szCs w:val="22"/>
        </w:rPr>
        <w:t xml:space="preserve"> GRANTED.</w:t>
      </w:r>
    </w:p>
    <w:p w:rsidR="00153139" w:rsidP="00153139">
      <w:pPr>
        <w:numPr>
          <w:ilvl w:val="0"/>
          <w:numId w:val="7"/>
        </w:numPr>
        <w:snapToGrid w:val="0"/>
        <w:spacing w:after="120"/>
        <w:ind w:left="0" w:firstLine="720"/>
        <w:rPr>
          <w:szCs w:val="22"/>
        </w:rPr>
      </w:pPr>
      <w:r>
        <w:rPr>
          <w:szCs w:val="22"/>
        </w:rPr>
        <w:t xml:space="preserve">IT IS FURTHER ORDERED that, pursuant to </w:t>
      </w:r>
      <w:r w:rsidR="002E7EB2">
        <w:rPr>
          <w:szCs w:val="22"/>
        </w:rPr>
        <w:t>s</w:t>
      </w:r>
      <w:r>
        <w:rPr>
          <w:szCs w:val="22"/>
        </w:rPr>
        <w:t xml:space="preserve">ection 64.1170(d) of the Commission’s rules, 47 CFR § 64.1170(d), </w:t>
      </w:r>
      <w:r w:rsidR="00AD7D33">
        <w:rPr>
          <w:szCs w:val="22"/>
        </w:rPr>
        <w:t xml:space="preserve">the </w:t>
      </w:r>
      <w:r>
        <w:rPr>
          <w:szCs w:val="22"/>
        </w:rPr>
        <w:t xml:space="preserve">Complainant </w:t>
      </w:r>
      <w:r w:rsidR="000D4992">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00576F1C">
        <w:rPr>
          <w:szCs w:val="22"/>
        </w:rPr>
        <w:t>Tele</w:t>
      </w:r>
      <w:r w:rsidR="002E7EB2">
        <w:rPr>
          <w:szCs w:val="22"/>
        </w:rPr>
        <w:t xml:space="preserve"> </w:t>
      </w:r>
      <w:r w:rsidR="00576F1C">
        <w:rPr>
          <w:szCs w:val="22"/>
        </w:rPr>
        <w:t>Circuit</w:t>
      </w:r>
      <w:r w:rsidR="002E7EB2">
        <w:rPr>
          <w:szCs w:val="22"/>
        </w:rPr>
        <w:t xml:space="preserve"> Network Corporation</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153139">
      <w:pPr>
        <w:snapToGrid w:val="0"/>
        <w:spacing w:after="120"/>
        <w:ind w:left="720"/>
        <w:rPr>
          <w:szCs w:val="22"/>
        </w:rPr>
      </w:pPr>
      <w:r>
        <w:rPr>
          <w:szCs w:val="22"/>
        </w:rPr>
        <w:br w:type="page"/>
      </w:r>
      <w:r>
        <w:rPr>
          <w:szCs w:val="22"/>
        </w:rPr>
        <w:t>8.</w:t>
      </w:r>
      <w:r>
        <w:rPr>
          <w:szCs w:val="22"/>
        </w:rPr>
        <w:tab/>
        <w:t>IT IS FURTHER ORDERED that this Order is effective upon release.</w:t>
      </w:r>
    </w:p>
    <w:p w:rsidR="00543CA2" w:rsidP="00543CA2">
      <w:pPr>
        <w:rPr>
          <w:szCs w:val="22"/>
        </w:rPr>
      </w:pPr>
    </w:p>
    <w:p w:rsidR="009C68B9" w:rsidP="007C5314">
      <w:pPr>
        <w:ind w:left="4320" w:right="270"/>
        <w:rPr>
          <w:szCs w:val="22"/>
        </w:rPr>
      </w:pPr>
      <w:r>
        <w:rPr>
          <w:szCs w:val="22"/>
        </w:rPr>
        <w:t>FEDERAL COMMUNICATIONS COMMISSION</w:t>
      </w:r>
    </w:p>
    <w:p w:rsidR="009C68B9" w:rsidP="00D44155">
      <w:pPr>
        <w:ind w:left="4320" w:right="270" w:firstLine="720"/>
        <w:rPr>
          <w:szCs w:val="22"/>
        </w:rPr>
      </w:pPr>
    </w:p>
    <w:p w:rsidR="009C68B9" w:rsidP="00153139">
      <w:pPr>
        <w:ind w:left="3600" w:right="270" w:firstLine="720"/>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11EA">
      <w:r>
        <w:separator/>
      </w:r>
    </w:p>
  </w:footnote>
  <w:footnote w:type="continuationSeparator" w:id="1">
    <w:p w:rsidR="006211EA" w:rsidP="00C721AC">
      <w:pPr>
        <w:spacing w:before="120"/>
        <w:rPr>
          <w:sz w:val="20"/>
        </w:rPr>
      </w:pPr>
      <w:r>
        <w:rPr>
          <w:sz w:val="20"/>
        </w:rPr>
        <w:t xml:space="preserve">(Continued from previous page)  </w:t>
      </w:r>
      <w:r>
        <w:rPr>
          <w:sz w:val="20"/>
        </w:rPr>
        <w:separator/>
      </w:r>
    </w:p>
  </w:footnote>
  <w:footnote w:type="continuationNotice" w:id="2">
    <w:p w:rsidR="006211EA" w:rsidP="00C721AC">
      <w:pPr>
        <w:jc w:val="right"/>
        <w:rPr>
          <w:sz w:val="20"/>
        </w:rPr>
      </w:pPr>
      <w:r>
        <w:rPr>
          <w:sz w:val="20"/>
        </w:rPr>
        <w:t>(continued….)</w:t>
      </w:r>
    </w:p>
  </w:footnote>
  <w:footnote w:id="3">
    <w:p w:rsidR="00543CA2" w:rsidP="00240D4F">
      <w:pPr>
        <w:pStyle w:val="FootnoteText"/>
      </w:pPr>
      <w:r>
        <w:rPr>
          <w:rStyle w:val="FootnoteReference"/>
        </w:rPr>
        <w:footnoteRef/>
      </w:r>
      <w:r>
        <w:t xml:space="preserve"> </w:t>
      </w:r>
      <w:r w:rsidRPr="003C3A54" w:rsidR="00AC0554">
        <w:rPr>
          <w:i/>
        </w:rPr>
        <w:t>See</w:t>
      </w:r>
      <w:r w:rsidR="00AC0554">
        <w:t xml:space="preserve"> Informal Complaint No. 3162301 (filed Apr. 1, 2019); </w:t>
      </w:r>
      <w:r w:rsidR="00AC0554">
        <w:rPr>
          <w:i/>
        </w:rPr>
        <w:t>s</w:t>
      </w:r>
      <w:r>
        <w:rPr>
          <w:i/>
        </w:rPr>
        <w:t>ee</w:t>
      </w:r>
      <w:r w:rsidR="00AC0554">
        <w:rPr>
          <w:i/>
        </w:rPr>
        <w:t xml:space="preserve"> also</w:t>
      </w:r>
      <w:r>
        <w:t xml:space="preserve"> 47 CFR §§ 64.1100 – 64.1190.</w:t>
      </w:r>
    </w:p>
  </w:footnote>
  <w:footnote w:id="4">
    <w:p w:rsidR="00D94CA7" w:rsidP="00D94CA7">
      <w:pPr>
        <w:pStyle w:val="FootnoteText"/>
      </w:pPr>
      <w:r>
        <w:rPr>
          <w:rStyle w:val="FootnoteReference"/>
        </w:rPr>
        <w:footnoteRef/>
      </w:r>
      <w:r>
        <w:t xml:space="preserve"> 47 U.S.C. § 258(a).</w:t>
      </w:r>
    </w:p>
  </w:footnote>
  <w:footnote w:id="5">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6">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D94CA7" w:rsidRPr="00CF10D8" w:rsidP="00D94CA7">
      <w:pPr>
        <w:pStyle w:val="FootnoteText"/>
      </w:pPr>
      <w:r>
        <w:rPr>
          <w:rStyle w:val="FootnoteReference"/>
        </w:rPr>
        <w:footnoteRef/>
      </w:r>
      <w:r>
        <w:t xml:space="preserve"> </w:t>
      </w:r>
      <w:r w:rsidRPr="00142D97">
        <w:t xml:space="preserve">These rules require the </w:t>
      </w:r>
      <w:r w:rsidR="00AC0554">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E11822" w:rsidP="00E11822">
      <w:pPr>
        <w:pStyle w:val="FootnoteText"/>
      </w:pPr>
      <w:r>
        <w:rPr>
          <w:rStyle w:val="FootnoteReference"/>
        </w:rPr>
        <w:footnoteRef/>
      </w:r>
      <w:r>
        <w:t xml:space="preserve"> </w:t>
      </w:r>
      <w:r w:rsidRPr="00467E15" w:rsidR="00467E15">
        <w:rPr>
          <w:i/>
        </w:rPr>
        <w:t>Id</w:t>
      </w:r>
      <w:r w:rsidR="00467E15">
        <w:t>.</w:t>
      </w:r>
      <w:r w:rsidRPr="00F86B2C">
        <w:t xml:space="preserve"> § 1.719 (Commission procedure for informal complaints filed pursuant to </w:t>
      </w:r>
      <w:r w:rsidR="00B16546">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9">
    <w:p w:rsidR="005576DD">
      <w:pPr>
        <w:pStyle w:val="FootnoteText"/>
      </w:pPr>
      <w:r>
        <w:rPr>
          <w:rStyle w:val="FootnoteReference"/>
        </w:rPr>
        <w:footnoteRef/>
      </w:r>
      <w:r>
        <w:t xml:space="preserve"> </w:t>
      </w:r>
      <w:r w:rsidRPr="00EA1421">
        <w:rPr>
          <w:i/>
        </w:rPr>
        <w:t xml:space="preserve">See </w:t>
      </w:r>
      <w:r w:rsidRPr="00B16546" w:rsidR="009C68B9">
        <w:t>Tele</w:t>
      </w:r>
      <w:r w:rsidR="00BE6F56">
        <w:t xml:space="preserve"> </w:t>
      </w:r>
      <w:r w:rsidRPr="00B16546" w:rsidR="009C68B9">
        <w:t>Circuit</w:t>
      </w:r>
      <w:r w:rsidRPr="00B16546" w:rsidR="00CB4EAA">
        <w:t>’s</w:t>
      </w:r>
      <w:r>
        <w:t xml:space="preserve"> Response to Informal Complaint</w:t>
      </w:r>
      <w:r w:rsidR="00EA1421">
        <w:t xml:space="preserve"> No.</w:t>
      </w:r>
      <w:r>
        <w:t xml:space="preserve"> </w:t>
      </w:r>
      <w:r w:rsidR="009C68B9">
        <w:t>3162301</w:t>
      </w:r>
      <w:r w:rsidR="00B16546">
        <w:t xml:space="preserve"> (</w:t>
      </w:r>
      <w:r w:rsidR="00EA1421">
        <w:t xml:space="preserve">filed </w:t>
      </w:r>
      <w:r w:rsidR="009C68B9">
        <w:t>July 24</w:t>
      </w:r>
      <w:r w:rsidR="00CB4EAA">
        <w:t>, 201</w:t>
      </w:r>
      <w:r w:rsidR="00576F1C">
        <w:t>9</w:t>
      </w:r>
      <w:r w:rsidR="00B16546">
        <w:t>)</w:t>
      </w:r>
      <w:r w:rsidR="00CB4EAA">
        <w:t>.</w:t>
      </w:r>
    </w:p>
  </w:footnote>
  <w:footnote w:id="10">
    <w:p w:rsidR="00B16546" w:rsidP="00B16546">
      <w:pPr>
        <w:pStyle w:val="FootnoteText"/>
      </w:pPr>
      <w:r>
        <w:rPr>
          <w:rStyle w:val="FootnoteReference"/>
        </w:rPr>
        <w:footnoteRef/>
      </w:r>
      <w:r>
        <w:t xml:space="preserve"> 47 CFR § 64.1120(c)(3). </w:t>
      </w:r>
    </w:p>
  </w:footnote>
  <w:footnote w:id="11">
    <w:p w:rsidR="00B16546" w:rsidP="00B16546">
      <w:pPr>
        <w:pStyle w:val="FootnoteText"/>
      </w:pPr>
      <w:r>
        <w:rPr>
          <w:rStyle w:val="FootnoteReference"/>
        </w:rPr>
        <w:footnoteRef/>
      </w:r>
      <w:r>
        <w:t xml:space="preserve"> </w:t>
      </w:r>
      <w:r w:rsidRPr="002E7EB2" w:rsidR="002E7EB2">
        <w:rPr>
          <w:i/>
        </w:rPr>
        <w:t>Id</w:t>
      </w:r>
      <w:r w:rsidR="002E7EB2">
        <w:t>.</w:t>
      </w:r>
      <w:r>
        <w:t xml:space="preserve"> § 64.1120(c)(3)(iii) (emphasis added).</w:t>
      </w:r>
    </w:p>
  </w:footnote>
  <w:footnote w:id="12">
    <w:p w:rsidR="00543CA2" w:rsidP="00E11822">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Complainant may file a formal complaint with the Commission pursuant to Section 1.721 of the Commission’s rules</w:t>
      </w:r>
      <w:r w:rsidR="008D6F1B">
        <w:t>.</w:t>
      </w:r>
      <w:r>
        <w:t xml:space="preserve"> </w:t>
      </w:r>
      <w:r w:rsidR="008D6F1B">
        <w:t xml:space="preserve"> </w:t>
      </w:r>
      <w:r w:rsidRPr="008D6F1B" w:rsidR="008D6F1B">
        <w:rPr>
          <w:i/>
        </w:rPr>
        <w:t>Id</w:t>
      </w:r>
      <w:r w:rsidR="008D6F1B">
        <w:t>.</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3">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4">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5">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A35665">
      <w:t>-752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sidR="00A35665">
      <w:rPr>
        <w:spacing w:val="-2"/>
      </w:rPr>
      <w:t>-752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2C00"/>
    <w:rsid w:val="000875BF"/>
    <w:rsid w:val="00096D8C"/>
    <w:rsid w:val="000A3849"/>
    <w:rsid w:val="000C0B65"/>
    <w:rsid w:val="000D4992"/>
    <w:rsid w:val="000E05FE"/>
    <w:rsid w:val="000E2C22"/>
    <w:rsid w:val="000E3D42"/>
    <w:rsid w:val="00122BD5"/>
    <w:rsid w:val="00130F38"/>
    <w:rsid w:val="00133F79"/>
    <w:rsid w:val="00142D97"/>
    <w:rsid w:val="00153139"/>
    <w:rsid w:val="00154175"/>
    <w:rsid w:val="0017285B"/>
    <w:rsid w:val="0018583C"/>
    <w:rsid w:val="00194A66"/>
    <w:rsid w:val="001A3542"/>
    <w:rsid w:val="001D6BCF"/>
    <w:rsid w:val="001E01CA"/>
    <w:rsid w:val="001F12F0"/>
    <w:rsid w:val="00240D4F"/>
    <w:rsid w:val="002674F1"/>
    <w:rsid w:val="00275CF5"/>
    <w:rsid w:val="0028301F"/>
    <w:rsid w:val="00285017"/>
    <w:rsid w:val="00293132"/>
    <w:rsid w:val="002A2D2E"/>
    <w:rsid w:val="002A6F1F"/>
    <w:rsid w:val="002C00E8"/>
    <w:rsid w:val="002E7EB2"/>
    <w:rsid w:val="00343749"/>
    <w:rsid w:val="003660ED"/>
    <w:rsid w:val="003B0550"/>
    <w:rsid w:val="003B694F"/>
    <w:rsid w:val="003C3A54"/>
    <w:rsid w:val="003F171C"/>
    <w:rsid w:val="00412FC5"/>
    <w:rsid w:val="00422276"/>
    <w:rsid w:val="004242F1"/>
    <w:rsid w:val="00445A00"/>
    <w:rsid w:val="00451B0F"/>
    <w:rsid w:val="00467E15"/>
    <w:rsid w:val="004C2EE3"/>
    <w:rsid w:val="004E4A22"/>
    <w:rsid w:val="00511968"/>
    <w:rsid w:val="00525E4A"/>
    <w:rsid w:val="00543CA2"/>
    <w:rsid w:val="005457D3"/>
    <w:rsid w:val="0055614C"/>
    <w:rsid w:val="005576DD"/>
    <w:rsid w:val="00562BA0"/>
    <w:rsid w:val="00566D06"/>
    <w:rsid w:val="00576F1C"/>
    <w:rsid w:val="005B397C"/>
    <w:rsid w:val="005C2CF7"/>
    <w:rsid w:val="005E14C2"/>
    <w:rsid w:val="0060144A"/>
    <w:rsid w:val="00607BA5"/>
    <w:rsid w:val="0061180A"/>
    <w:rsid w:val="006211EA"/>
    <w:rsid w:val="00626EB6"/>
    <w:rsid w:val="00653081"/>
    <w:rsid w:val="00655D03"/>
    <w:rsid w:val="006701B4"/>
    <w:rsid w:val="00683388"/>
    <w:rsid w:val="00683F84"/>
    <w:rsid w:val="006A6A81"/>
    <w:rsid w:val="006B5446"/>
    <w:rsid w:val="006E3575"/>
    <w:rsid w:val="006F46B2"/>
    <w:rsid w:val="006F7393"/>
    <w:rsid w:val="00701167"/>
    <w:rsid w:val="0070224F"/>
    <w:rsid w:val="007115F7"/>
    <w:rsid w:val="00732ADE"/>
    <w:rsid w:val="00763CD4"/>
    <w:rsid w:val="00764A92"/>
    <w:rsid w:val="0076720F"/>
    <w:rsid w:val="00785689"/>
    <w:rsid w:val="0079754B"/>
    <w:rsid w:val="007A1E6D"/>
    <w:rsid w:val="007B0EB2"/>
    <w:rsid w:val="007C5314"/>
    <w:rsid w:val="00810B6F"/>
    <w:rsid w:val="00822CE0"/>
    <w:rsid w:val="008403C5"/>
    <w:rsid w:val="00841AB1"/>
    <w:rsid w:val="00872273"/>
    <w:rsid w:val="008B6AE4"/>
    <w:rsid w:val="008C68F1"/>
    <w:rsid w:val="008D6F1B"/>
    <w:rsid w:val="00921803"/>
    <w:rsid w:val="00926503"/>
    <w:rsid w:val="00947CE3"/>
    <w:rsid w:val="009726D8"/>
    <w:rsid w:val="009C68B9"/>
    <w:rsid w:val="009D7308"/>
    <w:rsid w:val="009D7B75"/>
    <w:rsid w:val="009E3DF7"/>
    <w:rsid w:val="009E741A"/>
    <w:rsid w:val="009F31B8"/>
    <w:rsid w:val="009F76DB"/>
    <w:rsid w:val="00A15D6E"/>
    <w:rsid w:val="00A1693B"/>
    <w:rsid w:val="00A32C3B"/>
    <w:rsid w:val="00A35665"/>
    <w:rsid w:val="00A36C32"/>
    <w:rsid w:val="00A45F4F"/>
    <w:rsid w:val="00A600A9"/>
    <w:rsid w:val="00A771A0"/>
    <w:rsid w:val="00A8671C"/>
    <w:rsid w:val="00AA55B7"/>
    <w:rsid w:val="00AA5B9E"/>
    <w:rsid w:val="00AB2407"/>
    <w:rsid w:val="00AB53DF"/>
    <w:rsid w:val="00AC0554"/>
    <w:rsid w:val="00AD7D33"/>
    <w:rsid w:val="00B07E5C"/>
    <w:rsid w:val="00B16546"/>
    <w:rsid w:val="00B76489"/>
    <w:rsid w:val="00B811F7"/>
    <w:rsid w:val="00BA5DC6"/>
    <w:rsid w:val="00BA6196"/>
    <w:rsid w:val="00BC6D8C"/>
    <w:rsid w:val="00BE6F56"/>
    <w:rsid w:val="00C13897"/>
    <w:rsid w:val="00C34006"/>
    <w:rsid w:val="00C36B4C"/>
    <w:rsid w:val="00C426B1"/>
    <w:rsid w:val="00C66160"/>
    <w:rsid w:val="00C721AC"/>
    <w:rsid w:val="00C90D6A"/>
    <w:rsid w:val="00CA247E"/>
    <w:rsid w:val="00CA6D21"/>
    <w:rsid w:val="00CB4EAA"/>
    <w:rsid w:val="00CC72B6"/>
    <w:rsid w:val="00CF10D8"/>
    <w:rsid w:val="00D0218D"/>
    <w:rsid w:val="00D25FB5"/>
    <w:rsid w:val="00D40712"/>
    <w:rsid w:val="00D44155"/>
    <w:rsid w:val="00D44223"/>
    <w:rsid w:val="00D94CA7"/>
    <w:rsid w:val="00DA2529"/>
    <w:rsid w:val="00DA63BD"/>
    <w:rsid w:val="00DB130A"/>
    <w:rsid w:val="00DB2EBB"/>
    <w:rsid w:val="00DC10A1"/>
    <w:rsid w:val="00DC655F"/>
    <w:rsid w:val="00DD0B59"/>
    <w:rsid w:val="00DD3A53"/>
    <w:rsid w:val="00DD7EBD"/>
    <w:rsid w:val="00DF62B6"/>
    <w:rsid w:val="00E07225"/>
    <w:rsid w:val="00E11822"/>
    <w:rsid w:val="00E51455"/>
    <w:rsid w:val="00E5409F"/>
    <w:rsid w:val="00E66984"/>
    <w:rsid w:val="00E84D1A"/>
    <w:rsid w:val="00EA0FE3"/>
    <w:rsid w:val="00EA1421"/>
    <w:rsid w:val="00EE17E7"/>
    <w:rsid w:val="00EE6488"/>
    <w:rsid w:val="00EF03A1"/>
    <w:rsid w:val="00F021FA"/>
    <w:rsid w:val="00F043B3"/>
    <w:rsid w:val="00F454AE"/>
    <w:rsid w:val="00F62E97"/>
    <w:rsid w:val="00F64209"/>
    <w:rsid w:val="00F82C63"/>
    <w:rsid w:val="00F86B2C"/>
    <w:rsid w:val="00F93BF5"/>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 w:type="paragraph" w:styleId="BalloonText">
    <w:name w:val="Balloon Text"/>
    <w:basedOn w:val="Normal"/>
    <w:link w:val="BalloonTextChar"/>
    <w:rsid w:val="00DA63BD"/>
    <w:rPr>
      <w:rFonts w:ascii="Segoe UI" w:hAnsi="Segoe UI" w:cs="Segoe UI"/>
      <w:sz w:val="18"/>
      <w:szCs w:val="18"/>
    </w:rPr>
  </w:style>
  <w:style w:type="character" w:customStyle="1" w:styleId="BalloonTextChar">
    <w:name w:val="Balloon Text Char"/>
    <w:link w:val="BalloonText"/>
    <w:rsid w:val="00DA63B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