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AB71F2">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B83BA2">
              <w:t>3</w:t>
            </w:r>
            <w:r w:rsidR="0093379B">
              <w:t>2</w:t>
            </w:r>
            <w:r w:rsidR="00631820">
              <w:t>45331</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D641D5">
        <w:rPr>
          <w:b/>
          <w:spacing w:val="-2"/>
          <w:szCs w:val="22"/>
        </w:rPr>
        <w:t>August 8</w:t>
      </w:r>
      <w:r>
        <w:rPr>
          <w:b/>
          <w:spacing w:val="-2"/>
          <w:szCs w:val="22"/>
        </w:rPr>
        <w:t>, 2019</w:t>
      </w:r>
      <w:r>
        <w:rPr>
          <w:b/>
          <w:spacing w:val="-2"/>
          <w:szCs w:val="22"/>
        </w:rPr>
        <w:tab/>
      </w:r>
      <w:r>
        <w:rPr>
          <w:b/>
          <w:spacing w:val="-2"/>
          <w:szCs w:val="22"/>
        </w:rPr>
        <w:tab/>
        <w:t xml:space="preserve">Released: </w:t>
      </w:r>
      <w:r w:rsidR="00D641D5">
        <w:rPr>
          <w:b/>
          <w:spacing w:val="-2"/>
          <w:szCs w:val="22"/>
        </w:rPr>
        <w:t>August 8, 2019</w:t>
      </w:r>
      <w:bookmarkStart w:id="0" w:name="_GoBack"/>
      <w:bookmarkEnd w:id="0"/>
    </w:p>
    <w:p w:rsidR="00AB71F2" w:rsidP="00AB71F2">
      <w:pPr>
        <w:rPr>
          <w:szCs w:val="22"/>
        </w:rPr>
      </w:pPr>
    </w:p>
    <w:p w:rsidR="00AB71F2" w:rsidP="00305DCB">
      <w:pPr>
        <w:spacing w:after="120"/>
        <w:rPr>
          <w:szCs w:val="22"/>
        </w:rPr>
      </w:pPr>
      <w:r>
        <w:rPr>
          <w:szCs w:val="22"/>
        </w:rPr>
        <w:t>By the Deputy Chief, Consumer Policy Division, Consumer and Governmental Affairs Bureau:</w:t>
      </w:r>
    </w:p>
    <w:p w:rsidR="00AB71F2" w:rsidP="00305DCB">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305DCB">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AB71F2" w:rsidRPr="00B83BA2" w:rsidP="00305DCB">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Pr>
          <w:szCs w:val="22"/>
        </w:rPr>
        <w:t xml:space="preserve"> </w:t>
      </w:r>
      <w:r w:rsidR="00CF2AA9">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r w:rsidR="00CF2AA9">
        <w:rPr>
          <w:szCs w:val="22"/>
        </w:rPr>
        <w:t xml:space="preserve">  </w:t>
      </w:r>
      <w:r w:rsidRPr="00B83BA2">
        <w:rPr>
          <w:szCs w:val="22"/>
        </w:rPr>
        <w:t xml:space="preserve"> </w:t>
      </w:r>
    </w:p>
    <w:p w:rsidR="00E342E6" w:rsidP="00305DCB">
      <w:pPr>
        <w:numPr>
          <w:ilvl w:val="0"/>
          <w:numId w:val="7"/>
        </w:numPr>
        <w:snapToGrid w:val="0"/>
        <w:spacing w:after="120"/>
        <w:ind w:left="0" w:firstLine="720"/>
        <w:rPr>
          <w:szCs w:val="22"/>
        </w:rPr>
      </w:pPr>
      <w:r>
        <w:rPr>
          <w:szCs w:val="22"/>
        </w:rPr>
        <w:t>We received Complainant</w:t>
      </w:r>
      <w:r w:rsidR="00B83BA2">
        <w:rPr>
          <w:szCs w:val="22"/>
        </w:rPr>
        <w:t>’s</w:t>
      </w:r>
      <w:r>
        <w:rPr>
          <w:szCs w:val="22"/>
        </w:rPr>
        <w:t xml:space="preserve"> complaint alleging that Complainant</w:t>
      </w:r>
      <w:r w:rsidR="00B83BA2">
        <w:rPr>
          <w:szCs w:val="22"/>
        </w:rPr>
        <w:t>’s</w:t>
      </w:r>
      <w:r>
        <w:rPr>
          <w:szCs w:val="22"/>
        </w:rPr>
        <w:t xml:space="preserve"> telecommunications service provider had been changed </w:t>
      </w:r>
      <w:r w:rsidR="00476D29">
        <w:rPr>
          <w:szCs w:val="22"/>
        </w:rPr>
        <w:t xml:space="preserve">to </w:t>
      </w:r>
      <w:r w:rsidR="00476D29">
        <w:rPr>
          <w:szCs w:val="22"/>
        </w:rPr>
        <w:t>Telplex</w:t>
      </w:r>
      <w:r w:rsidR="00476D29">
        <w:rPr>
          <w:szCs w:val="22"/>
        </w:rPr>
        <w:t xml:space="preserve"> </w:t>
      </w:r>
      <w:r>
        <w:rPr>
          <w:szCs w:val="22"/>
        </w:rPr>
        <w:t>without Complainant</w:t>
      </w:r>
      <w:r w:rsidR="00B83BA2">
        <w:rPr>
          <w:szCs w:val="22"/>
        </w:rPr>
        <w:t>’s</w:t>
      </w:r>
      <w:r>
        <w:rPr>
          <w:szCs w:val="22"/>
        </w:rPr>
        <w:t xml:space="preserve"> authorization</w:t>
      </w:r>
      <w:r w:rsidR="00311848">
        <w:rPr>
          <w:szCs w:val="22"/>
        </w:rPr>
        <w:t xml:space="preserve">.  </w:t>
      </w:r>
      <w:r w:rsidR="00B83BA2">
        <w:rPr>
          <w:szCs w:val="22"/>
        </w:rPr>
        <w:t xml:space="preserve">In </w:t>
      </w:r>
      <w:r w:rsidR="00305DCB">
        <w:rPr>
          <w:szCs w:val="22"/>
        </w:rPr>
        <w:t>the complaint</w:t>
      </w:r>
      <w:r w:rsidR="00B83BA2">
        <w:rPr>
          <w:szCs w:val="22"/>
        </w:rPr>
        <w:t xml:space="preserve">, Complainant </w:t>
      </w:r>
      <w:r w:rsidR="00305DCB">
        <w:rPr>
          <w:szCs w:val="22"/>
        </w:rPr>
        <w:t xml:space="preserve">also </w:t>
      </w:r>
      <w:r w:rsidR="00B83BA2">
        <w:rPr>
          <w:szCs w:val="22"/>
        </w:rPr>
        <w:t>allege</w:t>
      </w:r>
      <w:r w:rsidR="00305DCB">
        <w:rPr>
          <w:szCs w:val="22"/>
        </w:rPr>
        <w:t>s</w:t>
      </w:r>
      <w:r w:rsidR="00B83BA2">
        <w:rPr>
          <w:szCs w:val="22"/>
        </w:rPr>
        <w:t xml:space="preserve"> that </w:t>
      </w:r>
      <w:r w:rsidR="00B83BA2">
        <w:rPr>
          <w:szCs w:val="22"/>
        </w:rPr>
        <w:t>Telplex’s</w:t>
      </w:r>
      <w:r w:rsidR="00B83BA2">
        <w:rPr>
          <w:szCs w:val="22"/>
        </w:rPr>
        <w:t xml:space="preserve"> telemarketer </w:t>
      </w:r>
      <w:r w:rsidR="00476D29">
        <w:rPr>
          <w:szCs w:val="22"/>
        </w:rPr>
        <w:t xml:space="preserve">contacted </w:t>
      </w:r>
      <w:r w:rsidR="00264266">
        <w:rPr>
          <w:szCs w:val="22"/>
        </w:rPr>
        <w:t>her</w:t>
      </w:r>
      <w:r w:rsidR="00DE158A">
        <w:rPr>
          <w:szCs w:val="22"/>
        </w:rPr>
        <w:t xml:space="preserve"> and</w:t>
      </w:r>
      <w:r w:rsidR="00476D29">
        <w:rPr>
          <w:szCs w:val="22"/>
        </w:rPr>
        <w:t xml:space="preserve"> “</w:t>
      </w:r>
      <w:r w:rsidR="004629F5">
        <w:rPr>
          <w:szCs w:val="22"/>
        </w:rPr>
        <w:t>stat</w:t>
      </w:r>
      <w:r w:rsidR="00DE158A">
        <w:rPr>
          <w:szCs w:val="22"/>
        </w:rPr>
        <w:t>[ed]</w:t>
      </w:r>
      <w:r w:rsidR="00476D29">
        <w:rPr>
          <w:szCs w:val="22"/>
        </w:rPr>
        <w:t xml:space="preserve"> they were [an] </w:t>
      </w:r>
      <w:r w:rsidR="00B83BA2">
        <w:rPr>
          <w:szCs w:val="22"/>
        </w:rPr>
        <w:t>AT&amp;T</w:t>
      </w:r>
      <w:r w:rsidR="00106F6E">
        <w:rPr>
          <w:szCs w:val="22"/>
        </w:rPr>
        <w:t xml:space="preserve"> </w:t>
      </w:r>
      <w:r w:rsidR="006D19EC">
        <w:rPr>
          <w:szCs w:val="22"/>
        </w:rPr>
        <w:t xml:space="preserve">employee </w:t>
      </w:r>
      <w:r w:rsidR="004629F5">
        <w:rPr>
          <w:szCs w:val="22"/>
        </w:rPr>
        <w:t>and that they were auditing the billing for small business accounts.</w:t>
      </w:r>
      <w:r w:rsidR="00DE158A">
        <w:rPr>
          <w:szCs w:val="22"/>
        </w:rPr>
        <w:t>”</w:t>
      </w:r>
      <w:r w:rsidR="004629F5">
        <w:rPr>
          <w:szCs w:val="22"/>
        </w:rPr>
        <w:t xml:space="preserve">  </w:t>
      </w:r>
      <w:r w:rsidR="00F642EE">
        <w:rPr>
          <w:szCs w:val="22"/>
        </w:rPr>
        <w:t xml:space="preserve">Complainant </w:t>
      </w:r>
      <w:r w:rsidR="00476D29">
        <w:rPr>
          <w:szCs w:val="22"/>
        </w:rPr>
        <w:t xml:space="preserve">further </w:t>
      </w:r>
      <w:r w:rsidR="00F642EE">
        <w:rPr>
          <w:szCs w:val="22"/>
        </w:rPr>
        <w:t xml:space="preserve">states that </w:t>
      </w:r>
      <w:r w:rsidR="00476D29">
        <w:rPr>
          <w:szCs w:val="22"/>
        </w:rPr>
        <w:t xml:space="preserve">she verified </w:t>
      </w:r>
      <w:r w:rsidR="00DE158A">
        <w:rPr>
          <w:szCs w:val="22"/>
        </w:rPr>
        <w:t xml:space="preserve">that </w:t>
      </w:r>
      <w:r w:rsidR="00476D29">
        <w:rPr>
          <w:szCs w:val="22"/>
        </w:rPr>
        <w:t xml:space="preserve">the telemarketer was an AT&amp;T employee before proceeding.  </w:t>
      </w:r>
      <w:r w:rsidR="00DE158A">
        <w:rPr>
          <w:szCs w:val="22"/>
        </w:rPr>
        <w:t xml:space="preserve">She added that upon discovering that her service had been switched to </w:t>
      </w:r>
      <w:r w:rsidR="00DE158A">
        <w:rPr>
          <w:szCs w:val="22"/>
        </w:rPr>
        <w:t>Telplex</w:t>
      </w:r>
      <w:r w:rsidR="00DE158A">
        <w:rPr>
          <w:szCs w:val="22"/>
        </w:rPr>
        <w:t xml:space="preserve">, </w:t>
      </w:r>
      <w:r w:rsidR="00476D29">
        <w:rPr>
          <w:szCs w:val="22"/>
        </w:rPr>
        <w:t>“I contacted AT&amp;T and have been on the p</w:t>
      </w:r>
      <w:r w:rsidR="00DE158A">
        <w:rPr>
          <w:szCs w:val="22"/>
        </w:rPr>
        <w:t>h</w:t>
      </w:r>
      <w:r w:rsidR="00476D29">
        <w:rPr>
          <w:szCs w:val="22"/>
        </w:rPr>
        <w:t xml:space="preserve">one with them trying to get our phone service reinstated for 4 </w:t>
      </w:r>
      <w:r w:rsidR="00476D29">
        <w:rPr>
          <w:szCs w:val="22"/>
        </w:rPr>
        <w:t>hrs</w:t>
      </w:r>
      <w:r w:rsidR="00476D29">
        <w:rPr>
          <w:szCs w:val="22"/>
        </w:rPr>
        <w:t xml:space="preserve"> now.  This rep did nothing but lies, lies, lies.  This is a really bad situation.”</w:t>
      </w:r>
      <w:r>
        <w:rPr>
          <w:rStyle w:val="FootnoteReference"/>
          <w:szCs w:val="22"/>
        </w:rPr>
        <w:footnoteReference w:id="11"/>
      </w:r>
      <w:r w:rsidR="00B83BA2">
        <w:rPr>
          <w:szCs w:val="22"/>
        </w:rPr>
        <w:t xml:space="preserve">  </w:t>
      </w:r>
    </w:p>
    <w:p w:rsidR="00A87E8F" w:rsidRPr="00A87E8F" w:rsidP="00305DCB">
      <w:pPr>
        <w:numPr>
          <w:ilvl w:val="0"/>
          <w:numId w:val="7"/>
        </w:numPr>
        <w:snapToGrid w:val="0"/>
        <w:spacing w:after="120"/>
        <w:ind w:left="0" w:firstLine="720"/>
        <w:rPr>
          <w:szCs w:val="22"/>
        </w:rPr>
      </w:pPr>
      <w:r>
        <w:rPr>
          <w:szCs w:val="22"/>
        </w:rPr>
        <w:t xml:space="preserve">Pursuant to our rules, we notified </w:t>
      </w:r>
      <w:r>
        <w:rPr>
          <w:szCs w:val="22"/>
        </w:rPr>
        <w:t>Telplex</w:t>
      </w:r>
      <w:r>
        <w:rPr>
          <w:szCs w:val="22"/>
        </w:rPr>
        <w:t xml:space="preserve"> of the complaint</w:t>
      </w:r>
      <w:r w:rsidR="00FE6960">
        <w:rPr>
          <w:szCs w:val="22"/>
        </w:rPr>
        <w:t>,</w:t>
      </w:r>
      <w:r>
        <w:rPr>
          <w:szCs w:val="22"/>
        </w:rPr>
        <w:t xml:space="preserve"> and </w:t>
      </w:r>
      <w:r>
        <w:rPr>
          <w:szCs w:val="22"/>
        </w:rPr>
        <w:t>Telplex</w:t>
      </w:r>
      <w:r>
        <w:rPr>
          <w:szCs w:val="22"/>
        </w:rPr>
        <w:t xml:space="preserve"> responded.</w:t>
      </w:r>
      <w:r>
        <w:rPr>
          <w:rStyle w:val="FootnoteReference"/>
          <w:szCs w:val="22"/>
        </w:rPr>
        <w:footnoteReference w:id="12"/>
      </w:r>
      <w:r>
        <w:rPr>
          <w:szCs w:val="22"/>
        </w:rPr>
        <w:t xml:space="preserve">  </w:t>
      </w:r>
      <w:r>
        <w:rPr>
          <w:szCs w:val="22"/>
        </w:rPr>
        <w:t>Telplex</w:t>
      </w:r>
      <w:r>
        <w:rPr>
          <w:szCs w:val="22"/>
        </w:rPr>
        <w:t xml:space="preserve"> state</w:t>
      </w:r>
      <w:r w:rsidR="00D33E46">
        <w:rPr>
          <w:szCs w:val="22"/>
        </w:rPr>
        <w:t>d</w:t>
      </w:r>
      <w:r>
        <w:rPr>
          <w:szCs w:val="22"/>
        </w:rPr>
        <w:t xml:space="preserve"> that authorization was received and confirmed through </w:t>
      </w:r>
      <w:r w:rsidR="00305DCB">
        <w:rPr>
          <w:szCs w:val="22"/>
        </w:rPr>
        <w:t xml:space="preserve">a </w:t>
      </w:r>
      <w:r>
        <w:rPr>
          <w:szCs w:val="22"/>
        </w:rPr>
        <w:t xml:space="preserve">TPV.  </w:t>
      </w:r>
      <w:r w:rsidR="00F642EE">
        <w:rPr>
          <w:szCs w:val="22"/>
        </w:rPr>
        <w:t>Telplex</w:t>
      </w:r>
      <w:r w:rsidR="00F642EE">
        <w:rPr>
          <w:szCs w:val="22"/>
        </w:rPr>
        <w:t xml:space="preserve"> </w:t>
      </w:r>
      <w:r w:rsidR="00264266">
        <w:rPr>
          <w:szCs w:val="22"/>
        </w:rPr>
        <w:t xml:space="preserve">also </w:t>
      </w:r>
      <w:r w:rsidR="00F642EE">
        <w:rPr>
          <w:szCs w:val="22"/>
        </w:rPr>
        <w:t>states that it</w:t>
      </w:r>
      <w:r w:rsidR="00DE158A">
        <w:rPr>
          <w:szCs w:val="22"/>
        </w:rPr>
        <w:t xml:space="preserve"> denies any wrongdoing and that the TPV recording “confirms there was no deception or misrepresentation.”</w:t>
      </w:r>
      <w:r>
        <w:rPr>
          <w:rStyle w:val="FootnoteReference"/>
          <w:szCs w:val="24"/>
        </w:rPr>
        <w:footnoteReference w:id="13"/>
      </w:r>
      <w:r w:rsidR="00CA752A">
        <w:rPr>
          <w:szCs w:val="24"/>
        </w:rPr>
        <w:t xml:space="preserve">  </w:t>
      </w:r>
      <w:r w:rsidR="00CA752A">
        <w:rPr>
          <w:szCs w:val="24"/>
        </w:rPr>
        <w:t>Telplex</w:t>
      </w:r>
      <w:r w:rsidR="00305DCB">
        <w:rPr>
          <w:szCs w:val="24"/>
        </w:rPr>
        <w:t xml:space="preserve"> </w:t>
      </w:r>
      <w:r w:rsidR="00CA752A">
        <w:rPr>
          <w:szCs w:val="24"/>
        </w:rPr>
        <w:t>d</w:t>
      </w:r>
      <w:r w:rsidR="008F5FAB">
        <w:rPr>
          <w:szCs w:val="24"/>
        </w:rPr>
        <w:t>id</w:t>
      </w:r>
      <w:r w:rsidR="00CA752A">
        <w:rPr>
          <w:szCs w:val="24"/>
        </w:rPr>
        <w:t xml:space="preserve"> not</w:t>
      </w:r>
      <w:r w:rsidR="00305DCB">
        <w:rPr>
          <w:szCs w:val="24"/>
        </w:rPr>
        <w:t>, however,</w:t>
      </w:r>
      <w:r w:rsidR="00CA752A">
        <w:rPr>
          <w:szCs w:val="24"/>
        </w:rPr>
        <w:t xml:space="preserve"> provide the sales call recording</w:t>
      </w:r>
      <w:r>
        <w:rPr>
          <w:szCs w:val="24"/>
        </w:rPr>
        <w:t xml:space="preserve"> </w:t>
      </w:r>
      <w:r w:rsidR="00E342E6">
        <w:rPr>
          <w:szCs w:val="24"/>
        </w:rPr>
        <w:t>or other</w:t>
      </w:r>
      <w:r w:rsidR="001B1CAF">
        <w:rPr>
          <w:szCs w:val="24"/>
        </w:rPr>
        <w:t xml:space="preserve"> persuasive</w:t>
      </w:r>
      <w:r>
        <w:rPr>
          <w:szCs w:val="24"/>
        </w:rPr>
        <w:t xml:space="preserve"> evidence</w:t>
      </w:r>
      <w:r w:rsidR="001B1CAF">
        <w:rPr>
          <w:szCs w:val="24"/>
        </w:rPr>
        <w:t xml:space="preserve"> to rebut Complainant’s claim</w:t>
      </w:r>
      <w:r w:rsidR="008F7313">
        <w:rPr>
          <w:szCs w:val="24"/>
        </w:rPr>
        <w:t xml:space="preserve"> of misrepresentation.</w:t>
      </w:r>
      <w:r>
        <w:rPr>
          <w:szCs w:val="24"/>
        </w:rPr>
        <w:t xml:space="preserve"> </w:t>
      </w:r>
    </w:p>
    <w:p w:rsidR="00AB71F2" w:rsidP="00305DCB">
      <w:pPr>
        <w:numPr>
          <w:ilvl w:val="0"/>
          <w:numId w:val="7"/>
        </w:numPr>
        <w:snapToGrid w:val="0"/>
        <w:spacing w:after="120"/>
        <w:ind w:left="0" w:firstLine="720"/>
        <w:rPr>
          <w:szCs w:val="22"/>
        </w:rPr>
      </w:pPr>
      <w:r>
        <w:rPr>
          <w:szCs w:val="22"/>
        </w:rPr>
        <w:t>Based on all the evidence in the record, w</w:t>
      </w:r>
      <w:r w:rsidR="005D20F0">
        <w:rPr>
          <w:szCs w:val="22"/>
        </w:rPr>
        <w:t xml:space="preserve">e </w:t>
      </w:r>
      <w:r w:rsidR="00305DCB">
        <w:rPr>
          <w:szCs w:val="22"/>
        </w:rPr>
        <w:t>find Complainant’s allegation of a sales call misrepresentation to be credible</w:t>
      </w:r>
      <w:r w:rsidR="00FE6960">
        <w:rPr>
          <w:szCs w:val="22"/>
        </w:rPr>
        <w:t xml:space="preserve"> due to its specificity and consistency with other complaints we have reviewed</w:t>
      </w:r>
      <w:r w:rsidR="00305DCB">
        <w:rPr>
          <w:szCs w:val="22"/>
        </w:rPr>
        <w:t xml:space="preserve">.  We </w:t>
      </w:r>
      <w:r w:rsidR="001B1CAF">
        <w:rPr>
          <w:szCs w:val="22"/>
        </w:rPr>
        <w:t>further find</w:t>
      </w:r>
      <w:r w:rsidR="00305DCB">
        <w:rPr>
          <w:szCs w:val="22"/>
        </w:rPr>
        <w:t xml:space="preserve"> that </w:t>
      </w:r>
      <w:r w:rsidR="00305DCB">
        <w:rPr>
          <w:szCs w:val="22"/>
        </w:rPr>
        <w:t>Telplex</w:t>
      </w:r>
      <w:r w:rsidR="00305DCB">
        <w:rPr>
          <w:szCs w:val="22"/>
        </w:rPr>
        <w:t xml:space="preserve"> has failed to provide persuasive evidence to rebut Complainant’s claim</w:t>
      </w:r>
      <w:r w:rsidR="001B1CAF">
        <w:rPr>
          <w:szCs w:val="22"/>
        </w:rPr>
        <w:t xml:space="preserve"> and therefore that Complainant’s authorization to change carriers is invalid</w:t>
      </w:r>
      <w:r w:rsidR="00305DCB">
        <w:rPr>
          <w:szCs w:val="22"/>
        </w:rPr>
        <w:t xml:space="preserve">. </w:t>
      </w:r>
      <w:r w:rsidR="001B1CAF">
        <w:rPr>
          <w:szCs w:val="22"/>
        </w:rPr>
        <w:t xml:space="preserve"> </w:t>
      </w:r>
      <w:r>
        <w:rPr>
          <w:szCs w:val="22"/>
        </w:rPr>
        <w:t>W</w:t>
      </w:r>
      <w:r w:rsidR="005D20F0">
        <w:rPr>
          <w:szCs w:val="22"/>
        </w:rPr>
        <w:t>e</w:t>
      </w:r>
      <w:r>
        <w:rPr>
          <w:szCs w:val="22"/>
        </w:rPr>
        <w:t xml:space="preserve"> therefore</w:t>
      </w:r>
      <w:r w:rsidR="005D20F0">
        <w:rPr>
          <w:szCs w:val="22"/>
        </w:rPr>
        <w:t xml:space="preserve"> </w:t>
      </w:r>
      <w:r>
        <w:rPr>
          <w:szCs w:val="22"/>
        </w:rPr>
        <w:t>find</w:t>
      </w:r>
      <w:r w:rsidR="005D20F0">
        <w:rPr>
          <w:szCs w:val="22"/>
        </w:rPr>
        <w:t xml:space="preserve"> that </w:t>
      </w:r>
      <w:r w:rsidR="00B83BA2">
        <w:rPr>
          <w:szCs w:val="22"/>
        </w:rPr>
        <w:t>Telplex’s</w:t>
      </w:r>
      <w:r w:rsidR="00B83BA2">
        <w:rPr>
          <w:szCs w:val="22"/>
        </w:rPr>
        <w:t xml:space="preserve"> actions resulted in an unauthorized change in Complainant’s </w:t>
      </w:r>
      <w:r>
        <w:rPr>
          <w:szCs w:val="22"/>
        </w:rPr>
        <w:t xml:space="preserve">telecommunications service provider, as defined by the rules. </w:t>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AB71F2" w:rsidRPr="00DB138B" w:rsidP="00D46AA1">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w:t>
      </w:r>
      <w:r w:rsidRPr="00FD2C3C">
        <w:rPr>
          <w:szCs w:val="22"/>
        </w:rPr>
        <w:t xml:space="preserve">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991199">
      <w:pPr>
        <w:spacing w:after="120"/>
        <w:ind w:left="3600" w:right="270"/>
        <w:rPr>
          <w:szCs w:val="22"/>
        </w:rPr>
      </w:pPr>
      <w:r>
        <w:rPr>
          <w:szCs w:val="22"/>
        </w:rPr>
        <w:t>FEDERAL COMMUNICATIONS COMMISSION</w:t>
      </w:r>
    </w:p>
    <w:p w:rsidR="00AB71F2" w:rsidP="005328A1">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4E12">
      <w:r>
        <w:separator/>
      </w:r>
    </w:p>
  </w:footnote>
  <w:footnote w:type="continuationSeparator" w:id="1">
    <w:p w:rsidR="00894E12" w:rsidP="00C721AC">
      <w:pPr>
        <w:spacing w:before="120"/>
        <w:rPr>
          <w:sz w:val="20"/>
        </w:rPr>
      </w:pPr>
      <w:r>
        <w:rPr>
          <w:sz w:val="20"/>
        </w:rPr>
        <w:t xml:space="preserve">(Continued from previous page)  </w:t>
      </w:r>
      <w:r>
        <w:rPr>
          <w:sz w:val="20"/>
        </w:rPr>
        <w:separator/>
      </w:r>
    </w:p>
  </w:footnote>
  <w:footnote w:type="continuationNotice" w:id="2">
    <w:p w:rsidR="00894E12"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3</w:t>
      </w:r>
      <w:r w:rsidR="00106F6E">
        <w:t>2</w:t>
      </w:r>
      <w:r w:rsidR="00631820">
        <w:t>45331</w:t>
      </w:r>
      <w:r w:rsidR="006533AA">
        <w:t xml:space="preserve"> (filed </w:t>
      </w:r>
      <w:r w:rsidR="004629F5">
        <w:t>May 7</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w:t>
      </w:r>
      <w:r w:rsidRPr="00476D29" w:rsidR="00476D29">
        <w:rPr>
          <w:i/>
        </w:rPr>
        <w:t>Id</w:t>
      </w:r>
      <w:r w:rsidR="00476D29">
        <w:t>.</w:t>
      </w:r>
      <w:r>
        <w:t xml:space="preserve">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305DCB">
      <w:pPr>
        <w:pStyle w:val="FootnoteText"/>
      </w:pPr>
      <w:r>
        <w:rPr>
          <w:rStyle w:val="FootnoteReference"/>
        </w:rPr>
        <w:footnoteRef/>
      </w:r>
      <w:r>
        <w:t xml:space="preserve"> </w:t>
      </w:r>
      <w:r w:rsidRPr="00305DCB">
        <w:rPr>
          <w:i/>
        </w:rPr>
        <w:t>See</w:t>
      </w:r>
      <w:r>
        <w:t xml:space="preserve"> Informal Complaint No. 3</w:t>
      </w:r>
      <w:r w:rsidR="006D19EC">
        <w:t>2</w:t>
      </w:r>
      <w:r w:rsidR="004629F5">
        <w:t>45331</w:t>
      </w:r>
      <w:r>
        <w:t>.</w:t>
      </w:r>
    </w:p>
  </w:footnote>
  <w:footnote w:id="12">
    <w:p w:rsidR="00AB71F2" w:rsidP="00AB71F2">
      <w:pPr>
        <w:pStyle w:val="FootnoteText"/>
        <w:tabs>
          <w:tab w:val="left" w:pos="0"/>
        </w:tabs>
      </w:pPr>
      <w:r>
        <w:rPr>
          <w:rStyle w:val="FootnoteReference"/>
        </w:rPr>
        <w:footnoteRef/>
      </w:r>
      <w:r>
        <w:t xml:space="preserve"> 47 CFR § 1.719 (Commission procedure for informal complaints filed pursuant to </w:t>
      </w:r>
      <w:r w:rsidR="00305DCB">
        <w:t>s</w:t>
      </w:r>
      <w:r>
        <w:t xml:space="preserve">ection 258 of the Act); </w:t>
      </w:r>
      <w:r>
        <w:rPr>
          <w:i/>
        </w:rPr>
        <w:t>id</w:t>
      </w:r>
      <w:r>
        <w:t>. § 64.1150 (procedures for resolution of unauthorized changes in preferred carrier).</w:t>
      </w:r>
    </w:p>
  </w:footnote>
  <w:footnote w:id="13">
    <w:p w:rsidR="008F5FAB">
      <w:pPr>
        <w:pStyle w:val="FootnoteText"/>
      </w:pPr>
      <w:r>
        <w:rPr>
          <w:rStyle w:val="FootnoteReference"/>
        </w:rPr>
        <w:footnoteRef/>
      </w:r>
      <w:r>
        <w:t xml:space="preserve"> </w:t>
      </w:r>
      <w:r w:rsidRPr="008F5FAB">
        <w:rPr>
          <w:i/>
        </w:rPr>
        <w:t>See</w:t>
      </w:r>
      <w:r>
        <w:t xml:space="preserve"> </w:t>
      </w:r>
      <w:r>
        <w:t>Telplex</w:t>
      </w:r>
      <w:r>
        <w:t xml:space="preserve"> Response to Informal Complaint No. 3</w:t>
      </w:r>
      <w:r w:rsidR="006D19EC">
        <w:t>2</w:t>
      </w:r>
      <w:r w:rsidR="004629F5">
        <w:t>45331</w:t>
      </w:r>
      <w:r>
        <w:t xml:space="preserve"> (filed </w:t>
      </w:r>
      <w:r w:rsidR="004629F5">
        <w:t>June 6</w:t>
      </w:r>
      <w:r>
        <w:t xml:space="preserv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D641D5">
      <w:t>753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sidR="00D641D5">
      <w:rPr>
        <w:spacing w:val="-2"/>
      </w:rPr>
      <w:t>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237AB"/>
    <w:rsid w:val="00036039"/>
    <w:rsid w:val="00037F90"/>
    <w:rsid w:val="00060FC4"/>
    <w:rsid w:val="000875BF"/>
    <w:rsid w:val="00096D8C"/>
    <w:rsid w:val="000A49E3"/>
    <w:rsid w:val="000C0B65"/>
    <w:rsid w:val="000E05FE"/>
    <w:rsid w:val="000E3D42"/>
    <w:rsid w:val="00106F6E"/>
    <w:rsid w:val="00122BD5"/>
    <w:rsid w:val="00133F79"/>
    <w:rsid w:val="00194A66"/>
    <w:rsid w:val="001B1CAF"/>
    <w:rsid w:val="001D6BCF"/>
    <w:rsid w:val="001E01CA"/>
    <w:rsid w:val="002272BC"/>
    <w:rsid w:val="00237F60"/>
    <w:rsid w:val="00264266"/>
    <w:rsid w:val="00275CF5"/>
    <w:rsid w:val="0028301F"/>
    <w:rsid w:val="00285017"/>
    <w:rsid w:val="002A2D2E"/>
    <w:rsid w:val="002C00E8"/>
    <w:rsid w:val="00305DCB"/>
    <w:rsid w:val="00311848"/>
    <w:rsid w:val="00343749"/>
    <w:rsid w:val="003660ED"/>
    <w:rsid w:val="003B0550"/>
    <w:rsid w:val="003B694F"/>
    <w:rsid w:val="003F171C"/>
    <w:rsid w:val="00412FC5"/>
    <w:rsid w:val="00422276"/>
    <w:rsid w:val="004242F1"/>
    <w:rsid w:val="00445A00"/>
    <w:rsid w:val="00451B0F"/>
    <w:rsid w:val="004629F5"/>
    <w:rsid w:val="00476D29"/>
    <w:rsid w:val="004C2EE3"/>
    <w:rsid w:val="004E4A22"/>
    <w:rsid w:val="00511968"/>
    <w:rsid w:val="005328A1"/>
    <w:rsid w:val="0055614C"/>
    <w:rsid w:val="00566D06"/>
    <w:rsid w:val="005D20F0"/>
    <w:rsid w:val="005E14C2"/>
    <w:rsid w:val="00607BA5"/>
    <w:rsid w:val="0061180A"/>
    <w:rsid w:val="00626EB6"/>
    <w:rsid w:val="00631820"/>
    <w:rsid w:val="00641459"/>
    <w:rsid w:val="006533AA"/>
    <w:rsid w:val="00655D03"/>
    <w:rsid w:val="00683388"/>
    <w:rsid w:val="00683F84"/>
    <w:rsid w:val="006A6A81"/>
    <w:rsid w:val="006D19EC"/>
    <w:rsid w:val="006F7393"/>
    <w:rsid w:val="0070224F"/>
    <w:rsid w:val="007115F7"/>
    <w:rsid w:val="007514C0"/>
    <w:rsid w:val="00785689"/>
    <w:rsid w:val="0079754B"/>
    <w:rsid w:val="007A1E6D"/>
    <w:rsid w:val="007B0EB2"/>
    <w:rsid w:val="007D10ED"/>
    <w:rsid w:val="00810B6F"/>
    <w:rsid w:val="00822CE0"/>
    <w:rsid w:val="00841AB1"/>
    <w:rsid w:val="00856C22"/>
    <w:rsid w:val="00894E12"/>
    <w:rsid w:val="008C68F1"/>
    <w:rsid w:val="008F5FAB"/>
    <w:rsid w:val="008F7313"/>
    <w:rsid w:val="00921803"/>
    <w:rsid w:val="00926503"/>
    <w:rsid w:val="0093379B"/>
    <w:rsid w:val="009726D8"/>
    <w:rsid w:val="00991199"/>
    <w:rsid w:val="009D7308"/>
    <w:rsid w:val="009E714E"/>
    <w:rsid w:val="009F76DB"/>
    <w:rsid w:val="00A138E2"/>
    <w:rsid w:val="00A32C3B"/>
    <w:rsid w:val="00A45F4F"/>
    <w:rsid w:val="00A600A9"/>
    <w:rsid w:val="00A87E8F"/>
    <w:rsid w:val="00AA55B7"/>
    <w:rsid w:val="00AA5B9E"/>
    <w:rsid w:val="00AB2407"/>
    <w:rsid w:val="00AB53DF"/>
    <w:rsid w:val="00AB71F2"/>
    <w:rsid w:val="00B07E5C"/>
    <w:rsid w:val="00B811F7"/>
    <w:rsid w:val="00B83BA2"/>
    <w:rsid w:val="00BA5BB7"/>
    <w:rsid w:val="00BA5DC6"/>
    <w:rsid w:val="00BA6196"/>
    <w:rsid w:val="00BC6D8C"/>
    <w:rsid w:val="00C34006"/>
    <w:rsid w:val="00C36B4C"/>
    <w:rsid w:val="00C426B1"/>
    <w:rsid w:val="00C66160"/>
    <w:rsid w:val="00C721AC"/>
    <w:rsid w:val="00C80625"/>
    <w:rsid w:val="00C90D6A"/>
    <w:rsid w:val="00CA247E"/>
    <w:rsid w:val="00CA6D21"/>
    <w:rsid w:val="00CA752A"/>
    <w:rsid w:val="00CC72B6"/>
    <w:rsid w:val="00CE5BF4"/>
    <w:rsid w:val="00CF2AA9"/>
    <w:rsid w:val="00D0218D"/>
    <w:rsid w:val="00D25FB5"/>
    <w:rsid w:val="00D26A9E"/>
    <w:rsid w:val="00D33E46"/>
    <w:rsid w:val="00D44223"/>
    <w:rsid w:val="00D46AA1"/>
    <w:rsid w:val="00D641D5"/>
    <w:rsid w:val="00DA2529"/>
    <w:rsid w:val="00DB130A"/>
    <w:rsid w:val="00DB138B"/>
    <w:rsid w:val="00DB2EBB"/>
    <w:rsid w:val="00DC10A1"/>
    <w:rsid w:val="00DC655F"/>
    <w:rsid w:val="00DD0B59"/>
    <w:rsid w:val="00DD7EBD"/>
    <w:rsid w:val="00DE158A"/>
    <w:rsid w:val="00DF62B6"/>
    <w:rsid w:val="00E07225"/>
    <w:rsid w:val="00E342E6"/>
    <w:rsid w:val="00E5409F"/>
    <w:rsid w:val="00EE6488"/>
    <w:rsid w:val="00F021FA"/>
    <w:rsid w:val="00F62E97"/>
    <w:rsid w:val="00F64209"/>
    <w:rsid w:val="00F642EE"/>
    <w:rsid w:val="00F93BF5"/>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