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1152" w:rsidP="00F81152">
      <w:pPr>
        <w:jc w:val="center"/>
        <w:rPr>
          <w:b/>
        </w:rPr>
      </w:pPr>
      <w:bookmarkStart w:id="0" w:name="_Hlk872249"/>
      <w:bookmarkStart w:id="1" w:name="_GoBack"/>
      <w:bookmarkEnd w:id="1"/>
      <w:r w:rsidRPr="0070224F">
        <w:rPr>
          <w:rFonts w:ascii="Times New Roman Bold" w:hAnsi="Times New Roman Bold"/>
          <w:b/>
          <w:kern w:val="0"/>
          <w:szCs w:val="22"/>
        </w:rPr>
        <w:t>Before</w:t>
      </w:r>
      <w:r>
        <w:rPr>
          <w:b/>
        </w:rPr>
        <w:t xml:space="preserve"> the</w:t>
      </w:r>
    </w:p>
    <w:p w:rsidR="00F81152" w:rsidP="00F81152">
      <w:pPr>
        <w:pStyle w:val="StyleBoldCentered"/>
      </w:pPr>
      <w:r>
        <w:t>F</w:t>
      </w:r>
      <w:r>
        <w:rPr>
          <w:caps w:val="0"/>
        </w:rPr>
        <w:t>ederal Communications Commission</w:t>
      </w:r>
    </w:p>
    <w:p w:rsidR="00F81152" w:rsidP="00F81152">
      <w:pPr>
        <w:pStyle w:val="StyleBoldCentered"/>
      </w:pPr>
      <w:r>
        <w:rPr>
          <w:caps w:val="0"/>
        </w:rPr>
        <w:t>Washington, D.C. 20554</w:t>
      </w:r>
    </w:p>
    <w:p w:rsidR="00F81152" w:rsidP="00F81152"/>
    <w:p w:rsidR="00F81152" w:rsidP="00F81152"/>
    <w:tbl>
      <w:tblPr>
        <w:tblW w:w="9666" w:type="dxa"/>
        <w:tblInd w:w="-90" w:type="dxa"/>
        <w:tblLayout w:type="fixed"/>
        <w:tblLook w:val="0000"/>
      </w:tblPr>
      <w:tblGrid>
        <w:gridCol w:w="4788"/>
        <w:gridCol w:w="630"/>
        <w:gridCol w:w="4248"/>
      </w:tblGrid>
      <w:tr w:rsidTr="005E43B1">
        <w:tblPrEx>
          <w:tblW w:w="9666" w:type="dxa"/>
          <w:tblInd w:w="-90" w:type="dxa"/>
          <w:tblLayout w:type="fixed"/>
          <w:tblLook w:val="0000"/>
        </w:tblPrEx>
        <w:tc>
          <w:tcPr>
            <w:tcW w:w="4788" w:type="dxa"/>
          </w:tcPr>
          <w:p w:rsidR="00F81152" w:rsidP="005E43B1">
            <w:pPr>
              <w:tabs>
                <w:tab w:val="center" w:pos="4680"/>
              </w:tabs>
              <w:suppressAutoHyphens/>
              <w:rPr>
                <w:spacing w:val="-2"/>
              </w:rPr>
            </w:pPr>
            <w:r>
              <w:rPr>
                <w:spacing w:val="-2"/>
              </w:rPr>
              <w:t>In the Matter of</w:t>
            </w:r>
          </w:p>
          <w:p w:rsidR="00F81152" w:rsidP="005E43B1">
            <w:pPr>
              <w:tabs>
                <w:tab w:val="center" w:pos="4680"/>
              </w:tabs>
              <w:suppressAutoHyphens/>
              <w:rPr>
                <w:spacing w:val="-2"/>
              </w:rPr>
            </w:pPr>
          </w:p>
          <w:p w:rsidR="00F81152" w:rsidRPr="007115F7" w:rsidP="005E43B1">
            <w:pPr>
              <w:tabs>
                <w:tab w:val="center" w:pos="4680"/>
              </w:tabs>
              <w:suppressAutoHyphens/>
              <w:rPr>
                <w:spacing w:val="-2"/>
              </w:rPr>
            </w:pPr>
            <w:r>
              <w:t>P</w:t>
            </w:r>
            <w:r w:rsidRPr="0092611B">
              <w:t>etition of USTelecom for Forbearance Pursuant to 47 U.S.C. § 160(c) to Accelerate Investment in Broadband and Next-Generation Networks</w:t>
            </w:r>
          </w:p>
        </w:tc>
        <w:tc>
          <w:tcPr>
            <w:tcW w:w="630" w:type="dxa"/>
          </w:tcPr>
          <w:p w:rsidR="00F81152" w:rsidP="005E43B1">
            <w:pPr>
              <w:tabs>
                <w:tab w:val="center" w:pos="4680"/>
              </w:tabs>
              <w:suppressAutoHyphens/>
              <w:rPr>
                <w:b/>
                <w:spacing w:val="-2"/>
              </w:rPr>
            </w:pPr>
            <w:r>
              <w:rPr>
                <w:b/>
                <w:spacing w:val="-2"/>
              </w:rPr>
              <w:t>)</w:t>
            </w:r>
          </w:p>
          <w:p w:rsidR="00F81152" w:rsidP="005E43B1">
            <w:pPr>
              <w:tabs>
                <w:tab w:val="center" w:pos="4680"/>
              </w:tabs>
              <w:suppressAutoHyphens/>
              <w:rPr>
                <w:b/>
                <w:spacing w:val="-2"/>
              </w:rPr>
            </w:pPr>
            <w:r>
              <w:rPr>
                <w:b/>
                <w:spacing w:val="-2"/>
              </w:rPr>
              <w:t>)</w:t>
            </w:r>
          </w:p>
          <w:p w:rsidR="00F81152" w:rsidP="005E43B1">
            <w:pPr>
              <w:tabs>
                <w:tab w:val="center" w:pos="4680"/>
              </w:tabs>
              <w:suppressAutoHyphens/>
              <w:rPr>
                <w:b/>
                <w:spacing w:val="-2"/>
              </w:rPr>
            </w:pPr>
            <w:r>
              <w:rPr>
                <w:b/>
                <w:spacing w:val="-2"/>
              </w:rPr>
              <w:t>)</w:t>
            </w:r>
          </w:p>
          <w:p w:rsidR="00F81152" w:rsidP="005E43B1">
            <w:pPr>
              <w:tabs>
                <w:tab w:val="center" w:pos="4680"/>
              </w:tabs>
              <w:suppressAutoHyphens/>
              <w:rPr>
                <w:b/>
                <w:spacing w:val="-2"/>
              </w:rPr>
            </w:pPr>
            <w:r>
              <w:rPr>
                <w:b/>
                <w:spacing w:val="-2"/>
              </w:rPr>
              <w:t>)</w:t>
            </w:r>
          </w:p>
          <w:p w:rsidR="00F81152" w:rsidP="005E43B1">
            <w:pPr>
              <w:tabs>
                <w:tab w:val="center" w:pos="4680"/>
              </w:tabs>
              <w:suppressAutoHyphens/>
              <w:rPr>
                <w:b/>
                <w:spacing w:val="-2"/>
              </w:rPr>
            </w:pPr>
            <w:r>
              <w:rPr>
                <w:b/>
                <w:spacing w:val="-2"/>
              </w:rPr>
              <w:t>)</w:t>
            </w:r>
          </w:p>
          <w:p w:rsidR="00F81152" w:rsidP="005E43B1">
            <w:pPr>
              <w:tabs>
                <w:tab w:val="center" w:pos="4680"/>
              </w:tabs>
              <w:suppressAutoHyphens/>
              <w:rPr>
                <w:b/>
                <w:spacing w:val="-2"/>
              </w:rPr>
            </w:pPr>
            <w:r>
              <w:rPr>
                <w:b/>
                <w:spacing w:val="-2"/>
              </w:rPr>
              <w:t>)</w:t>
            </w:r>
          </w:p>
          <w:p w:rsidR="00F81152" w:rsidP="005E43B1">
            <w:pPr>
              <w:tabs>
                <w:tab w:val="center" w:pos="4680"/>
              </w:tabs>
              <w:suppressAutoHyphens/>
              <w:rPr>
                <w:spacing w:val="-2"/>
              </w:rPr>
            </w:pPr>
          </w:p>
        </w:tc>
        <w:tc>
          <w:tcPr>
            <w:tcW w:w="4248" w:type="dxa"/>
          </w:tcPr>
          <w:p w:rsidR="00F81152" w:rsidP="005E43B1">
            <w:pPr>
              <w:tabs>
                <w:tab w:val="center" w:pos="4680"/>
              </w:tabs>
              <w:suppressAutoHyphens/>
              <w:rPr>
                <w:spacing w:val="-2"/>
              </w:rPr>
            </w:pPr>
          </w:p>
          <w:p w:rsidR="00F81152" w:rsidP="005E43B1">
            <w:pPr>
              <w:pStyle w:val="TOAHeading"/>
              <w:tabs>
                <w:tab w:val="center" w:pos="4680"/>
                <w:tab w:val="clear" w:pos="9360"/>
              </w:tabs>
              <w:rPr>
                <w:spacing w:val="-2"/>
              </w:rPr>
            </w:pPr>
          </w:p>
          <w:p w:rsidR="00F81152" w:rsidP="005E43B1">
            <w:pPr>
              <w:tabs>
                <w:tab w:val="center" w:pos="4680"/>
              </w:tabs>
              <w:suppressAutoHyphens/>
              <w:rPr>
                <w:spacing w:val="-2"/>
              </w:rPr>
            </w:pPr>
            <w:r w:rsidRPr="0092611B">
              <w:t>WC Docket No. 18-141</w:t>
            </w:r>
          </w:p>
        </w:tc>
      </w:tr>
    </w:tbl>
    <w:p w:rsidR="00F81152" w:rsidP="00F81152"/>
    <w:p w:rsidR="00F81152" w:rsidP="00F81152">
      <w:pPr>
        <w:pStyle w:val="StyleBoldCentered"/>
      </w:pPr>
      <w:r>
        <w:t>ORDER</w:t>
      </w:r>
    </w:p>
    <w:p w:rsidR="00F81152" w:rsidP="00F81152">
      <w:pPr>
        <w:tabs>
          <w:tab w:val="left" w:pos="-720"/>
        </w:tabs>
        <w:suppressAutoHyphens/>
        <w:spacing w:line="227" w:lineRule="auto"/>
        <w:rPr>
          <w:spacing w:val="-2"/>
        </w:rPr>
      </w:pPr>
    </w:p>
    <w:p w:rsidR="00F81152" w:rsidP="00F81152">
      <w:pPr>
        <w:tabs>
          <w:tab w:val="left" w:pos="720"/>
          <w:tab w:val="right" w:pos="9360"/>
        </w:tabs>
        <w:suppressAutoHyphens/>
        <w:spacing w:line="227" w:lineRule="auto"/>
        <w:rPr>
          <w:spacing w:val="-2"/>
        </w:rPr>
      </w:pPr>
      <w:r>
        <w:rPr>
          <w:b/>
          <w:spacing w:val="-2"/>
        </w:rPr>
        <w:t>Adopted:  February 14, 2019</w:t>
      </w:r>
      <w:r>
        <w:rPr>
          <w:b/>
          <w:spacing w:val="-2"/>
        </w:rPr>
        <w:tab/>
        <w:t>Released:  February 14, 2019</w:t>
      </w:r>
    </w:p>
    <w:p w:rsidR="00F81152" w:rsidP="00F81152"/>
    <w:p w:rsidR="00F81152" w:rsidP="00F81152">
      <w:pPr>
        <w:rPr>
          <w:spacing w:val="-2"/>
        </w:rPr>
      </w:pPr>
      <w:r>
        <w:t xml:space="preserve">By the </w:t>
      </w:r>
      <w:r>
        <w:rPr>
          <w:spacing w:val="-2"/>
        </w:rPr>
        <w:t>Chief, Wireline Competition Bureau:</w:t>
      </w:r>
    </w:p>
    <w:p w:rsidR="00F81152" w:rsidP="00F81152"/>
    <w:p w:rsidR="00F81152" w:rsidP="00F81152">
      <w:pPr>
        <w:pStyle w:val="ParaNum"/>
        <w:widowControl/>
      </w:pPr>
      <w:r>
        <w:t xml:space="preserve">By </w:t>
      </w:r>
      <w:r w:rsidRPr="001D28F4">
        <w:t xml:space="preserve">this Order, </w:t>
      </w:r>
      <w:r>
        <w:t>pursuant to section 10(c) of the Communications Act of 1934, as amended (the Act),</w:t>
      </w:r>
      <w:r>
        <w:rPr>
          <w:rStyle w:val="FootnoteReference"/>
        </w:rPr>
        <w:footnoteReference w:id="2"/>
      </w:r>
      <w:r>
        <w:t xml:space="preserve"> we extend by 90 days </w:t>
      </w:r>
      <w:r w:rsidRPr="001D28F4">
        <w:t xml:space="preserve">the </w:t>
      </w:r>
      <w:r>
        <w:t>date by which the petition requesting forbearance filed by USTelecom – The Broadband Association (USTelecom) shall be deemed granted in the absence of a Commission decision that the petition fails to meet the standards for forbearance under section 10(a) of the Act.</w:t>
      </w:r>
      <w:r>
        <w:rPr>
          <w:rStyle w:val="FootnoteReference"/>
        </w:rPr>
        <w:footnoteReference w:id="3"/>
      </w:r>
      <w:r>
        <w:t xml:space="preserve">  Accordingly, the day on which the USTelecom Petition will be deemed granted in the absence of a Commission denial is August 2, 2019</w:t>
      </w:r>
      <w:r w:rsidRPr="001D28F4">
        <w:t>.</w:t>
      </w:r>
    </w:p>
    <w:p w:rsidR="00F81152" w:rsidP="00F81152">
      <w:pPr>
        <w:pStyle w:val="ParaNum"/>
        <w:widowControl/>
        <w:rPr>
          <w:rFonts w:eastAsiaTheme="minorHAnsi"/>
          <w:color w:val="000000"/>
          <w:szCs w:val="22"/>
        </w:rPr>
      </w:pPr>
      <w:bookmarkStart w:id="2" w:name="_Hlk431188"/>
      <w:r>
        <w:t xml:space="preserve">On May 4, 2018, USTelecom filed its Petition pursuant to section 10 of the Act requesting that the Commission grant </w:t>
      </w:r>
      <w:r w:rsidRPr="00FF5CE7">
        <w:rPr>
          <w:rFonts w:eastAsiaTheme="minorHAnsi"/>
          <w:color w:val="000000"/>
          <w:szCs w:val="22"/>
        </w:rPr>
        <w:t xml:space="preserve">“nationwide forbearance from outmoded regulatory mandates that distort competition and investment </w:t>
      </w:r>
      <w:r w:rsidRPr="0085284D">
        <w:t>decisions</w:t>
      </w:r>
      <w:r>
        <w:rPr>
          <w:rFonts w:eastAsiaTheme="minorHAnsi"/>
          <w:color w:val="000000"/>
          <w:szCs w:val="22"/>
        </w:rPr>
        <w:t>.</w:t>
      </w:r>
      <w:r w:rsidRPr="00FF5CE7">
        <w:rPr>
          <w:rFonts w:eastAsiaTheme="minorHAnsi"/>
          <w:color w:val="000000"/>
          <w:szCs w:val="22"/>
        </w:rPr>
        <w:t xml:space="preserve">”  </w:t>
      </w:r>
      <w:bookmarkStart w:id="3" w:name="_Hlk431245"/>
      <w:r>
        <w:rPr>
          <w:rFonts w:eastAsiaTheme="minorHAnsi"/>
          <w:color w:val="000000"/>
          <w:szCs w:val="22"/>
        </w:rPr>
        <w:t xml:space="preserve">Specifically, USTelecom seeks </w:t>
      </w:r>
      <w:r w:rsidRPr="00FF5CE7">
        <w:rPr>
          <w:rFonts w:eastAsiaTheme="minorHAnsi"/>
          <w:color w:val="000000"/>
          <w:szCs w:val="22"/>
        </w:rPr>
        <w:t>forbearance from statutory provisions</w:t>
      </w:r>
      <w:r>
        <w:rPr>
          <w:rFonts w:eastAsiaTheme="minorHAnsi"/>
          <w:color w:val="000000"/>
          <w:szCs w:val="22"/>
        </w:rPr>
        <w:t xml:space="preserve"> and regulations falling into three categories:  </w:t>
      </w:r>
      <w:r w:rsidRPr="009613E8">
        <w:rPr>
          <w:rFonts w:eastAsiaTheme="minorHAnsi"/>
          <w:color w:val="000000"/>
        </w:rPr>
        <w:t>(1)</w:t>
      </w:r>
      <w:r w:rsidRPr="007378E9">
        <w:rPr>
          <w:rFonts w:eastAsiaTheme="minorEastAsia"/>
          <w:color w:val="000000"/>
        </w:rPr>
        <w:t xml:space="preserve"> “[</w:t>
      </w:r>
      <w:r w:rsidRPr="009613E8">
        <w:rPr>
          <w:rFonts w:eastAsiaTheme="minorEastAsia"/>
          <w:color w:val="000000"/>
        </w:rPr>
        <w:t xml:space="preserve">incumbent </w:t>
      </w:r>
      <w:r>
        <w:rPr>
          <w:rFonts w:eastAsiaTheme="minorEastAsia"/>
          <w:color w:val="000000"/>
        </w:rPr>
        <w:t>local exchange carrier (ILEC)]-</w:t>
      </w:r>
      <w:r w:rsidRPr="009613E8">
        <w:rPr>
          <w:rFonts w:eastAsiaTheme="minorEastAsia"/>
          <w:color w:val="000000"/>
        </w:rPr>
        <w:t xml:space="preserve">specific unbundling and resale mandates </w:t>
      </w:r>
      <w:r>
        <w:rPr>
          <w:rFonts w:eastAsiaTheme="minorEastAsia"/>
          <w:color w:val="000000"/>
        </w:rPr>
        <w:t xml:space="preserve">in Section 251(c)(3) and (4) </w:t>
      </w:r>
      <w:r w:rsidRPr="009613E8">
        <w:rPr>
          <w:rFonts w:eastAsiaTheme="minorEastAsia"/>
          <w:color w:val="000000"/>
        </w:rPr>
        <w:t xml:space="preserve">and associated </w:t>
      </w:r>
      <w:r>
        <w:rPr>
          <w:rFonts w:eastAsiaTheme="minorEastAsia"/>
          <w:color w:val="000000"/>
        </w:rPr>
        <w:t>S</w:t>
      </w:r>
      <w:r w:rsidRPr="009613E8">
        <w:rPr>
          <w:rFonts w:eastAsiaTheme="minorEastAsia"/>
          <w:color w:val="000000"/>
        </w:rPr>
        <w:t>ection 251 and 252</w:t>
      </w:r>
      <w:r>
        <w:rPr>
          <w:rFonts w:eastAsiaTheme="minorEastAsia"/>
          <w:color w:val="000000"/>
        </w:rPr>
        <w:t xml:space="preserve"> </w:t>
      </w:r>
      <w:r w:rsidRPr="009613E8">
        <w:rPr>
          <w:rFonts w:eastAsiaTheme="minorEastAsia"/>
          <w:color w:val="000000"/>
        </w:rPr>
        <w:t>obligations</w:t>
      </w:r>
      <w:r>
        <w:rPr>
          <w:rFonts w:eastAsiaTheme="minorEastAsia"/>
          <w:color w:val="000000"/>
        </w:rPr>
        <w:t>”</w:t>
      </w:r>
      <w:r w:rsidRPr="009613E8">
        <w:rPr>
          <w:rFonts w:eastAsiaTheme="minorEastAsia"/>
          <w:color w:val="000000"/>
        </w:rPr>
        <w:t>; (2)</w:t>
      </w:r>
      <w:r>
        <w:rPr>
          <w:rFonts w:eastAsiaTheme="minorEastAsia"/>
          <w:color w:val="000000"/>
        </w:rPr>
        <w:t xml:space="preserve"> “S</w:t>
      </w:r>
      <w:r w:rsidRPr="009613E8">
        <w:rPr>
          <w:rFonts w:eastAsiaTheme="minorEastAsia"/>
          <w:color w:val="000000"/>
        </w:rPr>
        <w:t>ection 272(e)(1)</w:t>
      </w:r>
      <w:r>
        <w:rPr>
          <w:rFonts w:eastAsiaTheme="minorEastAsia"/>
          <w:color w:val="000000"/>
        </w:rPr>
        <w:t>’s</w:t>
      </w:r>
      <w:r w:rsidRPr="009613E8">
        <w:rPr>
          <w:rFonts w:eastAsiaTheme="minorEastAsia"/>
          <w:color w:val="000000"/>
        </w:rPr>
        <w:t xml:space="preserve"> </w:t>
      </w:r>
      <w:r>
        <w:rPr>
          <w:rFonts w:eastAsiaTheme="minorEastAsia"/>
          <w:color w:val="000000"/>
        </w:rPr>
        <w:t>[Regional Bell Operating Company (R</w:t>
      </w:r>
      <w:r w:rsidRPr="009613E8">
        <w:rPr>
          <w:rFonts w:eastAsiaTheme="minorEastAsia"/>
          <w:color w:val="000000"/>
        </w:rPr>
        <w:t>BOC</w:t>
      </w:r>
      <w:r>
        <w:rPr>
          <w:rFonts w:eastAsiaTheme="minorEastAsia"/>
          <w:color w:val="000000"/>
        </w:rPr>
        <w:t>)]-</w:t>
      </w:r>
      <w:r w:rsidRPr="009613E8">
        <w:rPr>
          <w:rFonts w:eastAsiaTheme="minorEastAsia"/>
          <w:color w:val="000000"/>
        </w:rPr>
        <w:t>s</w:t>
      </w:r>
      <w:r>
        <w:rPr>
          <w:rFonts w:eastAsiaTheme="minorEastAsia"/>
          <w:color w:val="000000"/>
        </w:rPr>
        <w:t>pecific time interval requirements for nondiscriminatory treatment of affiliates and non-affiliates regarding requests for service, and the long-standing separate affiliate requirement for independent ILECs set out in Section 64.1903 of the Commission’s rules”</w:t>
      </w:r>
      <w:r w:rsidRPr="009613E8">
        <w:rPr>
          <w:rFonts w:eastAsiaTheme="minorEastAsia"/>
          <w:color w:val="000000"/>
        </w:rPr>
        <w:t>; and (3)</w:t>
      </w:r>
      <w:r w:rsidRPr="007378E9">
        <w:rPr>
          <w:rFonts w:eastAsiaTheme="minorEastAsia"/>
          <w:color w:val="000000"/>
        </w:rPr>
        <w:t xml:space="preserve"> S</w:t>
      </w:r>
      <w:r w:rsidRPr="009613E8">
        <w:rPr>
          <w:rFonts w:eastAsiaTheme="minorEastAsia"/>
          <w:color w:val="000000"/>
        </w:rPr>
        <w:t>ection 271</w:t>
      </w:r>
      <w:r>
        <w:rPr>
          <w:rFonts w:eastAsiaTheme="minorEastAsia"/>
          <w:color w:val="000000"/>
        </w:rPr>
        <w:t xml:space="preserve">(c)(2)(B)(iii)’s RBOC-specific </w:t>
      </w:r>
      <w:r w:rsidRPr="009613E8">
        <w:rPr>
          <w:rFonts w:eastAsiaTheme="minorEastAsia"/>
          <w:color w:val="000000"/>
        </w:rPr>
        <w:t xml:space="preserve">competitive checklist item </w:t>
      </w:r>
      <w:r>
        <w:rPr>
          <w:rFonts w:eastAsiaTheme="minorEastAsia"/>
          <w:color w:val="000000"/>
        </w:rPr>
        <w:t xml:space="preserve">regarding </w:t>
      </w:r>
      <w:r w:rsidRPr="009613E8">
        <w:rPr>
          <w:rFonts w:eastAsiaTheme="minorEastAsia"/>
          <w:color w:val="000000"/>
        </w:rPr>
        <w:t>access to poles, ducts, conduit, and rights-of-way.</w:t>
      </w:r>
      <w:r>
        <w:rPr>
          <w:rFonts w:eastAsiaTheme="minorEastAsia"/>
          <w:color w:val="000000"/>
        </w:rPr>
        <w:t>”</w:t>
      </w:r>
      <w:r>
        <w:rPr>
          <w:rStyle w:val="FootnoteReference"/>
          <w:rFonts w:eastAsiaTheme="minorHAnsi"/>
          <w:szCs w:val="22"/>
        </w:rPr>
        <w:footnoteReference w:id="4"/>
      </w:r>
      <w:r>
        <w:rPr>
          <w:rFonts w:eastAsiaTheme="minorHAnsi"/>
          <w:color w:val="000000"/>
          <w:szCs w:val="22"/>
        </w:rPr>
        <w:t xml:space="preserve"> </w:t>
      </w:r>
    </w:p>
    <w:bookmarkEnd w:id="2"/>
    <w:bookmarkEnd w:id="3"/>
    <w:p w:rsidR="00F81152" w:rsidP="00F81152">
      <w:pPr>
        <w:pStyle w:val="ParaNum"/>
        <w:widowControl/>
        <w:rPr>
          <w:rFonts w:eastAsiaTheme="minorEastAsia"/>
          <w:color w:val="000000"/>
          <w:szCs w:val="22"/>
        </w:rPr>
      </w:pPr>
      <w:r>
        <w:rPr>
          <w:rFonts w:eastAsiaTheme="minorHAnsi"/>
          <w:color w:val="000000"/>
          <w:szCs w:val="22"/>
        </w:rPr>
        <w:t>Section 10(c) of the Act states that a petition for forbearance shall be deemed granted if the Commission does not deny the petition for failure to meet the requirements for forbearance under section 10(a) within one year after the Commission receives it, unless the Commission extends the one-year period.</w:t>
      </w:r>
      <w:r>
        <w:rPr>
          <w:rStyle w:val="FootnoteReference"/>
          <w:rFonts w:eastAsiaTheme="minorHAnsi"/>
          <w:szCs w:val="22"/>
        </w:rPr>
        <w:footnoteReference w:id="5"/>
      </w:r>
      <w:r>
        <w:rPr>
          <w:rFonts w:eastAsiaTheme="minorHAnsi"/>
          <w:color w:val="000000"/>
          <w:szCs w:val="22"/>
        </w:rPr>
        <w:t xml:space="preserve">  The Commission may extend the one-year period by an additional 90 days if the Commission finds that an extension is necessary to meet the requirements of section 10(a).</w:t>
      </w:r>
      <w:r>
        <w:rPr>
          <w:rStyle w:val="FootnoteReference"/>
          <w:rFonts w:eastAsiaTheme="minorHAnsi"/>
          <w:szCs w:val="22"/>
        </w:rPr>
        <w:footnoteReference w:id="6"/>
      </w:r>
    </w:p>
    <w:p w:rsidR="00F81152" w:rsidP="00F81152">
      <w:pPr>
        <w:pStyle w:val="ParaNum"/>
        <w:widowControl/>
      </w:pPr>
      <w:bookmarkStart w:id="4" w:name="_Hlk431267"/>
      <w:bookmarkStart w:id="5" w:name="_Hlk456919"/>
      <w:r>
        <w:t xml:space="preserve">The USTelecom Petition raises significant questions about whether forbearance from the application of the statutory and regulatory requirements set forth in the Petition meets the statutory </w:t>
      </w:r>
      <w:r>
        <w:t>requirements set forth in section 10(a) of the Act.</w:t>
      </w:r>
      <w:r>
        <w:rPr>
          <w:rStyle w:val="FootnoteReference"/>
        </w:rPr>
        <w:footnoteReference w:id="7"/>
      </w:r>
      <w:r>
        <w:t xml:space="preserve">  We conclude that additional time is required to fully examine whether the forbearance request meets those statutory requirements and, accordingly, find that a 90-day extension is warranted under section 10(c) of the Act.</w:t>
      </w:r>
      <w:bookmarkEnd w:id="4"/>
    </w:p>
    <w:bookmarkEnd w:id="5"/>
    <w:p w:rsidR="00F81152" w:rsidRPr="002C34C7" w:rsidP="00F81152">
      <w:pPr>
        <w:pStyle w:val="ParaNum"/>
        <w:widowControl/>
      </w:pPr>
      <w:r>
        <w:rPr>
          <w:color w:val="242021"/>
          <w:spacing w:val="-1"/>
        </w:rPr>
        <w:t>Accordingly,</w:t>
      </w:r>
      <w:r>
        <w:rPr>
          <w:color w:val="242021"/>
          <w:spacing w:val="-7"/>
        </w:rPr>
        <w:t xml:space="preserve"> </w:t>
      </w:r>
      <w:r>
        <w:rPr>
          <w:color w:val="242021"/>
          <w:spacing w:val="-1"/>
        </w:rPr>
        <w:t>IT</w:t>
      </w:r>
      <w:r>
        <w:rPr>
          <w:color w:val="242021"/>
          <w:spacing w:val="-6"/>
        </w:rPr>
        <w:t xml:space="preserve"> </w:t>
      </w:r>
      <w:r>
        <w:rPr>
          <w:color w:val="242021"/>
          <w:spacing w:val="-1"/>
        </w:rPr>
        <w:t>IS</w:t>
      </w:r>
      <w:r>
        <w:rPr>
          <w:color w:val="242021"/>
          <w:spacing w:val="-6"/>
        </w:rPr>
        <w:t xml:space="preserve"> </w:t>
      </w:r>
      <w:r>
        <w:rPr>
          <w:color w:val="242021"/>
          <w:spacing w:val="-1"/>
        </w:rPr>
        <w:t>ORDERED</w:t>
      </w:r>
      <w:r>
        <w:rPr>
          <w:color w:val="242021"/>
          <w:spacing w:val="-6"/>
        </w:rPr>
        <w:t xml:space="preserve"> </w:t>
      </w:r>
      <w:r>
        <w:rPr>
          <w:color w:val="242021"/>
          <w:spacing w:val="-1"/>
        </w:rPr>
        <w:t>that,</w:t>
      </w:r>
      <w:r>
        <w:rPr>
          <w:color w:val="242021"/>
          <w:spacing w:val="-6"/>
        </w:rPr>
        <w:t xml:space="preserve"> </w:t>
      </w:r>
      <w:r>
        <w:rPr>
          <w:color w:val="242021"/>
          <w:spacing w:val="-1"/>
        </w:rPr>
        <w:t>pursuant</w:t>
      </w:r>
      <w:r>
        <w:rPr>
          <w:color w:val="242021"/>
          <w:spacing w:val="-6"/>
        </w:rPr>
        <w:t xml:space="preserve"> </w:t>
      </w:r>
      <w:r>
        <w:rPr>
          <w:color w:val="242021"/>
          <w:spacing w:val="-1"/>
        </w:rPr>
        <w:t>to</w:t>
      </w:r>
      <w:r>
        <w:rPr>
          <w:color w:val="242021"/>
          <w:spacing w:val="-6"/>
        </w:rPr>
        <w:t xml:space="preserve"> </w:t>
      </w:r>
      <w:r>
        <w:rPr>
          <w:color w:val="242021"/>
          <w:spacing w:val="-1"/>
        </w:rPr>
        <w:t>section</w:t>
      </w:r>
      <w:r>
        <w:rPr>
          <w:color w:val="242021"/>
          <w:spacing w:val="-6"/>
        </w:rPr>
        <w:t xml:space="preserve"> </w:t>
      </w:r>
      <w:r>
        <w:rPr>
          <w:color w:val="242021"/>
          <w:spacing w:val="-1"/>
        </w:rPr>
        <w:t>10</w:t>
      </w:r>
      <w:r>
        <w:rPr>
          <w:color w:val="242021"/>
          <w:spacing w:val="-6"/>
        </w:rPr>
        <w:t xml:space="preserve"> </w:t>
      </w:r>
      <w:r>
        <w:rPr>
          <w:color w:val="242021"/>
          <w:spacing w:val="-1"/>
        </w:rPr>
        <w:t>of</w:t>
      </w:r>
      <w:r>
        <w:rPr>
          <w:color w:val="242021"/>
          <w:spacing w:val="-6"/>
        </w:rPr>
        <w:t xml:space="preserve"> </w:t>
      </w:r>
      <w:r>
        <w:rPr>
          <w:color w:val="242021"/>
          <w:spacing w:val="-1"/>
        </w:rPr>
        <w:t>the</w:t>
      </w:r>
      <w:r>
        <w:rPr>
          <w:color w:val="242021"/>
          <w:spacing w:val="-6"/>
        </w:rPr>
        <w:t xml:space="preserve"> </w:t>
      </w:r>
      <w:r>
        <w:rPr>
          <w:color w:val="242021"/>
          <w:spacing w:val="-1"/>
        </w:rPr>
        <w:t>Communications</w:t>
      </w:r>
      <w:r>
        <w:rPr>
          <w:color w:val="242021"/>
          <w:spacing w:val="-6"/>
        </w:rPr>
        <w:t xml:space="preserve"> </w:t>
      </w:r>
      <w:r>
        <w:rPr>
          <w:color w:val="242021"/>
          <w:spacing w:val="-1"/>
        </w:rPr>
        <w:t>Act</w:t>
      </w:r>
      <w:r>
        <w:rPr>
          <w:color w:val="242021"/>
          <w:spacing w:val="-6"/>
        </w:rPr>
        <w:t xml:space="preserve"> </w:t>
      </w:r>
      <w:r>
        <w:rPr>
          <w:color w:val="242021"/>
          <w:spacing w:val="-1"/>
        </w:rPr>
        <w:t>of</w:t>
      </w:r>
      <w:r>
        <w:rPr>
          <w:color w:val="242021"/>
          <w:spacing w:val="24"/>
          <w:w w:val="99"/>
        </w:rPr>
        <w:t xml:space="preserve"> </w:t>
      </w:r>
      <w:r>
        <w:rPr>
          <w:color w:val="242021"/>
          <w:spacing w:val="-1"/>
        </w:rPr>
        <w:t>1934,</w:t>
      </w:r>
      <w:r>
        <w:rPr>
          <w:color w:val="242021"/>
          <w:spacing w:val="-6"/>
        </w:rPr>
        <w:t xml:space="preserve"> </w:t>
      </w:r>
      <w:r>
        <w:rPr>
          <w:color w:val="242021"/>
          <w:spacing w:val="-1"/>
        </w:rPr>
        <w:t>as</w:t>
      </w:r>
      <w:r>
        <w:rPr>
          <w:color w:val="242021"/>
          <w:spacing w:val="-6"/>
        </w:rPr>
        <w:t xml:space="preserve"> </w:t>
      </w:r>
      <w:r>
        <w:rPr>
          <w:color w:val="242021"/>
          <w:spacing w:val="-1"/>
        </w:rPr>
        <w:t>amended,</w:t>
      </w:r>
      <w:r>
        <w:rPr>
          <w:color w:val="242021"/>
          <w:spacing w:val="-6"/>
        </w:rPr>
        <w:t xml:space="preserve"> </w:t>
      </w:r>
      <w:r>
        <w:rPr>
          <w:color w:val="242021"/>
          <w:spacing w:val="-1"/>
        </w:rPr>
        <w:t>47</w:t>
      </w:r>
      <w:r>
        <w:rPr>
          <w:color w:val="242021"/>
          <w:spacing w:val="-5"/>
        </w:rPr>
        <w:t xml:space="preserve"> </w:t>
      </w:r>
      <w:r>
        <w:rPr>
          <w:color w:val="242021"/>
          <w:spacing w:val="-1"/>
        </w:rPr>
        <w:t>U.S.C.</w:t>
      </w:r>
      <w:r>
        <w:rPr>
          <w:color w:val="242021"/>
          <w:spacing w:val="-5"/>
        </w:rPr>
        <w:t xml:space="preserve"> </w:t>
      </w:r>
      <w:r>
        <w:rPr>
          <w:color w:val="242021"/>
        </w:rPr>
        <w:t>§</w:t>
      </w:r>
      <w:r>
        <w:rPr>
          <w:color w:val="242021"/>
          <w:spacing w:val="-6"/>
        </w:rPr>
        <w:t xml:space="preserve"> </w:t>
      </w:r>
      <w:r>
        <w:rPr>
          <w:color w:val="242021"/>
          <w:spacing w:val="-1"/>
        </w:rPr>
        <w:t>160,</w:t>
      </w:r>
      <w:r>
        <w:rPr>
          <w:color w:val="242021"/>
          <w:spacing w:val="-5"/>
        </w:rPr>
        <w:t xml:space="preserve"> </w:t>
      </w:r>
      <w:r>
        <w:rPr>
          <w:color w:val="242021"/>
          <w:spacing w:val="-1"/>
        </w:rPr>
        <w:t>and</w:t>
      </w:r>
      <w:r>
        <w:rPr>
          <w:color w:val="242021"/>
          <w:spacing w:val="-6"/>
        </w:rPr>
        <w:t xml:space="preserve"> </w:t>
      </w:r>
      <w:r>
        <w:rPr>
          <w:color w:val="242021"/>
          <w:spacing w:val="-1"/>
        </w:rPr>
        <w:t>sections</w:t>
      </w:r>
      <w:r>
        <w:rPr>
          <w:color w:val="242021"/>
          <w:spacing w:val="-5"/>
        </w:rPr>
        <w:t xml:space="preserve"> </w:t>
      </w:r>
      <w:r>
        <w:rPr>
          <w:color w:val="242021"/>
          <w:spacing w:val="-1"/>
        </w:rPr>
        <w:t>0.91</w:t>
      </w:r>
      <w:r>
        <w:rPr>
          <w:color w:val="242021"/>
          <w:spacing w:val="-5"/>
        </w:rPr>
        <w:t xml:space="preserve"> </w:t>
      </w:r>
      <w:r>
        <w:rPr>
          <w:color w:val="242021"/>
          <w:spacing w:val="-1"/>
        </w:rPr>
        <w:t>and</w:t>
      </w:r>
      <w:r>
        <w:rPr>
          <w:color w:val="242021"/>
          <w:spacing w:val="-7"/>
        </w:rPr>
        <w:t xml:space="preserve"> </w:t>
      </w:r>
      <w:r>
        <w:rPr>
          <w:color w:val="242021"/>
          <w:spacing w:val="-1"/>
        </w:rPr>
        <w:t>0.291</w:t>
      </w:r>
      <w:r>
        <w:rPr>
          <w:color w:val="242021"/>
          <w:spacing w:val="-5"/>
        </w:rPr>
        <w:t xml:space="preserve"> </w:t>
      </w:r>
      <w:r>
        <w:rPr>
          <w:color w:val="242021"/>
          <w:spacing w:val="-1"/>
        </w:rPr>
        <w:t>of</w:t>
      </w:r>
      <w:r>
        <w:rPr>
          <w:color w:val="242021"/>
          <w:spacing w:val="-5"/>
        </w:rPr>
        <w:t xml:space="preserve"> </w:t>
      </w:r>
      <w:r>
        <w:rPr>
          <w:color w:val="242021"/>
          <w:spacing w:val="-1"/>
        </w:rPr>
        <w:t>the</w:t>
      </w:r>
      <w:r>
        <w:rPr>
          <w:color w:val="242021"/>
          <w:spacing w:val="-6"/>
        </w:rPr>
        <w:t xml:space="preserve"> </w:t>
      </w:r>
      <w:r>
        <w:rPr>
          <w:color w:val="242021"/>
          <w:spacing w:val="-1"/>
        </w:rPr>
        <w:t>Commission’s</w:t>
      </w:r>
      <w:r>
        <w:rPr>
          <w:color w:val="242021"/>
          <w:spacing w:val="-5"/>
        </w:rPr>
        <w:t xml:space="preserve"> </w:t>
      </w:r>
      <w:r>
        <w:rPr>
          <w:color w:val="242021"/>
          <w:spacing w:val="-1"/>
        </w:rPr>
        <w:t>rules,</w:t>
      </w:r>
      <w:r>
        <w:rPr>
          <w:color w:val="242021"/>
          <w:spacing w:val="-6"/>
        </w:rPr>
        <w:t xml:space="preserve"> </w:t>
      </w:r>
      <w:r>
        <w:rPr>
          <w:color w:val="242021"/>
          <w:spacing w:val="-1"/>
        </w:rPr>
        <w:t>47</w:t>
      </w:r>
      <w:r>
        <w:rPr>
          <w:color w:val="242021"/>
          <w:spacing w:val="-5"/>
        </w:rPr>
        <w:t xml:space="preserve"> </w:t>
      </w:r>
      <w:r>
        <w:rPr>
          <w:color w:val="242021"/>
          <w:spacing w:val="-1"/>
        </w:rPr>
        <w:t>C.F.R.</w:t>
      </w:r>
      <w:r>
        <w:rPr>
          <w:color w:val="242021"/>
          <w:spacing w:val="-7"/>
        </w:rPr>
        <w:t xml:space="preserve"> </w:t>
      </w:r>
      <w:r>
        <w:rPr>
          <w:color w:val="242021"/>
        </w:rPr>
        <w:t>§§</w:t>
      </w:r>
      <w:r>
        <w:rPr>
          <w:color w:val="242021"/>
          <w:spacing w:val="35"/>
          <w:w w:val="99"/>
        </w:rPr>
        <w:t xml:space="preserve"> </w:t>
      </w:r>
      <w:r>
        <w:rPr>
          <w:color w:val="242021"/>
          <w:spacing w:val="-1"/>
        </w:rPr>
        <w:t>0.91,</w:t>
      </w:r>
      <w:r>
        <w:rPr>
          <w:color w:val="242021"/>
          <w:spacing w:val="-6"/>
        </w:rPr>
        <w:t xml:space="preserve"> </w:t>
      </w:r>
      <w:r>
        <w:rPr>
          <w:color w:val="242021"/>
          <w:spacing w:val="-1"/>
        </w:rPr>
        <w:t>0.291,</w:t>
      </w:r>
      <w:r>
        <w:rPr>
          <w:color w:val="242021"/>
          <w:spacing w:val="-6"/>
        </w:rPr>
        <w:t xml:space="preserve"> </w:t>
      </w:r>
      <w:r>
        <w:rPr>
          <w:color w:val="242021"/>
          <w:spacing w:val="-1"/>
        </w:rPr>
        <w:t>the</w:t>
      </w:r>
      <w:r>
        <w:rPr>
          <w:color w:val="242021"/>
          <w:spacing w:val="-6"/>
        </w:rPr>
        <w:t xml:space="preserve"> </w:t>
      </w:r>
      <w:r>
        <w:rPr>
          <w:color w:val="242021"/>
          <w:spacing w:val="-1"/>
        </w:rPr>
        <w:t>date</w:t>
      </w:r>
      <w:r>
        <w:rPr>
          <w:color w:val="242021"/>
          <w:spacing w:val="-6"/>
        </w:rPr>
        <w:t xml:space="preserve"> </w:t>
      </w:r>
      <w:r>
        <w:rPr>
          <w:color w:val="242021"/>
          <w:spacing w:val="-1"/>
        </w:rPr>
        <w:t>on</w:t>
      </w:r>
      <w:r>
        <w:rPr>
          <w:color w:val="242021"/>
          <w:spacing w:val="-6"/>
        </w:rPr>
        <w:t xml:space="preserve"> </w:t>
      </w:r>
      <w:r>
        <w:rPr>
          <w:color w:val="242021"/>
          <w:spacing w:val="-1"/>
        </w:rPr>
        <w:t>which</w:t>
      </w:r>
      <w:r>
        <w:rPr>
          <w:color w:val="242021"/>
          <w:spacing w:val="-6"/>
        </w:rPr>
        <w:t xml:space="preserve"> </w:t>
      </w:r>
      <w:r>
        <w:rPr>
          <w:color w:val="242021"/>
          <w:spacing w:val="-1"/>
        </w:rPr>
        <w:t>the</w:t>
      </w:r>
      <w:r>
        <w:rPr>
          <w:color w:val="242021"/>
          <w:spacing w:val="-5"/>
        </w:rPr>
        <w:t xml:space="preserve"> </w:t>
      </w:r>
      <w:r>
        <w:rPr>
          <w:color w:val="242021"/>
          <w:spacing w:val="-1"/>
        </w:rPr>
        <w:t>petition</w:t>
      </w:r>
      <w:r>
        <w:rPr>
          <w:color w:val="242021"/>
          <w:spacing w:val="-6"/>
        </w:rPr>
        <w:t xml:space="preserve"> </w:t>
      </w:r>
      <w:r>
        <w:rPr>
          <w:color w:val="242021"/>
          <w:spacing w:val="-1"/>
        </w:rPr>
        <w:t>seeking</w:t>
      </w:r>
      <w:r>
        <w:rPr>
          <w:color w:val="242021"/>
          <w:spacing w:val="-6"/>
        </w:rPr>
        <w:t xml:space="preserve"> </w:t>
      </w:r>
      <w:r>
        <w:rPr>
          <w:color w:val="242021"/>
          <w:spacing w:val="-1"/>
        </w:rPr>
        <w:t>forbearance</w:t>
      </w:r>
      <w:r>
        <w:rPr>
          <w:color w:val="242021"/>
          <w:spacing w:val="-6"/>
        </w:rPr>
        <w:t xml:space="preserve"> </w:t>
      </w:r>
      <w:r>
        <w:rPr>
          <w:color w:val="242021"/>
          <w:spacing w:val="-1"/>
        </w:rPr>
        <w:t>filed</w:t>
      </w:r>
      <w:r>
        <w:rPr>
          <w:color w:val="242021"/>
          <w:spacing w:val="-6"/>
        </w:rPr>
        <w:t xml:space="preserve"> </w:t>
      </w:r>
      <w:r>
        <w:rPr>
          <w:color w:val="242021"/>
          <w:spacing w:val="-1"/>
        </w:rPr>
        <w:t>by</w:t>
      </w:r>
      <w:r>
        <w:rPr>
          <w:color w:val="242021"/>
          <w:spacing w:val="-6"/>
        </w:rPr>
        <w:t xml:space="preserve"> </w:t>
      </w:r>
      <w:r>
        <w:rPr>
          <w:color w:val="242021"/>
          <w:spacing w:val="-1"/>
        </w:rPr>
        <w:t>USTelecom</w:t>
      </w:r>
      <w:r>
        <w:rPr>
          <w:color w:val="242021"/>
          <w:spacing w:val="-6"/>
        </w:rPr>
        <w:t xml:space="preserve"> </w:t>
      </w:r>
      <w:r>
        <w:rPr>
          <w:color w:val="242021"/>
          <w:spacing w:val="-1"/>
        </w:rPr>
        <w:t>shall</w:t>
      </w:r>
      <w:r>
        <w:rPr>
          <w:color w:val="242021"/>
          <w:spacing w:val="-5"/>
        </w:rPr>
        <w:t xml:space="preserve"> </w:t>
      </w:r>
      <w:r>
        <w:rPr>
          <w:color w:val="242021"/>
          <w:spacing w:val="-1"/>
        </w:rPr>
        <w:t>be</w:t>
      </w:r>
      <w:r>
        <w:rPr>
          <w:color w:val="242021"/>
          <w:spacing w:val="-6"/>
        </w:rPr>
        <w:t xml:space="preserve"> </w:t>
      </w:r>
      <w:r>
        <w:rPr>
          <w:color w:val="242021"/>
          <w:spacing w:val="-1"/>
        </w:rPr>
        <w:t>deemed</w:t>
      </w:r>
      <w:r>
        <w:rPr>
          <w:color w:val="242021"/>
          <w:spacing w:val="30"/>
          <w:w w:val="99"/>
        </w:rPr>
        <w:t xml:space="preserve"> </w:t>
      </w:r>
      <w:r>
        <w:rPr>
          <w:color w:val="242021"/>
          <w:spacing w:val="-1"/>
        </w:rPr>
        <w:t>granted,</w:t>
      </w:r>
      <w:r>
        <w:rPr>
          <w:color w:val="242021"/>
          <w:spacing w:val="-7"/>
        </w:rPr>
        <w:t xml:space="preserve"> </w:t>
      </w:r>
      <w:r>
        <w:rPr>
          <w:color w:val="242021"/>
          <w:spacing w:val="-1"/>
        </w:rPr>
        <w:t>in</w:t>
      </w:r>
      <w:r>
        <w:rPr>
          <w:color w:val="242021"/>
          <w:spacing w:val="-6"/>
        </w:rPr>
        <w:t xml:space="preserve"> </w:t>
      </w:r>
      <w:r>
        <w:rPr>
          <w:color w:val="242021"/>
          <w:spacing w:val="-1"/>
        </w:rPr>
        <w:t>the</w:t>
      </w:r>
      <w:r>
        <w:rPr>
          <w:color w:val="242021"/>
          <w:spacing w:val="-7"/>
        </w:rPr>
        <w:t xml:space="preserve"> </w:t>
      </w:r>
      <w:r>
        <w:rPr>
          <w:color w:val="242021"/>
          <w:spacing w:val="-1"/>
        </w:rPr>
        <w:t>absence</w:t>
      </w:r>
      <w:r>
        <w:rPr>
          <w:color w:val="242021"/>
          <w:spacing w:val="-6"/>
        </w:rPr>
        <w:t xml:space="preserve"> </w:t>
      </w:r>
      <w:r>
        <w:rPr>
          <w:color w:val="242021"/>
          <w:spacing w:val="-1"/>
        </w:rPr>
        <w:t>of</w:t>
      </w:r>
      <w:r>
        <w:rPr>
          <w:color w:val="242021"/>
          <w:spacing w:val="-6"/>
        </w:rPr>
        <w:t xml:space="preserve"> </w:t>
      </w:r>
      <w:r>
        <w:rPr>
          <w:color w:val="242021"/>
        </w:rPr>
        <w:t>a</w:t>
      </w:r>
      <w:r>
        <w:rPr>
          <w:color w:val="242021"/>
          <w:spacing w:val="-7"/>
        </w:rPr>
        <w:t xml:space="preserve"> </w:t>
      </w:r>
      <w:r>
        <w:rPr>
          <w:color w:val="242021"/>
          <w:spacing w:val="-1"/>
        </w:rPr>
        <w:t>Commission</w:t>
      </w:r>
      <w:r>
        <w:rPr>
          <w:color w:val="242021"/>
          <w:spacing w:val="-6"/>
        </w:rPr>
        <w:t xml:space="preserve"> </w:t>
      </w:r>
      <w:r>
        <w:rPr>
          <w:color w:val="242021"/>
          <w:spacing w:val="-1"/>
        </w:rPr>
        <w:t>denial</w:t>
      </w:r>
      <w:r>
        <w:rPr>
          <w:color w:val="242021"/>
          <w:spacing w:val="-7"/>
        </w:rPr>
        <w:t xml:space="preserve"> </w:t>
      </w:r>
      <w:r>
        <w:rPr>
          <w:color w:val="242021"/>
          <w:spacing w:val="-1"/>
        </w:rPr>
        <w:t>of</w:t>
      </w:r>
      <w:r>
        <w:rPr>
          <w:color w:val="242021"/>
          <w:spacing w:val="-6"/>
        </w:rPr>
        <w:t xml:space="preserve"> </w:t>
      </w:r>
      <w:r>
        <w:rPr>
          <w:color w:val="242021"/>
          <w:spacing w:val="-1"/>
        </w:rPr>
        <w:t>the</w:t>
      </w:r>
      <w:r>
        <w:rPr>
          <w:color w:val="242021"/>
          <w:spacing w:val="-6"/>
        </w:rPr>
        <w:t xml:space="preserve"> </w:t>
      </w:r>
      <w:r>
        <w:rPr>
          <w:color w:val="242021"/>
          <w:spacing w:val="-1"/>
        </w:rPr>
        <w:t>petition</w:t>
      </w:r>
      <w:r>
        <w:rPr>
          <w:color w:val="242021"/>
          <w:spacing w:val="-7"/>
        </w:rPr>
        <w:t xml:space="preserve"> </w:t>
      </w:r>
      <w:r>
        <w:rPr>
          <w:color w:val="242021"/>
          <w:spacing w:val="-1"/>
        </w:rPr>
        <w:t>for</w:t>
      </w:r>
      <w:r>
        <w:rPr>
          <w:color w:val="242021"/>
          <w:spacing w:val="-6"/>
        </w:rPr>
        <w:t xml:space="preserve"> </w:t>
      </w:r>
      <w:r>
        <w:rPr>
          <w:color w:val="242021"/>
          <w:spacing w:val="-1"/>
        </w:rPr>
        <w:t>failure</w:t>
      </w:r>
      <w:r>
        <w:rPr>
          <w:color w:val="242021"/>
          <w:spacing w:val="-6"/>
        </w:rPr>
        <w:t xml:space="preserve"> </w:t>
      </w:r>
      <w:r>
        <w:rPr>
          <w:color w:val="242021"/>
          <w:spacing w:val="-1"/>
        </w:rPr>
        <w:t>to</w:t>
      </w:r>
      <w:r>
        <w:rPr>
          <w:color w:val="242021"/>
          <w:spacing w:val="-7"/>
        </w:rPr>
        <w:t xml:space="preserve"> </w:t>
      </w:r>
      <w:r>
        <w:rPr>
          <w:color w:val="242021"/>
          <w:spacing w:val="-1"/>
        </w:rPr>
        <w:t>meet</w:t>
      </w:r>
      <w:r>
        <w:rPr>
          <w:color w:val="242021"/>
          <w:spacing w:val="-6"/>
        </w:rPr>
        <w:t xml:space="preserve"> </w:t>
      </w:r>
      <w:r>
        <w:rPr>
          <w:color w:val="242021"/>
          <w:spacing w:val="-1"/>
        </w:rPr>
        <w:t>the</w:t>
      </w:r>
      <w:r>
        <w:rPr>
          <w:color w:val="242021"/>
          <w:spacing w:val="-7"/>
        </w:rPr>
        <w:t xml:space="preserve"> </w:t>
      </w:r>
      <w:r>
        <w:rPr>
          <w:color w:val="242021"/>
          <w:spacing w:val="-1"/>
        </w:rPr>
        <w:t>statutory</w:t>
      </w:r>
      <w:r>
        <w:rPr>
          <w:color w:val="242021"/>
          <w:spacing w:val="-5"/>
        </w:rPr>
        <w:t xml:space="preserve"> </w:t>
      </w:r>
      <w:r>
        <w:rPr>
          <w:color w:val="242021"/>
          <w:spacing w:val="-1"/>
        </w:rPr>
        <w:t>requirements</w:t>
      </w:r>
      <w:r>
        <w:rPr>
          <w:color w:val="242021"/>
          <w:spacing w:val="32"/>
          <w:w w:val="99"/>
        </w:rPr>
        <w:t xml:space="preserve"> </w:t>
      </w:r>
      <w:r>
        <w:rPr>
          <w:color w:val="242021"/>
          <w:spacing w:val="-1"/>
        </w:rPr>
        <w:t>for</w:t>
      </w:r>
      <w:r>
        <w:rPr>
          <w:color w:val="242021"/>
          <w:spacing w:val="-8"/>
        </w:rPr>
        <w:t xml:space="preserve"> </w:t>
      </w:r>
      <w:r>
        <w:rPr>
          <w:color w:val="242021"/>
          <w:spacing w:val="-1"/>
        </w:rPr>
        <w:t>forbearance,</w:t>
      </w:r>
      <w:r>
        <w:rPr>
          <w:color w:val="242021"/>
          <w:spacing w:val="-7"/>
        </w:rPr>
        <w:t xml:space="preserve"> </w:t>
      </w:r>
      <w:r>
        <w:rPr>
          <w:color w:val="242021"/>
          <w:spacing w:val="-1"/>
        </w:rPr>
        <w:t>IS</w:t>
      </w:r>
      <w:r>
        <w:rPr>
          <w:color w:val="242021"/>
          <w:spacing w:val="-7"/>
        </w:rPr>
        <w:t xml:space="preserve"> </w:t>
      </w:r>
      <w:r>
        <w:rPr>
          <w:color w:val="242021"/>
          <w:spacing w:val="-1"/>
        </w:rPr>
        <w:t>EXTENDED</w:t>
      </w:r>
      <w:r>
        <w:rPr>
          <w:color w:val="242021"/>
          <w:spacing w:val="-7"/>
        </w:rPr>
        <w:t xml:space="preserve"> </w:t>
      </w:r>
      <w:r>
        <w:rPr>
          <w:color w:val="242021"/>
          <w:spacing w:val="-1"/>
        </w:rPr>
        <w:t>to</w:t>
      </w:r>
      <w:r>
        <w:rPr>
          <w:color w:val="242021"/>
          <w:spacing w:val="-8"/>
        </w:rPr>
        <w:t xml:space="preserve"> </w:t>
      </w:r>
      <w:r>
        <w:rPr>
          <w:color w:val="242021"/>
          <w:spacing w:val="-1"/>
        </w:rPr>
        <w:t>August 2,</w:t>
      </w:r>
      <w:r>
        <w:rPr>
          <w:color w:val="242021"/>
          <w:spacing w:val="-7"/>
        </w:rPr>
        <w:t xml:space="preserve"> </w:t>
      </w:r>
      <w:r>
        <w:rPr>
          <w:color w:val="242021"/>
          <w:spacing w:val="-1"/>
        </w:rPr>
        <w:t>2019.</w:t>
      </w:r>
    </w:p>
    <w:p w:rsidR="00F81152" w:rsidP="00F81152">
      <w:pPr>
        <w:pStyle w:val="ParaNum"/>
        <w:widowControl/>
      </w:pPr>
      <w:r>
        <w:rPr>
          <w:color w:val="242021"/>
          <w:spacing w:val="-2"/>
        </w:rPr>
        <w:t>IT</w:t>
      </w:r>
      <w:r>
        <w:rPr>
          <w:color w:val="242021"/>
          <w:spacing w:val="-4"/>
        </w:rPr>
        <w:t xml:space="preserve"> </w:t>
      </w:r>
      <w:r>
        <w:rPr>
          <w:color w:val="242021"/>
          <w:spacing w:val="-1"/>
        </w:rPr>
        <w:t>IS</w:t>
      </w:r>
      <w:r>
        <w:rPr>
          <w:color w:val="242021"/>
          <w:spacing w:val="-6"/>
        </w:rPr>
        <w:t xml:space="preserve"> </w:t>
      </w:r>
      <w:r>
        <w:rPr>
          <w:color w:val="242021"/>
          <w:spacing w:val="-1"/>
        </w:rPr>
        <w:t>FURTHER</w:t>
      </w:r>
      <w:r>
        <w:rPr>
          <w:color w:val="242021"/>
          <w:spacing w:val="-7"/>
        </w:rPr>
        <w:t xml:space="preserve"> </w:t>
      </w:r>
      <w:r>
        <w:rPr>
          <w:color w:val="242021"/>
          <w:spacing w:val="-1"/>
        </w:rPr>
        <w:t>ORDERED</w:t>
      </w:r>
      <w:r>
        <w:rPr>
          <w:color w:val="242021"/>
          <w:spacing w:val="-7"/>
        </w:rPr>
        <w:t xml:space="preserve"> </w:t>
      </w:r>
      <w:r>
        <w:rPr>
          <w:color w:val="242021"/>
          <w:spacing w:val="-1"/>
        </w:rPr>
        <w:t>that,</w:t>
      </w:r>
      <w:r>
        <w:rPr>
          <w:color w:val="242021"/>
          <w:spacing w:val="-8"/>
        </w:rPr>
        <w:t xml:space="preserve"> </w:t>
      </w:r>
      <w:r>
        <w:rPr>
          <w:color w:val="242021"/>
          <w:spacing w:val="-1"/>
        </w:rPr>
        <w:t>pursuant</w:t>
      </w:r>
      <w:r>
        <w:rPr>
          <w:color w:val="242021"/>
          <w:spacing w:val="-6"/>
        </w:rPr>
        <w:t xml:space="preserve"> </w:t>
      </w:r>
      <w:r>
        <w:rPr>
          <w:color w:val="242021"/>
          <w:spacing w:val="-1"/>
        </w:rPr>
        <w:t>to</w:t>
      </w:r>
      <w:r>
        <w:rPr>
          <w:color w:val="242021"/>
          <w:spacing w:val="-7"/>
        </w:rPr>
        <w:t xml:space="preserve"> </w:t>
      </w:r>
      <w:r>
        <w:rPr>
          <w:color w:val="242021"/>
          <w:spacing w:val="-1"/>
        </w:rPr>
        <w:t>section</w:t>
      </w:r>
      <w:r>
        <w:rPr>
          <w:color w:val="242021"/>
          <w:spacing w:val="-7"/>
        </w:rPr>
        <w:t xml:space="preserve"> </w:t>
      </w:r>
      <w:r>
        <w:rPr>
          <w:color w:val="242021"/>
          <w:spacing w:val="-1"/>
        </w:rPr>
        <w:t>1.102(b)(1)</w:t>
      </w:r>
      <w:r>
        <w:rPr>
          <w:color w:val="242021"/>
          <w:spacing w:val="-6"/>
        </w:rPr>
        <w:t xml:space="preserve"> </w:t>
      </w:r>
      <w:r>
        <w:rPr>
          <w:color w:val="242021"/>
          <w:spacing w:val="-1"/>
        </w:rPr>
        <w:t>of</w:t>
      </w:r>
      <w:r>
        <w:rPr>
          <w:color w:val="242021"/>
          <w:spacing w:val="-7"/>
        </w:rPr>
        <w:t xml:space="preserve"> </w:t>
      </w:r>
      <w:r>
        <w:rPr>
          <w:color w:val="242021"/>
          <w:spacing w:val="-1"/>
        </w:rPr>
        <w:t>the</w:t>
      </w:r>
      <w:r>
        <w:rPr>
          <w:color w:val="242021"/>
          <w:spacing w:val="-8"/>
        </w:rPr>
        <w:t xml:space="preserve"> </w:t>
      </w:r>
      <w:r>
        <w:rPr>
          <w:color w:val="242021"/>
          <w:spacing w:val="-1"/>
        </w:rPr>
        <w:t>Commission’s</w:t>
      </w:r>
      <w:r>
        <w:rPr>
          <w:color w:val="242021"/>
          <w:spacing w:val="-7"/>
        </w:rPr>
        <w:t xml:space="preserve"> </w:t>
      </w:r>
      <w:r>
        <w:rPr>
          <w:color w:val="242021"/>
          <w:spacing w:val="-1"/>
        </w:rPr>
        <w:t>rules,</w:t>
      </w:r>
      <w:r>
        <w:rPr>
          <w:color w:val="242021"/>
          <w:spacing w:val="22"/>
          <w:w w:val="99"/>
        </w:rPr>
        <w:t xml:space="preserve"> </w:t>
      </w:r>
      <w:r>
        <w:rPr>
          <w:color w:val="242021"/>
          <w:spacing w:val="-1"/>
        </w:rPr>
        <w:t>47</w:t>
      </w:r>
      <w:r>
        <w:rPr>
          <w:color w:val="242021"/>
          <w:spacing w:val="-7"/>
        </w:rPr>
        <w:t xml:space="preserve"> </w:t>
      </w:r>
      <w:r>
        <w:rPr>
          <w:color w:val="242021"/>
          <w:spacing w:val="-1"/>
        </w:rPr>
        <w:t>C.F.R.</w:t>
      </w:r>
      <w:r>
        <w:rPr>
          <w:color w:val="242021"/>
          <w:spacing w:val="-6"/>
        </w:rPr>
        <w:t xml:space="preserve"> </w:t>
      </w:r>
      <w:r>
        <w:rPr>
          <w:color w:val="242021"/>
        </w:rPr>
        <w:t>§</w:t>
      </w:r>
      <w:r>
        <w:rPr>
          <w:color w:val="242021"/>
          <w:spacing w:val="-7"/>
        </w:rPr>
        <w:t xml:space="preserve"> </w:t>
      </w:r>
      <w:r>
        <w:rPr>
          <w:color w:val="242021"/>
          <w:spacing w:val="-1"/>
        </w:rPr>
        <w:t>1.102(b)(1),</w:t>
      </w:r>
      <w:r>
        <w:rPr>
          <w:color w:val="242021"/>
          <w:spacing w:val="-6"/>
        </w:rPr>
        <w:t xml:space="preserve"> </w:t>
      </w:r>
      <w:r>
        <w:rPr>
          <w:color w:val="242021"/>
          <w:spacing w:val="-1"/>
        </w:rPr>
        <w:t>this</w:t>
      </w:r>
      <w:r>
        <w:rPr>
          <w:color w:val="242021"/>
          <w:spacing w:val="-7"/>
        </w:rPr>
        <w:t xml:space="preserve"> </w:t>
      </w:r>
      <w:r>
        <w:rPr>
          <w:color w:val="242021"/>
          <w:spacing w:val="-1"/>
        </w:rPr>
        <w:t>order</w:t>
      </w:r>
      <w:r>
        <w:rPr>
          <w:color w:val="242021"/>
          <w:spacing w:val="-6"/>
        </w:rPr>
        <w:t xml:space="preserve"> </w:t>
      </w:r>
      <w:r>
        <w:rPr>
          <w:color w:val="242021"/>
          <w:spacing w:val="-1"/>
        </w:rPr>
        <w:t>SHALL</w:t>
      </w:r>
      <w:r>
        <w:rPr>
          <w:color w:val="242021"/>
          <w:spacing w:val="-7"/>
        </w:rPr>
        <w:t xml:space="preserve"> </w:t>
      </w:r>
      <w:r w:rsidRPr="00B26023">
        <w:t>BE</w:t>
      </w:r>
      <w:r>
        <w:rPr>
          <w:color w:val="242021"/>
          <w:spacing w:val="-6"/>
        </w:rPr>
        <w:t xml:space="preserve"> </w:t>
      </w:r>
      <w:r>
        <w:rPr>
          <w:color w:val="242021"/>
          <w:spacing w:val="-1"/>
        </w:rPr>
        <w:t>EFFECTIVE</w:t>
      </w:r>
      <w:r>
        <w:rPr>
          <w:color w:val="242021"/>
          <w:spacing w:val="-8"/>
        </w:rPr>
        <w:t xml:space="preserve"> </w:t>
      </w:r>
      <w:r>
        <w:rPr>
          <w:color w:val="242021"/>
          <w:spacing w:val="-1"/>
        </w:rPr>
        <w:t>upon</w:t>
      </w:r>
      <w:r>
        <w:rPr>
          <w:color w:val="242021"/>
          <w:spacing w:val="-6"/>
        </w:rPr>
        <w:t xml:space="preserve"> </w:t>
      </w:r>
      <w:r>
        <w:rPr>
          <w:color w:val="242021"/>
          <w:spacing w:val="-1"/>
        </w:rPr>
        <w:t>release.</w:t>
      </w:r>
    </w:p>
    <w:p w:rsidR="00F81152" w:rsidP="00F81152">
      <w:pPr>
        <w:pStyle w:val="ParaNum"/>
        <w:numPr>
          <w:ilvl w:val="0"/>
          <w:numId w:val="0"/>
        </w:numPr>
        <w:ind w:left="720"/>
      </w:pPr>
    </w:p>
    <w:p w:rsidR="00F81152" w:rsidP="00F81152">
      <w:pPr>
        <w:pStyle w:val="ParaNum"/>
        <w:numPr>
          <w:ilvl w:val="0"/>
          <w:numId w:val="0"/>
        </w:numPr>
        <w:spacing w:after="0"/>
        <w:ind w:left="3600" w:firstLine="720"/>
      </w:pPr>
      <w:r>
        <w:t>FEDERAL COMMUNICATIONS COMMISSION</w:t>
      </w:r>
    </w:p>
    <w:p w:rsidR="00F81152" w:rsidP="00F81152">
      <w:pPr>
        <w:pStyle w:val="ParaNum"/>
        <w:numPr>
          <w:ilvl w:val="0"/>
          <w:numId w:val="0"/>
        </w:numPr>
        <w:spacing w:after="0"/>
        <w:ind w:left="3600"/>
      </w:pPr>
    </w:p>
    <w:p w:rsidR="00F81152" w:rsidP="00F81152">
      <w:pPr>
        <w:pStyle w:val="ParaNum"/>
        <w:numPr>
          <w:ilvl w:val="0"/>
          <w:numId w:val="0"/>
        </w:numPr>
        <w:spacing w:after="0"/>
        <w:ind w:left="3600"/>
      </w:pPr>
    </w:p>
    <w:p w:rsidR="00F81152" w:rsidP="00F81152">
      <w:pPr>
        <w:pStyle w:val="ParaNum"/>
        <w:numPr>
          <w:ilvl w:val="0"/>
          <w:numId w:val="0"/>
        </w:numPr>
        <w:spacing w:after="0"/>
        <w:ind w:left="3600" w:firstLine="720"/>
      </w:pPr>
      <w:r>
        <w:t>Kris Anne Monteith</w:t>
      </w:r>
    </w:p>
    <w:p w:rsidR="00F81152" w:rsidP="00F81152">
      <w:pPr>
        <w:pStyle w:val="ParaNum"/>
        <w:numPr>
          <w:ilvl w:val="0"/>
          <w:numId w:val="0"/>
        </w:numPr>
        <w:spacing w:after="0"/>
        <w:ind w:left="3600" w:firstLine="720"/>
      </w:pPr>
      <w:r>
        <w:t>Chief</w:t>
      </w:r>
    </w:p>
    <w:p w:rsidR="00F81152" w:rsidRPr="00034BB2" w:rsidP="00F81152">
      <w:pPr>
        <w:pStyle w:val="ParaNum"/>
        <w:numPr>
          <w:ilvl w:val="0"/>
          <w:numId w:val="0"/>
        </w:numPr>
        <w:spacing w:after="0"/>
        <w:ind w:left="3600" w:firstLine="720"/>
      </w:pPr>
      <w:r>
        <w:t>Wireline Competition Bureau</w:t>
      </w:r>
      <w:bookmarkEnd w:id="0"/>
    </w:p>
    <w:p w:rsidR="00AD4B3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0DED" w:rsidP="00F81152">
      <w:r>
        <w:separator/>
      </w:r>
    </w:p>
  </w:footnote>
  <w:footnote w:type="continuationSeparator" w:id="1">
    <w:p w:rsidR="00400DED" w:rsidP="00F81152">
      <w:r>
        <w:continuationSeparator/>
      </w:r>
    </w:p>
  </w:footnote>
  <w:footnote w:id="2">
    <w:p w:rsidR="00F81152" w:rsidP="00F81152">
      <w:pPr>
        <w:pStyle w:val="FootnoteText"/>
      </w:pPr>
      <w:r>
        <w:rPr>
          <w:rStyle w:val="FootnoteReference"/>
        </w:rPr>
        <w:footnoteRef/>
      </w:r>
      <w:r>
        <w:t xml:space="preserve"> 47 U.S.C. § 160(c).</w:t>
      </w:r>
    </w:p>
  </w:footnote>
  <w:footnote w:id="3">
    <w:p w:rsidR="00F81152" w:rsidP="00F81152">
      <w:pPr>
        <w:pStyle w:val="FootnoteText"/>
      </w:pPr>
      <w:r>
        <w:rPr>
          <w:rStyle w:val="FootnoteReference"/>
        </w:rPr>
        <w:footnoteRef/>
      </w:r>
      <w:r>
        <w:t xml:space="preserve"> 47 U.S.C. § 160(a), (c); </w:t>
      </w:r>
      <w:r w:rsidRPr="00094905">
        <w:t>Petition of USTelecom for Forbearance Pursuant to 47 U.S.C. § 160(c) to Accelerate</w:t>
      </w:r>
      <w:r>
        <w:t xml:space="preserve"> </w:t>
      </w:r>
      <w:r w:rsidRPr="00094905">
        <w:t>Investment in Broadband and Next-Generation Networks</w:t>
      </w:r>
      <w:r w:rsidRPr="00EB46B4">
        <w:t xml:space="preserve">, WC Docket No. </w:t>
      </w:r>
      <w:r>
        <w:t>18-141</w:t>
      </w:r>
      <w:r w:rsidRPr="00EB46B4">
        <w:t xml:space="preserve"> (filed </w:t>
      </w:r>
      <w:r>
        <w:t>May 4, 2018</w:t>
      </w:r>
      <w:r w:rsidRPr="00EB46B4">
        <w:t>) (Petition).</w:t>
      </w:r>
    </w:p>
  </w:footnote>
  <w:footnote w:id="4">
    <w:p w:rsidR="00F81152" w:rsidP="00F81152">
      <w:pPr>
        <w:pStyle w:val="FootnoteText"/>
      </w:pPr>
      <w:r>
        <w:rPr>
          <w:rStyle w:val="FootnoteReference"/>
        </w:rPr>
        <w:footnoteRef/>
      </w:r>
      <w:r>
        <w:t xml:space="preserve"> </w:t>
      </w:r>
      <w:r w:rsidRPr="009613E8">
        <w:rPr>
          <w:i/>
        </w:rPr>
        <w:t>Id.</w:t>
      </w:r>
      <w:r>
        <w:t xml:space="preserve"> at 2. </w:t>
      </w:r>
    </w:p>
  </w:footnote>
  <w:footnote w:id="5">
    <w:p w:rsidR="00F81152" w:rsidP="00F81152">
      <w:pPr>
        <w:pStyle w:val="FootnoteText"/>
      </w:pPr>
      <w:r>
        <w:rPr>
          <w:rStyle w:val="FootnoteReference"/>
        </w:rPr>
        <w:footnoteRef/>
      </w:r>
      <w:r>
        <w:t xml:space="preserve"> 47 U.S.C. § 160(c).</w:t>
      </w:r>
    </w:p>
  </w:footnote>
  <w:footnote w:id="6">
    <w:p w:rsidR="00F81152" w:rsidP="00F81152">
      <w:pPr>
        <w:pStyle w:val="FootnoteText"/>
      </w:pPr>
      <w:r>
        <w:rPr>
          <w:rStyle w:val="FootnoteReference"/>
        </w:rPr>
        <w:footnoteRef/>
      </w:r>
      <w:r>
        <w:t xml:space="preserve"> </w:t>
      </w:r>
      <w:r w:rsidRPr="007450D3">
        <w:rPr>
          <w:i/>
        </w:rPr>
        <w:t>Id</w:t>
      </w:r>
      <w:r>
        <w:t>.</w:t>
      </w:r>
    </w:p>
  </w:footnote>
  <w:footnote w:id="7">
    <w:p w:rsidR="00F81152" w:rsidP="00F81152">
      <w:pPr>
        <w:pStyle w:val="FootnoteText"/>
      </w:pPr>
      <w:r>
        <w:rPr>
          <w:rStyle w:val="FootnoteReference"/>
        </w:rPr>
        <w:footnoteRef/>
      </w:r>
      <w:r>
        <w:t xml:space="preserve"> 47 U.S.C. § 160(a).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DA 19-</w:t>
    </w:r>
    <w:r w:rsidR="00652272">
      <w:t>75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652272">
      <w:rPr>
        <w:spacing w:val="-2"/>
      </w:rPr>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52"/>
    <w:rsid w:val="00034BB2"/>
    <w:rsid w:val="00094905"/>
    <w:rsid w:val="00117F8E"/>
    <w:rsid w:val="00152965"/>
    <w:rsid w:val="001D28F4"/>
    <w:rsid w:val="002C34C7"/>
    <w:rsid w:val="00400DED"/>
    <w:rsid w:val="00401103"/>
    <w:rsid w:val="0055614C"/>
    <w:rsid w:val="005E43B1"/>
    <w:rsid w:val="00652272"/>
    <w:rsid w:val="0070224F"/>
    <w:rsid w:val="007115F7"/>
    <w:rsid w:val="007378E9"/>
    <w:rsid w:val="007450D3"/>
    <w:rsid w:val="0077675B"/>
    <w:rsid w:val="00784649"/>
    <w:rsid w:val="00810B6F"/>
    <w:rsid w:val="0085284D"/>
    <w:rsid w:val="0092611B"/>
    <w:rsid w:val="009613E8"/>
    <w:rsid w:val="009C4A86"/>
    <w:rsid w:val="00AD4B34"/>
    <w:rsid w:val="00B26023"/>
    <w:rsid w:val="00CC7B56"/>
    <w:rsid w:val="00D25FB5"/>
    <w:rsid w:val="00E96C7A"/>
    <w:rsid w:val="00EB46B4"/>
    <w:rsid w:val="00F81152"/>
    <w:rsid w:val="00FF5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F1A9C80-75E7-4FC0-9F83-597E8FD8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6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5296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52965"/>
    <w:pPr>
      <w:keepNext/>
      <w:numPr>
        <w:ilvl w:val="1"/>
        <w:numId w:val="3"/>
      </w:numPr>
      <w:spacing w:after="120"/>
      <w:outlineLvl w:val="1"/>
    </w:pPr>
    <w:rPr>
      <w:b/>
    </w:rPr>
  </w:style>
  <w:style w:type="paragraph" w:styleId="Heading3">
    <w:name w:val="heading 3"/>
    <w:basedOn w:val="Normal"/>
    <w:next w:val="ParaNum"/>
    <w:link w:val="Heading3Char"/>
    <w:qFormat/>
    <w:rsid w:val="0015296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5296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5296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5296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5296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5296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5296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529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2965"/>
  </w:style>
  <w:style w:type="character" w:customStyle="1" w:styleId="Heading1Char">
    <w:name w:val="Heading 1 Char"/>
    <w:basedOn w:val="DefaultParagraphFont"/>
    <w:link w:val="Heading1"/>
    <w:rsid w:val="00F8115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F8115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F8115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F8115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F8115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F8115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F8115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F8115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F81152"/>
    <w:rPr>
      <w:rFonts w:ascii="Times New Roman" w:eastAsia="Times New Roman" w:hAnsi="Times New Roman" w:cs="Times New Roman"/>
      <w:b/>
      <w:snapToGrid w:val="0"/>
      <w:kern w:val="28"/>
      <w:szCs w:val="20"/>
    </w:rPr>
  </w:style>
  <w:style w:type="paragraph" w:customStyle="1" w:styleId="ParaNum">
    <w:name w:val="ParaNum"/>
    <w:basedOn w:val="Normal"/>
    <w:rsid w:val="00152965"/>
    <w:pPr>
      <w:numPr>
        <w:numId w:val="2"/>
      </w:numPr>
      <w:tabs>
        <w:tab w:val="clear" w:pos="1080"/>
        <w:tab w:val="num" w:pos="1440"/>
      </w:tabs>
      <w:spacing w:after="120"/>
    </w:pPr>
  </w:style>
  <w:style w:type="paragraph" w:styleId="EndnoteText">
    <w:name w:val="endnote text"/>
    <w:basedOn w:val="Normal"/>
    <w:link w:val="EndnoteTextChar"/>
    <w:semiHidden/>
    <w:rsid w:val="00152965"/>
    <w:rPr>
      <w:sz w:val="20"/>
    </w:rPr>
  </w:style>
  <w:style w:type="character" w:customStyle="1" w:styleId="EndnoteTextChar">
    <w:name w:val="Endnote Text Char"/>
    <w:basedOn w:val="DefaultParagraphFont"/>
    <w:link w:val="EndnoteText"/>
    <w:semiHidden/>
    <w:rsid w:val="00F81152"/>
    <w:rPr>
      <w:rFonts w:ascii="Times New Roman" w:eastAsia="Times New Roman" w:hAnsi="Times New Roman" w:cs="Times New Roman"/>
      <w:snapToGrid w:val="0"/>
      <w:kern w:val="28"/>
      <w:sz w:val="20"/>
      <w:szCs w:val="20"/>
    </w:rPr>
  </w:style>
  <w:style w:type="character" w:styleId="EndnoteReference">
    <w:name w:val="endnote reference"/>
    <w:semiHidden/>
    <w:rsid w:val="00152965"/>
    <w:rPr>
      <w:vertAlign w:val="superscript"/>
    </w:rPr>
  </w:style>
  <w:style w:type="paragraph" w:styleId="FootnoteText">
    <w:name w:val="footnote text"/>
    <w:aliases w:val="ALTS FOOTNOTE"/>
    <w:link w:val="FootnoteTextChar"/>
    <w:rsid w:val="001529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w:basedOn w:val="DefaultParagraphFont"/>
    <w:link w:val="FootnoteText"/>
    <w:rsid w:val="00F81152"/>
    <w:rPr>
      <w:rFonts w:ascii="Times New Roman" w:eastAsia="Times New Roman" w:hAnsi="Times New Roman" w:cs="Times New Roman"/>
      <w:sz w:val="20"/>
      <w:szCs w:val="20"/>
    </w:rPr>
  </w:style>
  <w:style w:type="character" w:styleId="FootnoteReference">
    <w:name w:val="footnote reference"/>
    <w:rsid w:val="00152965"/>
    <w:rPr>
      <w:rFonts w:ascii="Times New Roman" w:hAnsi="Times New Roman"/>
      <w:dstrike w:val="0"/>
      <w:color w:val="auto"/>
      <w:sz w:val="20"/>
      <w:vertAlign w:val="superscript"/>
    </w:rPr>
  </w:style>
  <w:style w:type="paragraph" w:styleId="TOC1">
    <w:name w:val="toc 1"/>
    <w:basedOn w:val="Normal"/>
    <w:next w:val="Normal"/>
    <w:semiHidden/>
    <w:rsid w:val="001529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52965"/>
    <w:pPr>
      <w:tabs>
        <w:tab w:val="left" w:pos="720"/>
        <w:tab w:val="right" w:leader="dot" w:pos="9360"/>
      </w:tabs>
      <w:suppressAutoHyphens/>
      <w:ind w:left="720" w:right="720" w:hanging="360"/>
    </w:pPr>
    <w:rPr>
      <w:noProof/>
    </w:rPr>
  </w:style>
  <w:style w:type="paragraph" w:styleId="TOC3">
    <w:name w:val="toc 3"/>
    <w:basedOn w:val="Normal"/>
    <w:next w:val="Normal"/>
    <w:semiHidden/>
    <w:rsid w:val="001529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529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529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529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529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529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529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52965"/>
    <w:pPr>
      <w:tabs>
        <w:tab w:val="right" w:pos="9360"/>
      </w:tabs>
      <w:suppressAutoHyphens/>
    </w:pPr>
  </w:style>
  <w:style w:type="character" w:customStyle="1" w:styleId="EquationCaption">
    <w:name w:val="_Equation Caption"/>
    <w:rsid w:val="00152965"/>
  </w:style>
  <w:style w:type="paragraph" w:styleId="Header">
    <w:name w:val="header"/>
    <w:basedOn w:val="Normal"/>
    <w:link w:val="HeaderChar"/>
    <w:autoRedefine/>
    <w:rsid w:val="00152965"/>
    <w:pPr>
      <w:tabs>
        <w:tab w:val="center" w:pos="4680"/>
        <w:tab w:val="right" w:pos="9360"/>
      </w:tabs>
    </w:pPr>
    <w:rPr>
      <w:b/>
    </w:rPr>
  </w:style>
  <w:style w:type="character" w:customStyle="1" w:styleId="HeaderChar">
    <w:name w:val="Header Char"/>
    <w:basedOn w:val="DefaultParagraphFont"/>
    <w:link w:val="Header"/>
    <w:rsid w:val="00F81152"/>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152965"/>
    <w:pPr>
      <w:tabs>
        <w:tab w:val="center" w:pos="4320"/>
        <w:tab w:val="right" w:pos="8640"/>
      </w:tabs>
    </w:pPr>
  </w:style>
  <w:style w:type="character" w:customStyle="1" w:styleId="FooterChar">
    <w:name w:val="Footer Char"/>
    <w:link w:val="Footer"/>
    <w:uiPriority w:val="99"/>
    <w:rsid w:val="00152965"/>
    <w:rPr>
      <w:rFonts w:ascii="Times New Roman" w:eastAsia="Times New Roman" w:hAnsi="Times New Roman" w:cs="Times New Roman"/>
      <w:snapToGrid w:val="0"/>
      <w:kern w:val="28"/>
      <w:szCs w:val="20"/>
    </w:rPr>
  </w:style>
  <w:style w:type="character" w:styleId="PageNumber">
    <w:name w:val="page number"/>
    <w:basedOn w:val="DefaultParagraphFont"/>
    <w:rsid w:val="00152965"/>
  </w:style>
  <w:style w:type="paragraph" w:styleId="BlockText">
    <w:name w:val="Block Text"/>
    <w:basedOn w:val="Normal"/>
    <w:rsid w:val="00152965"/>
    <w:pPr>
      <w:spacing w:after="240"/>
      <w:ind w:left="1440" w:right="1440"/>
    </w:pPr>
  </w:style>
  <w:style w:type="paragraph" w:customStyle="1" w:styleId="Paratitle">
    <w:name w:val="Para title"/>
    <w:basedOn w:val="Normal"/>
    <w:rsid w:val="00152965"/>
    <w:pPr>
      <w:tabs>
        <w:tab w:val="center" w:pos="9270"/>
      </w:tabs>
      <w:spacing w:after="240"/>
    </w:pPr>
    <w:rPr>
      <w:spacing w:val="-2"/>
    </w:rPr>
  </w:style>
  <w:style w:type="paragraph" w:customStyle="1" w:styleId="Bullet">
    <w:name w:val="Bullet"/>
    <w:basedOn w:val="Normal"/>
    <w:rsid w:val="00152965"/>
    <w:pPr>
      <w:tabs>
        <w:tab w:val="left" w:pos="2160"/>
      </w:tabs>
      <w:spacing w:after="220"/>
      <w:ind w:left="2160" w:hanging="720"/>
    </w:pPr>
  </w:style>
  <w:style w:type="paragraph" w:customStyle="1" w:styleId="TableFormat">
    <w:name w:val="TableFormat"/>
    <w:basedOn w:val="Bullet"/>
    <w:rsid w:val="00152965"/>
    <w:pPr>
      <w:tabs>
        <w:tab w:val="clear" w:pos="2160"/>
        <w:tab w:val="left" w:pos="5040"/>
      </w:tabs>
      <w:ind w:left="5040" w:hanging="3600"/>
    </w:pPr>
  </w:style>
  <w:style w:type="paragraph" w:customStyle="1" w:styleId="TOCTitle">
    <w:name w:val="TOC Title"/>
    <w:basedOn w:val="Normal"/>
    <w:rsid w:val="001529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52965"/>
    <w:pPr>
      <w:jc w:val="center"/>
    </w:pPr>
    <w:rPr>
      <w:rFonts w:ascii="Times New Roman Bold" w:hAnsi="Times New Roman Bold"/>
      <w:b/>
      <w:bCs/>
      <w:caps/>
      <w:szCs w:val="22"/>
    </w:rPr>
  </w:style>
  <w:style w:type="character" w:styleId="Hyperlink">
    <w:name w:val="Hyperlink"/>
    <w:rsid w:val="00152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