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E24086" w:rsidP="00D47505" w14:paraId="109EFE4B" w14:textId="7E0B5D14">
      <w:pPr>
        <w:jc w:val="right"/>
        <w:rPr>
          <w:b/>
          <w:szCs w:val="22"/>
        </w:rPr>
      </w:pPr>
      <w:r w:rsidRPr="00E24086">
        <w:rPr>
          <w:b/>
          <w:szCs w:val="22"/>
        </w:rPr>
        <w:t xml:space="preserve">DA </w:t>
      </w:r>
      <w:r w:rsidR="000C40A5">
        <w:rPr>
          <w:b/>
          <w:szCs w:val="22"/>
        </w:rPr>
        <w:t>19</w:t>
      </w:r>
      <w:r w:rsidRPr="00E24086">
        <w:rPr>
          <w:b/>
          <w:szCs w:val="22"/>
        </w:rPr>
        <w:t>-</w:t>
      </w:r>
      <w:r w:rsidR="000C40A5">
        <w:rPr>
          <w:b/>
          <w:szCs w:val="22"/>
        </w:rPr>
        <w:t>788</w:t>
      </w:r>
    </w:p>
    <w:p w:rsidR="00D47505" w:rsidRPr="00E24086" w:rsidP="00D47505" w14:paraId="3E8E46D5" w14:textId="7A7DD050">
      <w:pPr>
        <w:spacing w:before="60"/>
        <w:jc w:val="right"/>
        <w:rPr>
          <w:b/>
          <w:szCs w:val="22"/>
        </w:rPr>
      </w:pPr>
      <w:r w:rsidRPr="00E24086">
        <w:rPr>
          <w:b/>
          <w:szCs w:val="22"/>
        </w:rPr>
        <w:t xml:space="preserve">Released:  </w:t>
      </w:r>
      <w:r w:rsidR="000C40A5">
        <w:rPr>
          <w:b/>
          <w:szCs w:val="22"/>
        </w:rPr>
        <w:t>August 20, 2019</w:t>
      </w:r>
    </w:p>
    <w:p w:rsidR="00D47505" w:rsidRPr="00E24086" w:rsidP="00D47505" w14:paraId="73403893" w14:textId="77777777">
      <w:pPr>
        <w:jc w:val="right"/>
        <w:rPr>
          <w:szCs w:val="22"/>
        </w:rPr>
      </w:pPr>
    </w:p>
    <w:p w:rsidR="00D47505" w:rsidRPr="00E24086" w:rsidP="00D47505" w14:paraId="01C743CF" w14:textId="01C0AB13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FCC ANNOUNCES THE </w:t>
      </w:r>
      <w:r w:rsidR="00A90436">
        <w:rPr>
          <w:b/>
          <w:szCs w:val="22"/>
        </w:rPr>
        <w:t>SECOND</w:t>
      </w:r>
      <w:r w:rsidRPr="00E24086">
        <w:rPr>
          <w:b/>
          <w:szCs w:val="22"/>
        </w:rPr>
        <w:t xml:space="preserve"> MEETING OF THE</w:t>
      </w:r>
    </w:p>
    <w:p w:rsidR="001A5CEB" w:rsidRPr="00E24086" w:rsidP="00D47505" w14:paraId="54811EF6" w14:textId="77777777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THIRD TERM OF THE </w:t>
      </w:r>
      <w:r w:rsidRPr="00E24086" w:rsidR="00E72D0A">
        <w:rPr>
          <w:b/>
          <w:szCs w:val="22"/>
        </w:rPr>
        <w:t>DISABILITY ADVISORY COMMITTEE</w:t>
      </w:r>
    </w:p>
    <w:p w:rsidR="00A71B9F" w:rsidP="007202C3" w14:paraId="788D9723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7202C3" w:rsidRPr="003E4C89" w:rsidP="00E24086" w14:paraId="6AEC0D67" w14:textId="7B3100C7">
      <w:pPr>
        <w:autoSpaceDE w:val="0"/>
        <w:autoSpaceDN w:val="0"/>
        <w:spacing w:after="120"/>
        <w:ind w:firstLine="720"/>
        <w:rPr>
          <w:b/>
          <w:szCs w:val="22"/>
        </w:rPr>
      </w:pPr>
      <w:r>
        <w:rPr>
          <w:color w:val="000000"/>
          <w:szCs w:val="22"/>
        </w:rPr>
        <w:t>In t</w:t>
      </w:r>
      <w:r w:rsidRPr="003E4C89">
        <w:rPr>
          <w:color w:val="000000"/>
          <w:szCs w:val="22"/>
        </w:rPr>
        <w:t xml:space="preserve">his Public </w:t>
      </w:r>
      <w:r w:rsidRPr="00827F25">
        <w:rPr>
          <w:color w:val="000000"/>
          <w:szCs w:val="22"/>
        </w:rPr>
        <w:t xml:space="preserve">Notice, </w:t>
      </w:r>
      <w:r>
        <w:rPr>
          <w:color w:val="000000"/>
          <w:szCs w:val="22"/>
        </w:rPr>
        <w:t>consistent with the Federal Advisory Committee Act,</w:t>
      </w:r>
      <w:r>
        <w:rPr>
          <w:rStyle w:val="FootnoteReference"/>
          <w:szCs w:val="22"/>
        </w:rPr>
        <w:footnoteReference w:id="3"/>
      </w:r>
      <w:r>
        <w:rPr>
          <w:color w:val="000000"/>
          <w:szCs w:val="22"/>
        </w:rPr>
        <w:t xml:space="preserve"> </w:t>
      </w:r>
      <w:r w:rsidRPr="00827F25">
        <w:rPr>
          <w:color w:val="000000"/>
          <w:szCs w:val="22"/>
        </w:rPr>
        <w:t xml:space="preserve">the Federal Communications Commission (FCC or Commission) announces the </w:t>
      </w:r>
      <w:r w:rsidR="004B1A3C">
        <w:rPr>
          <w:color w:val="000000"/>
          <w:szCs w:val="22"/>
        </w:rPr>
        <w:t xml:space="preserve">second </w:t>
      </w:r>
      <w:r w:rsidRPr="00827F25">
        <w:rPr>
          <w:color w:val="000000"/>
          <w:szCs w:val="22"/>
        </w:rPr>
        <w:t xml:space="preserve">meeting of </w:t>
      </w:r>
      <w:r>
        <w:rPr>
          <w:color w:val="000000"/>
          <w:szCs w:val="22"/>
        </w:rPr>
        <w:t xml:space="preserve">the </w:t>
      </w:r>
      <w:r w:rsidR="00A44215">
        <w:rPr>
          <w:color w:val="000000"/>
          <w:szCs w:val="22"/>
        </w:rPr>
        <w:t xml:space="preserve">third term of its </w:t>
      </w:r>
      <w:r w:rsidRPr="00827F25">
        <w:rPr>
          <w:color w:val="000000"/>
          <w:szCs w:val="22"/>
        </w:rPr>
        <w:t>Disability Advisory Committee (DAC or Committee)</w:t>
      </w:r>
      <w:r>
        <w:rPr>
          <w:color w:val="000000"/>
          <w:szCs w:val="22"/>
        </w:rPr>
        <w:t xml:space="preserve">.  The meeting will be held </w:t>
      </w:r>
      <w:r w:rsidR="00A90436">
        <w:rPr>
          <w:b/>
          <w:color w:val="000000"/>
          <w:szCs w:val="22"/>
        </w:rPr>
        <w:t>Tuesday</w:t>
      </w:r>
      <w:r w:rsidRPr="00AB3696">
        <w:rPr>
          <w:b/>
          <w:color w:val="000000"/>
          <w:szCs w:val="22"/>
        </w:rPr>
        <w:t xml:space="preserve">, </w:t>
      </w:r>
      <w:r w:rsidR="00A90436">
        <w:rPr>
          <w:b/>
          <w:color w:val="000000"/>
          <w:szCs w:val="22"/>
        </w:rPr>
        <w:t xml:space="preserve">September 24, 2019, </w:t>
      </w:r>
      <w:r w:rsidRPr="00AB3696">
        <w:rPr>
          <w:b/>
          <w:color w:val="000000"/>
          <w:szCs w:val="22"/>
        </w:rPr>
        <w:t>at 9:00 a.m.</w:t>
      </w:r>
      <w:r>
        <w:rPr>
          <w:color w:val="000000"/>
          <w:szCs w:val="22"/>
        </w:rPr>
        <w:t>, Eastern Time, in the Commission Meeting Room at FCC Headquarters, located at 445 12</w:t>
      </w:r>
      <w:r w:rsidRPr="00B323FB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 xml:space="preserve"> Street, SW, Room TW-C305, Washington, DC 20554. </w:t>
      </w:r>
    </w:p>
    <w:p w:rsidR="00A44215" w:rsidRPr="00A44215" w:rsidP="00E24086" w14:paraId="7CCB13A3" w14:textId="383C51EC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At this meeting, </w:t>
      </w:r>
      <w:r w:rsidRPr="00A44215">
        <w:rPr>
          <w:szCs w:val="22"/>
        </w:rPr>
        <w:t xml:space="preserve">DAC members </w:t>
      </w:r>
      <w:r w:rsidR="00883D4C">
        <w:rPr>
          <w:szCs w:val="22"/>
        </w:rPr>
        <w:t>will</w:t>
      </w:r>
      <w:bookmarkStart w:id="0" w:name="_GoBack"/>
      <w:bookmarkEnd w:id="0"/>
      <w:r w:rsidRPr="00A44215">
        <w:rPr>
          <w:szCs w:val="22"/>
        </w:rPr>
        <w:t xml:space="preserve"> discuss (</w:t>
      </w:r>
      <w:r w:rsidRPr="00A44215">
        <w:rPr>
          <w:szCs w:val="22"/>
        </w:rPr>
        <w:t>i</w:t>
      </w:r>
      <w:r w:rsidRPr="00A44215">
        <w:rPr>
          <w:szCs w:val="22"/>
        </w:rPr>
        <w:t xml:space="preserve">) </w:t>
      </w:r>
      <w:r w:rsidR="00270348">
        <w:rPr>
          <w:szCs w:val="22"/>
        </w:rPr>
        <w:t>a r</w:t>
      </w:r>
      <w:r w:rsidRPr="00270348" w:rsidR="00270348">
        <w:rPr>
          <w:szCs w:val="22"/>
        </w:rPr>
        <w:t xml:space="preserve">eport and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ecommendation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egarding the </w:t>
      </w:r>
      <w:r w:rsidR="00270348">
        <w:rPr>
          <w:szCs w:val="22"/>
        </w:rPr>
        <w:t>a</w:t>
      </w:r>
      <w:r w:rsidRPr="00270348" w:rsidR="00270348">
        <w:rPr>
          <w:szCs w:val="22"/>
        </w:rPr>
        <w:t xml:space="preserve">vailability of TV </w:t>
      </w:r>
      <w:r w:rsidR="00270348">
        <w:rPr>
          <w:szCs w:val="22"/>
        </w:rPr>
        <w:t>l</w:t>
      </w:r>
      <w:r w:rsidRPr="00270348" w:rsidR="00270348">
        <w:rPr>
          <w:szCs w:val="22"/>
        </w:rPr>
        <w:t xml:space="preserve">istings of </w:t>
      </w:r>
      <w:r w:rsidR="00270348">
        <w:rPr>
          <w:szCs w:val="22"/>
        </w:rPr>
        <w:t>a</w:t>
      </w:r>
      <w:r w:rsidRPr="00270348" w:rsidR="00270348">
        <w:rPr>
          <w:szCs w:val="22"/>
        </w:rPr>
        <w:t xml:space="preserve">udio </w:t>
      </w:r>
      <w:r w:rsidR="00270348">
        <w:rPr>
          <w:szCs w:val="22"/>
        </w:rPr>
        <w:t>d</w:t>
      </w:r>
      <w:r w:rsidRPr="00270348" w:rsidR="00270348">
        <w:rPr>
          <w:szCs w:val="22"/>
        </w:rPr>
        <w:t xml:space="preserve">escribed </w:t>
      </w:r>
      <w:r w:rsidR="00270348">
        <w:rPr>
          <w:szCs w:val="22"/>
        </w:rPr>
        <w:t>p</w:t>
      </w:r>
      <w:r w:rsidRPr="00270348" w:rsidR="00270348">
        <w:rPr>
          <w:szCs w:val="22"/>
        </w:rPr>
        <w:t>rogramming</w:t>
      </w:r>
      <w:r w:rsidRPr="00A44215">
        <w:rPr>
          <w:szCs w:val="22"/>
        </w:rPr>
        <w:t xml:space="preserve">; (ii)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eport and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ecommendation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egarding </w:t>
      </w:r>
      <w:r w:rsidR="00270348">
        <w:rPr>
          <w:szCs w:val="22"/>
        </w:rPr>
        <w:t>real-time text</w:t>
      </w:r>
      <w:r w:rsidR="00D45545">
        <w:rPr>
          <w:szCs w:val="22"/>
        </w:rPr>
        <w:t xml:space="preserve"> </w:t>
      </w:r>
      <w:r w:rsidR="00270348">
        <w:rPr>
          <w:szCs w:val="22"/>
        </w:rPr>
        <w:t>i</w:t>
      </w:r>
      <w:r w:rsidRPr="00270348" w:rsidR="00270348">
        <w:rPr>
          <w:szCs w:val="22"/>
        </w:rPr>
        <w:t xml:space="preserve">ntegration with </w:t>
      </w:r>
      <w:r w:rsidR="00AD7C8E">
        <w:rPr>
          <w:szCs w:val="22"/>
        </w:rPr>
        <w:t>video relay services for point-to-point and relay</w:t>
      </w:r>
      <w:r w:rsidRPr="00270348" w:rsidR="00270348">
        <w:rPr>
          <w:szCs w:val="22"/>
        </w:rPr>
        <w:t xml:space="preserve"> </w:t>
      </w:r>
      <w:r w:rsidR="00270348">
        <w:rPr>
          <w:szCs w:val="22"/>
        </w:rPr>
        <w:t>c</w:t>
      </w:r>
      <w:r w:rsidRPr="00270348" w:rsidR="00270348">
        <w:rPr>
          <w:szCs w:val="22"/>
        </w:rPr>
        <w:t>alls</w:t>
      </w:r>
      <w:r w:rsidR="00D45545">
        <w:rPr>
          <w:szCs w:val="22"/>
        </w:rPr>
        <w:t xml:space="preserve"> while maintaining interoperability and ensuring compatibility with refreshable Braille displays and other periphe</w:t>
      </w:r>
      <w:r w:rsidR="00406D64">
        <w:rPr>
          <w:szCs w:val="22"/>
        </w:rPr>
        <w:t>ral devices</w:t>
      </w:r>
      <w:r w:rsidRPr="00A44215">
        <w:rPr>
          <w:szCs w:val="22"/>
        </w:rPr>
        <w:t>; (iii) meeting schedules</w:t>
      </w:r>
      <w:r w:rsidR="00937BAE">
        <w:rPr>
          <w:szCs w:val="22"/>
        </w:rPr>
        <w:t>;</w:t>
      </w:r>
      <w:r w:rsidRPr="00A44215">
        <w:rPr>
          <w:szCs w:val="22"/>
        </w:rPr>
        <w:t xml:space="preserve"> and (iv) any other topics relevant to the DAC’s work.  The meeting will be led by the DAC co-chairs:  </w:t>
      </w:r>
      <w:r w:rsidRPr="00783FA2" w:rsidR="00783FA2">
        <w:rPr>
          <w:szCs w:val="22"/>
        </w:rPr>
        <w:t>Brian Scarpelli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Senior Policy Counsel </w:t>
      </w:r>
      <w:r w:rsidR="00783FA2">
        <w:rPr>
          <w:szCs w:val="22"/>
        </w:rPr>
        <w:t xml:space="preserve">of </w:t>
      </w:r>
      <w:r w:rsidRPr="00783FA2" w:rsidR="00783FA2">
        <w:rPr>
          <w:szCs w:val="22"/>
        </w:rPr>
        <w:t>ACT | The App Association</w:t>
      </w:r>
      <w:r w:rsidR="00783FA2">
        <w:rPr>
          <w:szCs w:val="22"/>
        </w:rPr>
        <w:t xml:space="preserve">, and </w:t>
      </w:r>
      <w:r w:rsidRPr="00783FA2" w:rsidR="00783FA2">
        <w:rPr>
          <w:szCs w:val="22"/>
        </w:rPr>
        <w:t>Isidore Niyongabo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Director of Advocacy and Public Engagement </w:t>
      </w:r>
      <w:r>
        <w:rPr>
          <w:szCs w:val="22"/>
        </w:rPr>
        <w:t xml:space="preserve">of </w:t>
      </w:r>
      <w:r w:rsidRPr="00783FA2" w:rsidR="00783FA2">
        <w:rPr>
          <w:szCs w:val="22"/>
        </w:rPr>
        <w:t xml:space="preserve">National Black Deaf Advocates.  </w:t>
      </w:r>
    </w:p>
    <w:p w:rsidR="00BD25B9" w:rsidP="00E24086" w14:paraId="15BD51B9" w14:textId="77777777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The DAC may also receive briefings from Commission staff on issues of interest to the Committee and may discuss topics of interest to the </w:t>
      </w:r>
      <w:r w:rsidR="00937BAE">
        <w:rPr>
          <w:szCs w:val="22"/>
        </w:rPr>
        <w:t>Committee</w:t>
      </w:r>
      <w:r>
        <w:rPr>
          <w:szCs w:val="22"/>
        </w:rPr>
        <w:t>, including, but not limited to, matters concerning communications transitions, telecommunications relay services, emergency access, and video programming accessibility.  This agenda may be modified at the discretion of the DAC Chair</w:t>
      </w:r>
      <w:r w:rsidR="00F318C4">
        <w:rPr>
          <w:szCs w:val="22"/>
        </w:rPr>
        <w:t>s</w:t>
      </w:r>
      <w:r>
        <w:rPr>
          <w:szCs w:val="22"/>
        </w:rPr>
        <w:t xml:space="preserve"> and Designated Federal Officer (DFO).  </w:t>
      </w:r>
    </w:p>
    <w:p w:rsidR="00E0722A" w:rsidRPr="00E0722A" w:rsidP="00E24086" w14:paraId="1AF4E347" w14:textId="544F2450">
      <w:pPr>
        <w:autoSpaceDE w:val="0"/>
        <w:autoSpaceDN w:val="0"/>
        <w:adjustRightInd w:val="0"/>
        <w:spacing w:after="120"/>
        <w:ind w:firstLine="720"/>
        <w:rPr>
          <w:b/>
          <w:bCs/>
          <w:szCs w:val="22"/>
        </w:rPr>
      </w:pPr>
      <w:r w:rsidRPr="009C1CC5">
        <w:rPr>
          <w:szCs w:val="22"/>
        </w:rPr>
        <w:t xml:space="preserve">The </w:t>
      </w:r>
      <w:r>
        <w:rPr>
          <w:szCs w:val="22"/>
        </w:rPr>
        <w:t>DAC</w:t>
      </w:r>
      <w:r w:rsidRPr="009C1CC5">
        <w:rPr>
          <w:szCs w:val="22"/>
        </w:rPr>
        <w:t xml:space="preserve"> meeting will be open to the public.  The FCC will accommodate as many attendees as possible; however, admittance will be limited to seating availability.  The FCC will also provide audio and/or video coverage of the meeting at </w:t>
      </w:r>
      <w:hyperlink r:id="rId5" w:history="1">
        <w:r w:rsidRPr="009C1CC5">
          <w:rPr>
            <w:rStyle w:val="Hyperlink"/>
            <w:szCs w:val="22"/>
          </w:rPr>
          <w:t>www.fcc.gov/live</w:t>
        </w:r>
      </w:hyperlink>
      <w:r w:rsidRPr="009C1CC5">
        <w:rPr>
          <w:szCs w:val="22"/>
        </w:rPr>
        <w:t xml:space="preserve">.  </w:t>
      </w:r>
      <w:r w:rsidRPr="00E0722A">
        <w:rPr>
          <w:szCs w:val="22"/>
        </w:rPr>
        <w:t xml:space="preserve">During the meeting, members of the </w:t>
      </w:r>
      <w:r w:rsidR="004B1A3C">
        <w:rPr>
          <w:szCs w:val="22"/>
        </w:rPr>
        <w:t>p</w:t>
      </w:r>
      <w:r w:rsidRPr="00E0722A">
        <w:rPr>
          <w:szCs w:val="22"/>
        </w:rPr>
        <w:t xml:space="preserve">ublic may submit questions and comments to the DAC via email: </w:t>
      </w:r>
      <w:hyperlink r:id="rId6" w:history="1">
        <w:r w:rsidRPr="00E0722A">
          <w:rPr>
            <w:rStyle w:val="Hyperlink"/>
            <w:szCs w:val="22"/>
          </w:rPr>
          <w:t>livequestions@fcc.gov</w:t>
        </w:r>
      </w:hyperlink>
      <w:r w:rsidRPr="00E0722A">
        <w:rPr>
          <w:szCs w:val="22"/>
        </w:rPr>
        <w:t xml:space="preserve">.  These comments or questions may be addressed during the public comment period. </w:t>
      </w:r>
    </w:p>
    <w:p w:rsidR="009C1CC5" w:rsidP="00E24086" w14:paraId="3FBFCFB1" w14:textId="77777777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9C1CC5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9C1CC5">
          <w:rPr>
            <w:rStyle w:val="Hyperlink"/>
            <w:szCs w:val="22"/>
          </w:rPr>
          <w:t>fcc504@fcc.gov</w:t>
        </w:r>
      </w:hyperlink>
      <w:r w:rsidRPr="009C1CC5">
        <w:rPr>
          <w:szCs w:val="22"/>
        </w:rPr>
        <w:t xml:space="preserve"> or by calling the Consumer </w:t>
      </w:r>
      <w:r>
        <w:rPr>
          <w:szCs w:val="22"/>
        </w:rPr>
        <w:t>and</w:t>
      </w:r>
      <w:r w:rsidRPr="009C1CC5">
        <w:rPr>
          <w:szCs w:val="22"/>
        </w:rPr>
        <w:t xml:space="preserve"> Governmental Affairs Bureau</w:t>
      </w:r>
      <w:r>
        <w:rPr>
          <w:szCs w:val="22"/>
        </w:rPr>
        <w:t xml:space="preserve"> (CGB)</w:t>
      </w:r>
      <w:r w:rsidRPr="009C1CC5">
        <w:rPr>
          <w:szCs w:val="22"/>
        </w:rPr>
        <w:t xml:space="preserve"> at (202) 418-0530 (voice), (202) 418-0432 (TTY).  Such requests should include a detailed description of the accommodation needed</w:t>
      </w:r>
      <w:r w:rsidR="00096E1C">
        <w:rPr>
          <w:szCs w:val="22"/>
        </w:rPr>
        <w:t xml:space="preserve"> and specify how</w:t>
      </w:r>
      <w:r w:rsidRPr="009C1CC5">
        <w:rPr>
          <w:szCs w:val="22"/>
        </w:rPr>
        <w:t xml:space="preserve"> the FCC </w:t>
      </w:r>
      <w:r w:rsidR="00096E1C">
        <w:rPr>
          <w:szCs w:val="22"/>
        </w:rPr>
        <w:t xml:space="preserve">should </w:t>
      </w:r>
      <w:r w:rsidRPr="009C1CC5">
        <w:rPr>
          <w:szCs w:val="22"/>
        </w:rPr>
        <w:t xml:space="preserve">contact the requester if more information is needed to fill the request.  Please </w:t>
      </w:r>
      <w:r w:rsidR="00096E1C">
        <w:rPr>
          <w:szCs w:val="22"/>
        </w:rPr>
        <w:t xml:space="preserve">provide </w:t>
      </w:r>
      <w:r w:rsidRPr="009C1CC5">
        <w:rPr>
          <w:szCs w:val="22"/>
        </w:rPr>
        <w:t xml:space="preserve">at least five days’ advance notice </w:t>
      </w:r>
      <w:r w:rsidR="00096E1C">
        <w:rPr>
          <w:szCs w:val="22"/>
        </w:rPr>
        <w:t>of</w:t>
      </w:r>
      <w:r w:rsidRPr="009C1CC5" w:rsidR="00096E1C">
        <w:rPr>
          <w:szCs w:val="22"/>
        </w:rPr>
        <w:t xml:space="preserve"> </w:t>
      </w:r>
      <w:r w:rsidRPr="009C1CC5">
        <w:rPr>
          <w:szCs w:val="22"/>
        </w:rPr>
        <w:t>accommodation requests; last</w:t>
      </w:r>
      <w:r w:rsidR="00096E1C">
        <w:rPr>
          <w:szCs w:val="22"/>
        </w:rPr>
        <w:t>-</w:t>
      </w:r>
      <w:r w:rsidRPr="009C1CC5">
        <w:rPr>
          <w:szCs w:val="22"/>
        </w:rPr>
        <w:t xml:space="preserve">minute requests will be accepted but may not be possible to accommodate. </w:t>
      </w:r>
    </w:p>
    <w:p w:rsidR="00E26B24" w:rsidP="00E26B24" w14:paraId="3C8F9C48" w14:textId="4DF025CA">
      <w:pPr>
        <w:autoSpaceDE w:val="0"/>
        <w:autoSpaceDN w:val="0"/>
        <w:adjustRightInd w:val="0"/>
        <w:ind w:firstLine="720"/>
      </w:pPr>
      <w:r w:rsidRPr="00C844D9">
        <w:rPr>
          <w:szCs w:val="22"/>
        </w:rPr>
        <w:t>To obtain further information about the Committee, contact:</w:t>
      </w:r>
      <w:r>
        <w:rPr>
          <w:b/>
          <w:szCs w:val="22"/>
        </w:rPr>
        <w:t xml:space="preserve"> </w:t>
      </w:r>
      <w:r w:rsidRPr="00827F25">
        <w:rPr>
          <w:szCs w:val="22"/>
        </w:rPr>
        <w:t xml:space="preserve">Will Schell, </w:t>
      </w:r>
      <w:r>
        <w:rPr>
          <w:szCs w:val="22"/>
        </w:rPr>
        <w:t>DFO</w:t>
      </w:r>
      <w:r w:rsidR="00B66C5C">
        <w:rPr>
          <w:szCs w:val="22"/>
        </w:rPr>
        <w:t>,</w:t>
      </w:r>
      <w:r>
        <w:rPr>
          <w:szCs w:val="22"/>
        </w:rPr>
        <w:t xml:space="preserve"> </w:t>
      </w:r>
      <w:r w:rsidRPr="00827F25">
        <w:rPr>
          <w:szCs w:val="22"/>
        </w:rPr>
        <w:t>(202) 418-0</w:t>
      </w:r>
      <w:r>
        <w:rPr>
          <w:szCs w:val="22"/>
        </w:rPr>
        <w:t>767</w:t>
      </w:r>
      <w:r w:rsidR="001139EF">
        <w:rPr>
          <w:szCs w:val="22"/>
        </w:rPr>
        <w:t xml:space="preserve"> </w:t>
      </w:r>
      <w:r>
        <w:rPr>
          <w:szCs w:val="22"/>
        </w:rPr>
        <w:t xml:space="preserve">or </w:t>
      </w:r>
      <w:hyperlink r:id="rId8" w:history="1">
        <w:r w:rsidRPr="00827F25">
          <w:rPr>
            <w:rStyle w:val="Hyperlink"/>
            <w:szCs w:val="22"/>
          </w:rPr>
          <w:t>DAC@fcc.gov</w:t>
        </w:r>
      </w:hyperlink>
      <w:r>
        <w:rPr>
          <w:rStyle w:val="Hyperlink"/>
          <w:szCs w:val="22"/>
        </w:rPr>
        <w:t>;</w:t>
      </w:r>
      <w:r>
        <w:t xml:space="preserve"> or Debra Patkin, </w:t>
      </w:r>
      <w:r w:rsidR="00176083">
        <w:t>deputy</w:t>
      </w:r>
      <w:r w:rsidRPr="00C918DD" w:rsidR="00176083">
        <w:t xml:space="preserve"> </w:t>
      </w:r>
      <w:r w:rsidRPr="00C918DD">
        <w:t>D</w:t>
      </w:r>
      <w:r>
        <w:t>FO</w:t>
      </w:r>
      <w:r w:rsidRPr="00C918DD">
        <w:t xml:space="preserve">, </w:t>
      </w:r>
      <w:r>
        <w:t>(</w:t>
      </w:r>
      <w:r w:rsidRPr="00C918DD">
        <w:t>202</w:t>
      </w:r>
      <w:r>
        <w:t xml:space="preserve">) </w:t>
      </w:r>
      <w:r w:rsidRPr="00C918DD">
        <w:t>870-5226</w:t>
      </w:r>
      <w:r>
        <w:t xml:space="preserve">. </w:t>
      </w:r>
      <w:r w:rsidRPr="00C918DD">
        <w:t xml:space="preserve"> </w:t>
      </w:r>
      <w:r>
        <w:t xml:space="preserve">The DAC website address is:  </w:t>
      </w:r>
      <w:hyperlink r:id="rId9" w:history="1">
        <w:r w:rsidRPr="00B42C5B">
          <w:rPr>
            <w:rStyle w:val="Hyperlink"/>
          </w:rPr>
          <w:t>https://www.fcc.gov/disability-advisory-committee</w:t>
        </w:r>
      </w:hyperlink>
      <w:r>
        <w:t xml:space="preserve">. </w:t>
      </w:r>
    </w:p>
    <w:p w:rsidR="00E26B24" w:rsidP="00E26B24" w14:paraId="6C6B4DF8" w14:textId="77777777">
      <w:pPr>
        <w:autoSpaceDE w:val="0"/>
        <w:autoSpaceDN w:val="0"/>
        <w:adjustRightInd w:val="0"/>
        <w:ind w:firstLine="720"/>
      </w:pPr>
    </w:p>
    <w:p w:rsidR="007202C3" w:rsidRPr="00DB1B84" w14:paraId="6B9B1ECC" w14:textId="77777777">
      <w:pPr>
        <w:autoSpaceDE w:val="0"/>
        <w:autoSpaceDN w:val="0"/>
        <w:adjustRightInd w:val="0"/>
        <w:ind w:firstLine="720"/>
        <w:rPr>
          <w:b/>
          <w:szCs w:val="22"/>
        </w:rPr>
      </w:pPr>
      <w:r>
        <w:t xml:space="preserve"> </w:t>
      </w:r>
    </w:p>
    <w:p w:rsidR="00FD44D0" w:rsidP="00A71954" w14:paraId="38F9741E" w14:textId="77777777">
      <w:pPr>
        <w:spacing w:before="60"/>
        <w:jc w:val="center"/>
        <w:rPr>
          <w:sz w:val="24"/>
        </w:rPr>
      </w:pPr>
      <w:r>
        <w:rPr>
          <w:sz w:val="24"/>
        </w:rPr>
        <w:t xml:space="preserve">− </w:t>
      </w:r>
      <w:r w:rsidRPr="00E24086">
        <w:rPr>
          <w:b/>
          <w:sz w:val="24"/>
        </w:rPr>
        <w:t>FCC</w:t>
      </w:r>
      <w:r>
        <w:rPr>
          <w:sz w:val="24"/>
        </w:rPr>
        <w:t xml:space="preserve"> −</w:t>
      </w:r>
    </w:p>
    <w:sectPr w:rsidSect="00DF081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BAB89C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ED15BDA" w14:textId="77777777">
    <w:pPr>
      <w:pStyle w:val="Footer"/>
    </w:pPr>
  </w:p>
  <w:p w:rsidR="003660ED" w14:paraId="20BD9BC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F0407A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 w14:paraId="58A76CA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5C51A29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1B00" w14:paraId="0F10492A" w14:textId="77777777">
      <w:r>
        <w:separator/>
      </w:r>
    </w:p>
  </w:footnote>
  <w:footnote w:type="continuationSeparator" w:id="1">
    <w:p w:rsidR="00371B00" w:rsidP="00C721AC" w14:paraId="15575F1E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71B00" w:rsidP="00C721AC" w14:paraId="2091806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25B9" w14:paraId="06F23A3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5B9"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DDA6891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1976743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70558C5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1CF6CDF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05458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EEA86EC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1E21208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7EA6EB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77A5D30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8C668B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D21266A"/>
    <w:multiLevelType w:val="hybridMultilevel"/>
    <w:tmpl w:val="8B525AA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2503A"/>
    <w:rsid w:val="000311A7"/>
    <w:rsid w:val="00095D1E"/>
    <w:rsid w:val="00096E1C"/>
    <w:rsid w:val="000A0291"/>
    <w:rsid w:val="000C0BCD"/>
    <w:rsid w:val="000C40A5"/>
    <w:rsid w:val="000E05FE"/>
    <w:rsid w:val="00105D42"/>
    <w:rsid w:val="001139EF"/>
    <w:rsid w:val="00176083"/>
    <w:rsid w:val="001A5CEB"/>
    <w:rsid w:val="002324F8"/>
    <w:rsid w:val="002424D5"/>
    <w:rsid w:val="00270348"/>
    <w:rsid w:val="002863DA"/>
    <w:rsid w:val="002C5698"/>
    <w:rsid w:val="002D3014"/>
    <w:rsid w:val="00342261"/>
    <w:rsid w:val="00350E6F"/>
    <w:rsid w:val="003660ED"/>
    <w:rsid w:val="00371B00"/>
    <w:rsid w:val="00375CE3"/>
    <w:rsid w:val="00386FBC"/>
    <w:rsid w:val="003D4181"/>
    <w:rsid w:val="003E0A4A"/>
    <w:rsid w:val="003E3D84"/>
    <w:rsid w:val="003E4C89"/>
    <w:rsid w:val="00406D64"/>
    <w:rsid w:val="00487A85"/>
    <w:rsid w:val="004A1FFE"/>
    <w:rsid w:val="004B1A3C"/>
    <w:rsid w:val="004F4F64"/>
    <w:rsid w:val="005142FE"/>
    <w:rsid w:val="0055614C"/>
    <w:rsid w:val="005634C0"/>
    <w:rsid w:val="005A1AAF"/>
    <w:rsid w:val="00651BC9"/>
    <w:rsid w:val="006A6EA2"/>
    <w:rsid w:val="006D52B4"/>
    <w:rsid w:val="006F160C"/>
    <w:rsid w:val="007202C3"/>
    <w:rsid w:val="00780612"/>
    <w:rsid w:val="00783FA2"/>
    <w:rsid w:val="00827F25"/>
    <w:rsid w:val="0085687A"/>
    <w:rsid w:val="00883D4C"/>
    <w:rsid w:val="008E1078"/>
    <w:rsid w:val="00910E53"/>
    <w:rsid w:val="0093561A"/>
    <w:rsid w:val="00937BAE"/>
    <w:rsid w:val="009C1CC5"/>
    <w:rsid w:val="009E4D70"/>
    <w:rsid w:val="00A44215"/>
    <w:rsid w:val="00A71954"/>
    <w:rsid w:val="00A71B9F"/>
    <w:rsid w:val="00A90436"/>
    <w:rsid w:val="00AB3696"/>
    <w:rsid w:val="00AC36FB"/>
    <w:rsid w:val="00AD7C8E"/>
    <w:rsid w:val="00B20363"/>
    <w:rsid w:val="00B24D6F"/>
    <w:rsid w:val="00B323FB"/>
    <w:rsid w:val="00B338A9"/>
    <w:rsid w:val="00B42C5B"/>
    <w:rsid w:val="00B64761"/>
    <w:rsid w:val="00B66C5C"/>
    <w:rsid w:val="00BA536E"/>
    <w:rsid w:val="00BA5F06"/>
    <w:rsid w:val="00BB1B66"/>
    <w:rsid w:val="00BD25B9"/>
    <w:rsid w:val="00BD6B93"/>
    <w:rsid w:val="00C04AC6"/>
    <w:rsid w:val="00C22240"/>
    <w:rsid w:val="00C42416"/>
    <w:rsid w:val="00C4744D"/>
    <w:rsid w:val="00C844D9"/>
    <w:rsid w:val="00C918DD"/>
    <w:rsid w:val="00D216CD"/>
    <w:rsid w:val="00D25FB5"/>
    <w:rsid w:val="00D45545"/>
    <w:rsid w:val="00D47505"/>
    <w:rsid w:val="00D55087"/>
    <w:rsid w:val="00D9475C"/>
    <w:rsid w:val="00DA75ED"/>
    <w:rsid w:val="00DB1B84"/>
    <w:rsid w:val="00DD184A"/>
    <w:rsid w:val="00E0722A"/>
    <w:rsid w:val="00E24086"/>
    <w:rsid w:val="00E26B24"/>
    <w:rsid w:val="00E72D0A"/>
    <w:rsid w:val="00E852E4"/>
    <w:rsid w:val="00EA1C7D"/>
    <w:rsid w:val="00EF2518"/>
    <w:rsid w:val="00F07CF1"/>
    <w:rsid w:val="00F318C4"/>
    <w:rsid w:val="00FD44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ACF22F-B808-4D64-9AF7-62765D0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7202C3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202C3"/>
    <w:rPr>
      <w:sz w:val="24"/>
    </w:rPr>
  </w:style>
  <w:style w:type="character" w:customStyle="1" w:styleId="FootnoteTextChar">
    <w:name w:val="Footnote Text Char"/>
    <w:link w:val="FootnoteText"/>
    <w:uiPriority w:val="99"/>
    <w:rsid w:val="007202C3"/>
  </w:style>
  <w:style w:type="paragraph" w:styleId="NormalWeb">
    <w:name w:val="Normal (Web)"/>
    <w:basedOn w:val="Normal"/>
    <w:uiPriority w:val="99"/>
    <w:unhideWhenUsed/>
    <w:rsid w:val="007202C3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C3"/>
    <w:pPr>
      <w:widowControl/>
      <w:ind w:left="720"/>
      <w:contextualSpacing/>
    </w:pPr>
    <w:rPr>
      <w:snapToGrid/>
      <w:kern w:val="0"/>
    </w:rPr>
  </w:style>
  <w:style w:type="character" w:styleId="CommentReference">
    <w:name w:val="annotation reference"/>
    <w:basedOn w:val="DefaultParagraphFont"/>
    <w:rsid w:val="00F02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42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0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42B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rsid w:val="009C1C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44D0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c@fcc.gov" TargetMode="External" /><Relationship Id="rId9" Type="http://schemas.openxmlformats.org/officeDocument/2006/relationships/hyperlink" Target="https://www.fcc.gov/disability-advisory-committee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