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RPr="000C12B4" w:rsidP="00C35895">
      <w:pPr>
        <w:ind w:right="720"/>
        <w:jc w:val="right"/>
        <w:rPr>
          <w:rFonts w:ascii="Times New Roman" w:hAnsi="Times New Roman"/>
          <w:b/>
          <w:sz w:val="22"/>
          <w:szCs w:val="22"/>
        </w:rPr>
        <w:sectPr w:rsidSect="006940F9">
          <w:footerReference w:type="even" r:id="rId4"/>
          <w:footerReference w:type="default" r:id="rId5"/>
          <w:headerReference w:type="first" r:id="rId6"/>
          <w:pgSz w:w="12240" w:h="15840" w:code="1"/>
          <w:pgMar w:top="720" w:right="720" w:bottom="1152" w:left="720" w:header="720" w:footer="1440" w:gutter="0"/>
          <w:pgNumType w:start="1"/>
          <w:cols w:space="720"/>
          <w:noEndnote/>
          <w:titlePg/>
        </w:sectPr>
      </w:pPr>
      <w:r w:rsidRPr="000C12B4">
        <w:rPr>
          <w:rFonts w:ascii="Times New Roman" w:hAnsi="Times New Roman"/>
          <w:b/>
          <w:sz w:val="22"/>
          <w:szCs w:val="22"/>
        </w:rPr>
        <w:t>DA 1</w:t>
      </w:r>
      <w:r w:rsidR="007F5F6F">
        <w:rPr>
          <w:rFonts w:ascii="Times New Roman" w:hAnsi="Times New Roman"/>
          <w:b/>
          <w:sz w:val="22"/>
          <w:szCs w:val="22"/>
        </w:rPr>
        <w:t>9</w:t>
      </w:r>
      <w:r w:rsidRPr="000C12B4">
        <w:rPr>
          <w:rFonts w:ascii="Times New Roman" w:hAnsi="Times New Roman"/>
          <w:b/>
          <w:sz w:val="22"/>
          <w:szCs w:val="22"/>
        </w:rPr>
        <w:t>-</w:t>
      </w:r>
      <w:r w:rsidR="00A44236">
        <w:rPr>
          <w:rFonts w:ascii="Times New Roman" w:hAnsi="Times New Roman"/>
          <w:b/>
          <w:sz w:val="22"/>
          <w:szCs w:val="22"/>
        </w:rPr>
        <w:t>791</w:t>
      </w:r>
    </w:p>
    <w:p w:rsidR="009D0E9A" w:rsidRPr="000C12B4" w:rsidP="000C12B4">
      <w:pPr>
        <w:jc w:val="right"/>
        <w:rPr>
          <w:rFonts w:ascii="Times New Roman" w:hAnsi="Times New Roman"/>
          <w:b/>
          <w:sz w:val="22"/>
          <w:szCs w:val="22"/>
        </w:rPr>
      </w:pPr>
      <w:r>
        <w:rPr>
          <w:rFonts w:ascii="Times New Roman" w:hAnsi="Times New Roman"/>
          <w:b/>
          <w:sz w:val="22"/>
          <w:szCs w:val="22"/>
        </w:rPr>
        <w:t xml:space="preserve">August </w:t>
      </w:r>
      <w:r w:rsidR="00A44236">
        <w:rPr>
          <w:rFonts w:ascii="Times New Roman" w:hAnsi="Times New Roman"/>
          <w:b/>
          <w:sz w:val="22"/>
          <w:szCs w:val="22"/>
        </w:rPr>
        <w:t>21</w:t>
      </w:r>
      <w:r w:rsidRPr="000C12B4">
        <w:rPr>
          <w:rFonts w:ascii="Times New Roman" w:hAnsi="Times New Roman"/>
          <w:b/>
          <w:sz w:val="22"/>
          <w:szCs w:val="22"/>
        </w:rPr>
        <w:t>, 201</w:t>
      </w:r>
      <w:r w:rsidR="007F5F6F">
        <w:rPr>
          <w:rFonts w:ascii="Times New Roman" w:hAnsi="Times New Roman"/>
          <w:b/>
          <w:sz w:val="22"/>
          <w:szCs w:val="22"/>
        </w:rPr>
        <w:t>9</w:t>
      </w: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rsidR="006818F1" w:rsidP="006818F1">
      <w:pPr>
        <w:pStyle w:val="Heading3"/>
        <w:rPr>
          <w:sz w:val="22"/>
          <w:szCs w:val="22"/>
        </w:rPr>
      </w:pPr>
      <w:r>
        <w:rPr>
          <w:sz w:val="22"/>
          <w:szCs w:val="22"/>
        </w:rPr>
        <w:t xml:space="preserve">REGION 34 </w:t>
      </w:r>
      <w:r w:rsidRPr="00295691">
        <w:rPr>
          <w:sz w:val="22"/>
          <w:szCs w:val="22"/>
        </w:rPr>
        <w:t xml:space="preserve">(OKLAHOMA) </w:t>
      </w:r>
      <w:r>
        <w:rPr>
          <w:sz w:val="22"/>
          <w:szCs w:val="22"/>
        </w:rPr>
        <w:t>REGIONAL PLANNING COMMITTEES</w:t>
      </w:r>
    </w:p>
    <w:p w:rsidR="006818F1" w:rsidP="006818F1">
      <w:pPr>
        <w:pStyle w:val="Heading3"/>
        <w:rPr>
          <w:sz w:val="22"/>
          <w:szCs w:val="22"/>
        </w:rPr>
      </w:pPr>
      <w:r>
        <w:rPr>
          <w:sz w:val="22"/>
          <w:szCs w:val="22"/>
        </w:rPr>
        <w:t xml:space="preserve"> TO HOLD 700 MHZ AND 800 MHZ MEETINGS</w:t>
      </w:r>
    </w:p>
    <w:p w:rsidR="006F12CB" w:rsidRPr="006F12CB" w:rsidP="006F12CB"/>
    <w:p w:rsidR="00D658ED" w:rsidRPr="00D658ED" w:rsidP="00D658ED">
      <w:pPr>
        <w:widowControl/>
        <w:jc w:val="center"/>
        <w:rPr>
          <w:rFonts w:ascii="Times New Roman" w:hAnsi="Times New Roman"/>
          <w:b/>
          <w:snapToGrid/>
          <w:sz w:val="22"/>
          <w:szCs w:val="22"/>
        </w:rPr>
      </w:pPr>
      <w:r w:rsidRPr="00D658ED">
        <w:rPr>
          <w:rFonts w:ascii="Times New Roman" w:hAnsi="Times New Roman"/>
          <w:b/>
          <w:snapToGrid/>
          <w:sz w:val="22"/>
          <w:szCs w:val="22"/>
        </w:rPr>
        <w:t>PR Docket No. 93-78 and WT Docket 02-378</w:t>
      </w:r>
      <w:bookmarkStart w:id="1" w:name="_GoBack"/>
      <w:bookmarkEnd w:id="1"/>
    </w:p>
    <w:p w:rsidR="00D658ED" w:rsidRPr="00D658ED" w:rsidP="00D658ED">
      <w:pPr>
        <w:widowControl/>
        <w:jc w:val="center"/>
        <w:rPr>
          <w:rFonts w:ascii="Times New Roman" w:hAnsi="Times New Roman"/>
          <w:b/>
          <w:snapToGrid/>
          <w:sz w:val="22"/>
          <w:szCs w:val="22"/>
        </w:rPr>
      </w:pPr>
    </w:p>
    <w:p w:rsidR="007F5F6F" w:rsidP="00D658ED">
      <w:pPr>
        <w:widowControl/>
        <w:ind w:firstLine="720"/>
        <w:rPr>
          <w:rFonts w:ascii="Times New Roman" w:hAnsi="Times New Roman"/>
          <w:snapToGrid/>
          <w:sz w:val="22"/>
          <w:szCs w:val="22"/>
        </w:rPr>
      </w:pPr>
      <w:r w:rsidRPr="00295691">
        <w:rPr>
          <w:rFonts w:ascii="Times New Roman" w:hAnsi="Times New Roman"/>
          <w:snapToGrid/>
          <w:sz w:val="22"/>
          <w:szCs w:val="22"/>
        </w:rPr>
        <w:t>The Region 34 (Oklahoma) Regional Planning Committees (RPCs) will hold two consecutive planning meetings</w:t>
      </w:r>
      <w:r>
        <w:rPr>
          <w:rFonts w:ascii="Times New Roman" w:hAnsi="Times New Roman"/>
          <w:snapToGrid/>
          <w:sz w:val="22"/>
          <w:szCs w:val="22"/>
        </w:rPr>
        <w:t xml:space="preserve"> on</w:t>
      </w:r>
      <w:r w:rsidRPr="00295691">
        <w:rPr>
          <w:rFonts w:ascii="Times New Roman" w:hAnsi="Times New Roman"/>
          <w:snapToGrid/>
          <w:sz w:val="22"/>
          <w:szCs w:val="22"/>
        </w:rPr>
        <w:t xml:space="preserve"> </w:t>
      </w:r>
      <w:r w:rsidRPr="007F5F6F">
        <w:rPr>
          <w:rFonts w:ascii="Times New Roman" w:hAnsi="Times New Roman"/>
          <w:snapToGrid/>
          <w:sz w:val="22"/>
          <w:szCs w:val="22"/>
        </w:rPr>
        <w:t>Monday, October 7</w:t>
      </w:r>
      <w:r>
        <w:rPr>
          <w:rFonts w:ascii="Times New Roman" w:hAnsi="Times New Roman"/>
          <w:snapToGrid/>
          <w:sz w:val="22"/>
          <w:szCs w:val="22"/>
        </w:rPr>
        <w:t xml:space="preserve">, </w:t>
      </w:r>
      <w:r w:rsidRPr="007F5F6F">
        <w:rPr>
          <w:rFonts w:ascii="Times New Roman" w:hAnsi="Times New Roman"/>
          <w:snapToGrid/>
          <w:sz w:val="22"/>
          <w:szCs w:val="22"/>
        </w:rPr>
        <w:t>2019.  Beginning at 10:00 a.m., the 700MHz RPC will convene at the Marriott Tulsa Hotel Southern Hills, Magnolia Room</w:t>
      </w:r>
      <w:r>
        <w:rPr>
          <w:rFonts w:ascii="Times New Roman" w:hAnsi="Times New Roman"/>
          <w:snapToGrid/>
          <w:sz w:val="22"/>
          <w:szCs w:val="22"/>
        </w:rPr>
        <w:t>,</w:t>
      </w:r>
      <w:r w:rsidRPr="007F5F6F">
        <w:rPr>
          <w:rFonts w:ascii="Times New Roman" w:hAnsi="Times New Roman"/>
          <w:snapToGrid/>
          <w:sz w:val="22"/>
          <w:szCs w:val="22"/>
        </w:rPr>
        <w:t xml:space="preserve"> 1902 East 71st Street, Tulsa, OK 74136.</w:t>
      </w:r>
      <w:r>
        <w:rPr>
          <w:rFonts w:ascii="Times New Roman" w:hAnsi="Times New Roman"/>
          <w:snapToGrid/>
          <w:sz w:val="22"/>
          <w:szCs w:val="22"/>
        </w:rPr>
        <w:t xml:space="preserve">  </w:t>
      </w:r>
      <w:r w:rsidRPr="00D658ED">
        <w:rPr>
          <w:rFonts w:ascii="Times New Roman" w:hAnsi="Times New Roman"/>
          <w:snapToGrid/>
          <w:sz w:val="22"/>
          <w:szCs w:val="22"/>
        </w:rPr>
        <w:t xml:space="preserve">Immediately following the </w:t>
      </w:r>
      <w:r>
        <w:rPr>
          <w:rFonts w:ascii="Times New Roman" w:hAnsi="Times New Roman"/>
          <w:snapToGrid/>
          <w:sz w:val="22"/>
          <w:szCs w:val="22"/>
        </w:rPr>
        <w:t>7</w:t>
      </w:r>
      <w:r w:rsidRPr="00D658ED">
        <w:rPr>
          <w:rFonts w:ascii="Times New Roman" w:hAnsi="Times New Roman"/>
          <w:snapToGrid/>
          <w:sz w:val="22"/>
          <w:szCs w:val="22"/>
        </w:rPr>
        <w:t xml:space="preserve">00 MHz RPC meeting, the </w:t>
      </w:r>
      <w:r>
        <w:rPr>
          <w:rFonts w:ascii="Times New Roman" w:hAnsi="Times New Roman"/>
          <w:snapToGrid/>
          <w:sz w:val="22"/>
          <w:szCs w:val="22"/>
        </w:rPr>
        <w:t>8</w:t>
      </w:r>
      <w:r w:rsidRPr="00D658ED">
        <w:rPr>
          <w:rFonts w:ascii="Times New Roman" w:hAnsi="Times New Roman"/>
          <w:snapToGrid/>
          <w:sz w:val="22"/>
          <w:szCs w:val="22"/>
        </w:rPr>
        <w:t>00 MHz RPC will convene at the same location.</w:t>
      </w:r>
    </w:p>
    <w:p w:rsidR="007F5F6F" w:rsidP="00522946">
      <w:pPr>
        <w:widowControl/>
        <w:rPr>
          <w:rFonts w:ascii="Times New Roman" w:hAnsi="Times New Roman"/>
          <w:snapToGrid/>
          <w:sz w:val="22"/>
          <w:szCs w:val="22"/>
        </w:rPr>
      </w:pPr>
    </w:p>
    <w:p w:rsidR="00D658ED" w:rsidRPr="00D658ED" w:rsidP="00D658ED">
      <w:pPr>
        <w:widowControl/>
        <w:ind w:firstLine="720"/>
        <w:rPr>
          <w:rFonts w:ascii="Times New Roman" w:hAnsi="Times New Roman"/>
          <w:snapToGrid/>
          <w:sz w:val="22"/>
          <w:szCs w:val="22"/>
        </w:rPr>
      </w:pPr>
      <w:r w:rsidRPr="00D658ED">
        <w:rPr>
          <w:rFonts w:ascii="Times New Roman" w:hAnsi="Times New Roman"/>
          <w:snapToGrid/>
          <w:sz w:val="22"/>
          <w:szCs w:val="22"/>
        </w:rPr>
        <w:t xml:space="preserve">The agenda for </w:t>
      </w:r>
      <w:r w:rsidR="007F5F6F">
        <w:rPr>
          <w:rFonts w:ascii="Times New Roman" w:hAnsi="Times New Roman"/>
          <w:snapToGrid/>
          <w:sz w:val="22"/>
          <w:szCs w:val="22"/>
        </w:rPr>
        <w:t xml:space="preserve">both </w:t>
      </w:r>
      <w:r w:rsidRPr="00D658ED">
        <w:rPr>
          <w:rFonts w:ascii="Times New Roman" w:hAnsi="Times New Roman"/>
          <w:snapToGrid/>
          <w:sz w:val="22"/>
          <w:szCs w:val="22"/>
        </w:rPr>
        <w:t>meeting</w:t>
      </w:r>
      <w:r w:rsidR="007F5F6F">
        <w:rPr>
          <w:rFonts w:ascii="Times New Roman" w:hAnsi="Times New Roman"/>
          <w:snapToGrid/>
          <w:sz w:val="22"/>
          <w:szCs w:val="22"/>
        </w:rPr>
        <w:t>s</w:t>
      </w:r>
      <w:r w:rsidRPr="00D658ED">
        <w:rPr>
          <w:rFonts w:ascii="Times New Roman" w:hAnsi="Times New Roman"/>
          <w:snapToGrid/>
          <w:sz w:val="22"/>
          <w:szCs w:val="22"/>
        </w:rPr>
        <w:t xml:space="preserve"> </w:t>
      </w:r>
      <w:r w:rsidRPr="00D658ED" w:rsidR="007F5F6F">
        <w:rPr>
          <w:rFonts w:ascii="Times New Roman" w:hAnsi="Times New Roman"/>
          <w:snapToGrid/>
          <w:sz w:val="22"/>
          <w:szCs w:val="22"/>
        </w:rPr>
        <w:t>includes</w:t>
      </w:r>
      <w:r w:rsidRPr="00D658ED">
        <w:rPr>
          <w:rFonts w:ascii="Times New Roman" w:hAnsi="Times New Roman"/>
          <w:snapToGrid/>
          <w:sz w:val="22"/>
          <w:szCs w:val="22"/>
        </w:rPr>
        <w:t>:</w:t>
      </w:r>
    </w:p>
    <w:p w:rsidR="00295691" w:rsidRPr="00295691" w:rsidP="00295691">
      <w:pPr>
        <w:widowControl/>
        <w:numPr>
          <w:ilvl w:val="0"/>
          <w:numId w:val="32"/>
        </w:numPr>
        <w:tabs>
          <w:tab w:val="num" w:pos="720"/>
          <w:tab w:val="clear" w:pos="1080"/>
        </w:tabs>
        <w:rPr>
          <w:rFonts w:ascii="Times New Roman" w:hAnsi="Times New Roman"/>
          <w:snapToGrid/>
          <w:sz w:val="22"/>
          <w:szCs w:val="22"/>
        </w:rPr>
      </w:pPr>
      <w:r w:rsidRPr="00295691">
        <w:rPr>
          <w:rFonts w:ascii="Times New Roman" w:hAnsi="Times New Roman"/>
          <w:snapToGrid/>
          <w:sz w:val="22"/>
          <w:szCs w:val="22"/>
        </w:rPr>
        <w:t>Call to Order – Scott Walsh</w:t>
      </w:r>
    </w:p>
    <w:p w:rsidR="00295691" w:rsidRPr="00295691" w:rsidP="00295691">
      <w:pPr>
        <w:widowControl/>
        <w:numPr>
          <w:ilvl w:val="0"/>
          <w:numId w:val="32"/>
        </w:numPr>
        <w:tabs>
          <w:tab w:val="num" w:pos="720"/>
          <w:tab w:val="clear" w:pos="1080"/>
        </w:tabs>
        <w:rPr>
          <w:rFonts w:ascii="Times New Roman" w:hAnsi="Times New Roman"/>
          <w:snapToGrid/>
          <w:sz w:val="22"/>
          <w:szCs w:val="22"/>
        </w:rPr>
      </w:pPr>
      <w:r w:rsidRPr="00295691">
        <w:rPr>
          <w:rFonts w:ascii="Times New Roman" w:hAnsi="Times New Roman"/>
          <w:snapToGrid/>
          <w:sz w:val="22"/>
          <w:szCs w:val="22"/>
        </w:rPr>
        <w:t>Old Business</w:t>
      </w:r>
    </w:p>
    <w:p w:rsidR="00295691" w:rsidRPr="00295691" w:rsidP="00295691">
      <w:pPr>
        <w:widowControl/>
        <w:numPr>
          <w:ilvl w:val="0"/>
          <w:numId w:val="32"/>
        </w:numPr>
        <w:tabs>
          <w:tab w:val="num" w:pos="720"/>
          <w:tab w:val="clear" w:pos="1080"/>
        </w:tabs>
        <w:rPr>
          <w:rFonts w:ascii="Times New Roman" w:hAnsi="Times New Roman"/>
          <w:snapToGrid/>
          <w:sz w:val="22"/>
          <w:szCs w:val="22"/>
        </w:rPr>
      </w:pPr>
      <w:r w:rsidRPr="00295691">
        <w:rPr>
          <w:rFonts w:ascii="Times New Roman" w:hAnsi="Times New Roman"/>
          <w:snapToGrid/>
          <w:sz w:val="22"/>
          <w:szCs w:val="22"/>
        </w:rPr>
        <w:t>New Business</w:t>
      </w:r>
    </w:p>
    <w:p w:rsidR="00295691" w:rsidRPr="00295691" w:rsidP="00295691">
      <w:pPr>
        <w:widowControl/>
        <w:numPr>
          <w:ilvl w:val="0"/>
          <w:numId w:val="32"/>
        </w:numPr>
        <w:tabs>
          <w:tab w:val="num" w:pos="720"/>
          <w:tab w:val="clear" w:pos="1080"/>
        </w:tabs>
        <w:rPr>
          <w:rFonts w:ascii="Times New Roman" w:hAnsi="Times New Roman"/>
          <w:snapToGrid/>
          <w:sz w:val="22"/>
          <w:szCs w:val="22"/>
        </w:rPr>
      </w:pPr>
      <w:r w:rsidRPr="00295691">
        <w:rPr>
          <w:rFonts w:ascii="Times New Roman" w:hAnsi="Times New Roman"/>
          <w:snapToGrid/>
          <w:sz w:val="22"/>
          <w:szCs w:val="22"/>
        </w:rPr>
        <w:t>Adjourn</w:t>
      </w:r>
    </w:p>
    <w:p w:rsidR="00D658ED" w:rsidRPr="007F5F6F" w:rsidP="00D658ED">
      <w:pPr>
        <w:widowControl/>
        <w:rPr>
          <w:rFonts w:ascii="Times New Roman" w:hAnsi="Times New Roman"/>
          <w:snapToGrid/>
          <w:sz w:val="22"/>
          <w:szCs w:val="22"/>
        </w:rPr>
      </w:pPr>
    </w:p>
    <w:p w:rsidR="00D658ED" w:rsidRPr="00D658ED" w:rsidP="00D658ED">
      <w:pPr>
        <w:ind w:firstLine="720"/>
        <w:rPr>
          <w:rFonts w:ascii="Times New Roman" w:hAnsi="Times New Roman"/>
          <w:sz w:val="22"/>
          <w:szCs w:val="22"/>
        </w:rPr>
      </w:pPr>
      <w:r w:rsidRPr="00D658ED">
        <w:rPr>
          <w:rFonts w:ascii="Times New Roman" w:hAnsi="Times New Roman"/>
          <w:sz w:val="22"/>
          <w:szCs w:val="22"/>
        </w:rPr>
        <w:t>Both Region 3</w:t>
      </w:r>
      <w:r>
        <w:rPr>
          <w:rFonts w:ascii="Times New Roman" w:hAnsi="Times New Roman"/>
          <w:sz w:val="22"/>
          <w:szCs w:val="22"/>
        </w:rPr>
        <w:t>4 RPC</w:t>
      </w:r>
      <w:r w:rsidRPr="00D658ED">
        <w:rPr>
          <w:rFonts w:ascii="Times New Roman" w:hAnsi="Times New Roman"/>
          <w:sz w:val="22"/>
          <w:szCs w:val="22"/>
        </w:rPr>
        <w:t xml:space="preserve"> meetings are open to the public.  All eligible public safety providers in Region 3</w:t>
      </w:r>
      <w:r>
        <w:rPr>
          <w:rFonts w:ascii="Times New Roman" w:hAnsi="Times New Roman"/>
          <w:sz w:val="22"/>
          <w:szCs w:val="22"/>
        </w:rPr>
        <w:t>4</w:t>
      </w:r>
      <w:r w:rsidRPr="00D658ED">
        <w:rPr>
          <w:rFonts w:ascii="Times New Roman" w:hAnsi="Times New Roman"/>
          <w:sz w:val="22"/>
          <w:szCs w:val="22"/>
        </w:rPr>
        <w:t xml:space="preserve">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6940F9" w:rsidP="00D658ED">
      <w:pPr>
        <w:ind w:firstLine="720"/>
        <w:rPr>
          <w:rFonts w:ascii="Times New Roman" w:hAnsi="Times New Roman"/>
          <w:sz w:val="22"/>
          <w:szCs w:val="22"/>
        </w:rPr>
      </w:pPr>
    </w:p>
    <w:p w:rsidR="00D658ED" w:rsidRPr="00D658ED" w:rsidP="00D658ED">
      <w:pPr>
        <w:ind w:firstLine="720"/>
        <w:rPr>
          <w:rFonts w:ascii="Times New Roman" w:hAnsi="Times New Roman"/>
          <w:sz w:val="22"/>
          <w:szCs w:val="22"/>
        </w:rPr>
      </w:pPr>
      <w:r w:rsidRPr="00D658ED">
        <w:rPr>
          <w:rFonts w:ascii="Times New Roman" w:hAnsi="Times New Roman"/>
          <w:sz w:val="22"/>
          <w:szCs w:val="22"/>
        </w:rPr>
        <w:t>All interested parties wishing to participate in the planning for the use of public safety spectrum in the 700 MHz, 800 MHz, and 4.9 GHz bands within Region 3</w:t>
      </w:r>
      <w:r>
        <w:rPr>
          <w:rFonts w:ascii="Times New Roman" w:hAnsi="Times New Roman"/>
          <w:sz w:val="22"/>
          <w:szCs w:val="22"/>
        </w:rPr>
        <w:t>4</w:t>
      </w:r>
      <w:r w:rsidRPr="00D658ED">
        <w:rPr>
          <w:rFonts w:ascii="Times New Roman" w:hAnsi="Times New Roman"/>
          <w:sz w:val="22"/>
          <w:szCs w:val="22"/>
        </w:rPr>
        <w:t xml:space="preserve"> should plan to attend.  For further information, please contact:</w:t>
      </w:r>
    </w:p>
    <w:p w:rsidR="00D658ED" w:rsidP="00D658ED">
      <w:pPr>
        <w:ind w:firstLine="720"/>
        <w:rPr>
          <w:rFonts w:ascii="Times New Roman" w:hAnsi="Times New Roman"/>
          <w:sz w:val="22"/>
          <w:szCs w:val="22"/>
        </w:rPr>
      </w:pPr>
    </w:p>
    <w:p w:rsidR="00522946" w:rsidRPr="00522946" w:rsidP="00522946">
      <w:pPr>
        <w:ind w:firstLine="720"/>
        <w:rPr>
          <w:rFonts w:ascii="Times New Roman" w:hAnsi="Times New Roman"/>
          <w:sz w:val="22"/>
          <w:szCs w:val="22"/>
        </w:rPr>
      </w:pPr>
      <w:r w:rsidRPr="00522946">
        <w:rPr>
          <w:rFonts w:ascii="Times New Roman" w:hAnsi="Times New Roman"/>
          <w:sz w:val="22"/>
          <w:szCs w:val="22"/>
        </w:rPr>
        <w:t>Scott Walsh</w:t>
      </w:r>
      <w:r>
        <w:rPr>
          <w:rFonts w:ascii="Times New Roman" w:hAnsi="Times New Roman"/>
          <w:sz w:val="22"/>
          <w:szCs w:val="22"/>
        </w:rPr>
        <w:t xml:space="preserve">, </w:t>
      </w:r>
      <w:r w:rsidRPr="00522946">
        <w:rPr>
          <w:rFonts w:ascii="Times New Roman" w:hAnsi="Times New Roman"/>
          <w:sz w:val="22"/>
          <w:szCs w:val="22"/>
        </w:rPr>
        <w:t>Chairperson</w:t>
      </w:r>
      <w:r>
        <w:rPr>
          <w:rFonts w:ascii="Times New Roman" w:hAnsi="Times New Roman"/>
          <w:sz w:val="22"/>
          <w:szCs w:val="22"/>
        </w:rPr>
        <w:t>/</w:t>
      </w:r>
      <w:r w:rsidRPr="00522946">
        <w:rPr>
          <w:rFonts w:ascii="Times New Roman" w:hAnsi="Times New Roman"/>
          <w:sz w:val="22"/>
          <w:szCs w:val="22"/>
        </w:rPr>
        <w:t>Communications Coordinator</w:t>
      </w:r>
    </w:p>
    <w:p w:rsidR="00522946" w:rsidRPr="00522946" w:rsidP="00522946">
      <w:pPr>
        <w:ind w:firstLine="720"/>
        <w:rPr>
          <w:rFonts w:ascii="Times New Roman" w:hAnsi="Times New Roman"/>
          <w:sz w:val="22"/>
          <w:szCs w:val="22"/>
        </w:rPr>
      </w:pPr>
      <w:r w:rsidRPr="00522946">
        <w:rPr>
          <w:rFonts w:ascii="Times New Roman" w:hAnsi="Times New Roman"/>
          <w:sz w:val="22"/>
          <w:szCs w:val="22"/>
        </w:rPr>
        <w:t>City of Midwest City</w:t>
      </w:r>
    </w:p>
    <w:p w:rsidR="00522946" w:rsidRPr="00522946" w:rsidP="00522946">
      <w:pPr>
        <w:ind w:firstLine="720"/>
        <w:rPr>
          <w:rFonts w:ascii="Times New Roman" w:hAnsi="Times New Roman"/>
          <w:sz w:val="22"/>
          <w:szCs w:val="22"/>
        </w:rPr>
      </w:pPr>
      <w:r w:rsidRPr="00522946">
        <w:rPr>
          <w:rFonts w:ascii="Times New Roman" w:hAnsi="Times New Roman"/>
          <w:sz w:val="22"/>
          <w:szCs w:val="22"/>
        </w:rPr>
        <w:t>100 N. Midwest Blvd</w:t>
      </w:r>
    </w:p>
    <w:p w:rsidR="00522946" w:rsidRPr="00522946" w:rsidP="00522946">
      <w:pPr>
        <w:ind w:firstLine="720"/>
        <w:rPr>
          <w:rFonts w:ascii="Times New Roman" w:hAnsi="Times New Roman"/>
          <w:sz w:val="22"/>
          <w:szCs w:val="22"/>
        </w:rPr>
      </w:pPr>
      <w:r w:rsidRPr="00522946">
        <w:rPr>
          <w:rFonts w:ascii="Times New Roman" w:hAnsi="Times New Roman"/>
          <w:sz w:val="22"/>
          <w:szCs w:val="22"/>
        </w:rPr>
        <w:t>Midwest City, OK 73110</w:t>
      </w:r>
    </w:p>
    <w:p w:rsidR="00522946" w:rsidRPr="00522946" w:rsidP="00522946">
      <w:pPr>
        <w:ind w:firstLine="720"/>
        <w:rPr>
          <w:rFonts w:ascii="Times New Roman" w:hAnsi="Times New Roman"/>
          <w:sz w:val="22"/>
          <w:szCs w:val="22"/>
        </w:rPr>
      </w:pPr>
      <w:r>
        <w:rPr>
          <w:rFonts w:ascii="Times New Roman" w:hAnsi="Times New Roman"/>
          <w:sz w:val="22"/>
          <w:szCs w:val="22"/>
        </w:rPr>
        <w:t xml:space="preserve">Office: </w:t>
      </w:r>
      <w:r w:rsidRPr="00522946">
        <w:rPr>
          <w:rFonts w:ascii="Times New Roman" w:hAnsi="Times New Roman"/>
          <w:sz w:val="22"/>
          <w:szCs w:val="22"/>
        </w:rPr>
        <w:t>405</w:t>
      </w:r>
      <w:r>
        <w:rPr>
          <w:rFonts w:ascii="Times New Roman" w:hAnsi="Times New Roman"/>
          <w:sz w:val="22"/>
          <w:szCs w:val="22"/>
        </w:rPr>
        <w:t>-</w:t>
      </w:r>
      <w:r w:rsidRPr="00522946">
        <w:rPr>
          <w:rFonts w:ascii="Times New Roman" w:hAnsi="Times New Roman"/>
          <w:sz w:val="22"/>
          <w:szCs w:val="22"/>
        </w:rPr>
        <w:t>739</w:t>
      </w:r>
      <w:r>
        <w:rPr>
          <w:rFonts w:ascii="Times New Roman" w:hAnsi="Times New Roman"/>
          <w:sz w:val="22"/>
          <w:szCs w:val="22"/>
        </w:rPr>
        <w:t>-</w:t>
      </w:r>
      <w:r w:rsidRPr="00522946">
        <w:rPr>
          <w:rFonts w:ascii="Times New Roman" w:hAnsi="Times New Roman"/>
          <w:sz w:val="22"/>
          <w:szCs w:val="22"/>
        </w:rPr>
        <w:t>1372</w:t>
      </w:r>
    </w:p>
    <w:p w:rsidR="00522946" w:rsidP="006E6136">
      <w:pPr>
        <w:ind w:firstLine="720"/>
        <w:rPr>
          <w:rFonts w:ascii="Times New Roman" w:hAnsi="Times New Roman"/>
          <w:sz w:val="22"/>
          <w:szCs w:val="22"/>
        </w:rPr>
      </w:pPr>
    </w:p>
    <w:p w:rsidR="008F0FDC" w:rsidP="007F5F6F">
      <w:pPr>
        <w:ind w:firstLine="720"/>
        <w:jc w:val="center"/>
        <w:rPr>
          <w:rFonts w:ascii="Times New Roman" w:hAnsi="Times New Roman"/>
          <w:snapToGrid/>
          <w:sz w:val="22"/>
          <w:szCs w:val="22"/>
        </w:rPr>
      </w:pPr>
    </w:p>
    <w:p w:rsidR="00E277F2" w:rsidRPr="007F5F6F" w:rsidP="007F5F6F">
      <w:pPr>
        <w:ind w:firstLine="720"/>
        <w:jc w:val="center"/>
        <w:rPr>
          <w:rFonts w:ascii="Times New Roman" w:hAnsi="Times New Roman"/>
          <w:sz w:val="22"/>
          <w:szCs w:val="22"/>
        </w:rPr>
      </w:pPr>
      <w:r w:rsidRPr="00E277F2">
        <w:rPr>
          <w:rFonts w:ascii="Times New Roman" w:hAnsi="Times New Roman"/>
          <w:snapToGrid/>
          <w:sz w:val="22"/>
          <w:szCs w:val="22"/>
        </w:rPr>
        <w:t>- FCC -</w:t>
      </w:r>
    </w:p>
    <w:sectPr w:rsidSect="007F5F6F">
      <w:type w:val="continuous"/>
      <w:pgSz w:w="12240" w:h="15840"/>
      <w:pgMar w:top="1440" w:right="1440" w:bottom="432"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82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38265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82674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382658"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2658" w:rsidRPr="00B530AC" w:rsidP="0076498C">
                          <w:pPr>
                            <w:rPr>
                              <w:rFonts w:ascii="Arial" w:hAnsi="Arial"/>
                              <w:b/>
                              <w:sz w:val="22"/>
                              <w:szCs w:val="22"/>
                            </w:rPr>
                          </w:pPr>
                          <w:r w:rsidRPr="00B530AC">
                            <w:rPr>
                              <w:rFonts w:ascii="Arial" w:hAnsi="Arial"/>
                              <w:b/>
                              <w:sz w:val="22"/>
                              <w:szCs w:val="22"/>
                            </w:rPr>
                            <w:t>Federal Communications Commission</w:t>
                          </w:r>
                        </w:p>
                        <w:p w:rsidR="00382658"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382658"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382658" w:rsidRPr="00B530AC" w:rsidP="0076498C">
                    <w:pPr>
                      <w:rPr>
                        <w:rFonts w:ascii="Arial" w:hAnsi="Arial"/>
                        <w:b/>
                        <w:sz w:val="22"/>
                        <w:szCs w:val="22"/>
                      </w:rPr>
                    </w:pPr>
                    <w:r w:rsidRPr="00B530AC">
                      <w:rPr>
                        <w:rFonts w:ascii="Arial" w:hAnsi="Arial"/>
                        <w:b/>
                        <w:sz w:val="22"/>
                        <w:szCs w:val="22"/>
                      </w:rPr>
                      <w:t>Federal Communications Commission</w:t>
                    </w:r>
                  </w:p>
                  <w:p w:rsidR="00382658"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382658"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2658" w:rsidP="0076498C">
                          <w:pPr>
                            <w:spacing w:before="40"/>
                            <w:jc w:val="right"/>
                            <w:rPr>
                              <w:rFonts w:ascii="Arial" w:hAnsi="Arial"/>
                              <w:b/>
                              <w:sz w:val="16"/>
                            </w:rPr>
                          </w:pPr>
                          <w:r>
                            <w:rPr>
                              <w:rFonts w:ascii="Arial" w:hAnsi="Arial"/>
                              <w:b/>
                              <w:sz w:val="16"/>
                            </w:rPr>
                            <w:t>News Media Information 202 / 418-0500</w:t>
                          </w:r>
                        </w:p>
                        <w:p w:rsidR="00382658"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82658" w:rsidP="0076498C">
                          <w:pPr>
                            <w:jc w:val="right"/>
                            <w:rPr>
                              <w:rFonts w:ascii="Arial" w:hAnsi="Arial"/>
                              <w:b/>
                              <w:sz w:val="16"/>
                            </w:rPr>
                          </w:pPr>
                          <w:r>
                            <w:rPr>
                              <w:rFonts w:ascii="Arial" w:hAnsi="Arial"/>
                              <w:b/>
                              <w:sz w:val="16"/>
                            </w:rPr>
                            <w:t>TTY: 1-888-835-5322</w:t>
                          </w:r>
                        </w:p>
                        <w:p w:rsidR="00382658"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82658" w:rsidP="0076498C">
                    <w:pPr>
                      <w:spacing w:before="40"/>
                      <w:jc w:val="right"/>
                      <w:rPr>
                        <w:rFonts w:ascii="Arial" w:hAnsi="Arial"/>
                        <w:b/>
                        <w:sz w:val="16"/>
                      </w:rPr>
                    </w:pPr>
                    <w:r>
                      <w:rPr>
                        <w:rFonts w:ascii="Arial" w:hAnsi="Arial"/>
                        <w:b/>
                        <w:sz w:val="16"/>
                      </w:rPr>
                      <w:t>News Media Information 202 / 418-0500</w:t>
                    </w:r>
                  </w:p>
                  <w:p w:rsidR="00382658"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82658" w:rsidP="0076498C">
                    <w:pPr>
                      <w:jc w:val="right"/>
                      <w:rPr>
                        <w:rFonts w:ascii="Arial" w:hAnsi="Arial"/>
                        <w:b/>
                        <w:sz w:val="16"/>
                      </w:rPr>
                    </w:pPr>
                    <w:r>
                      <w:rPr>
                        <w:rFonts w:ascii="Arial" w:hAnsi="Arial"/>
                        <w:b/>
                        <w:sz w:val="16"/>
                      </w:rPr>
                      <w:t>TTY: 1-888-835-5322</w:t>
                    </w:r>
                  </w:p>
                  <w:p w:rsidR="00382658" w:rsidP="0076498C">
                    <w:pPr>
                      <w:jc w:val="right"/>
                    </w:pPr>
                  </w:p>
                </w:txbxContent>
              </v:textbox>
            </v:shape>
          </w:pict>
        </mc:Fallback>
      </mc:AlternateContent>
    </w:r>
  </w:p>
  <w:p w:rsidR="00382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AEF7D2D"/>
    <w:multiLevelType w:val="hybridMultilevel"/>
    <w:tmpl w:val="F22C10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C0946C8"/>
    <w:multiLevelType w:val="hybridMultilevel"/>
    <w:tmpl w:val="194CEAC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2531F7B"/>
    <w:multiLevelType w:val="multilevel"/>
    <w:tmpl w:val="54AEEC44"/>
    <w:lvl w:ilvl="0">
      <w:start w:val="1"/>
      <w:numFmt w:val="bullet"/>
      <w:lvlText w:val=""/>
      <w:lvlJc w:val="left"/>
      <w:pPr>
        <w:tabs>
          <w:tab w:val="num" w:pos="1080"/>
        </w:tabs>
        <w:ind w:left="1080" w:hanging="36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0">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6"/>
  </w:num>
  <w:num w:numId="4">
    <w:abstractNumId w:val="27"/>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5"/>
  </w:num>
  <w:num w:numId="13">
    <w:abstractNumId w:val="7"/>
  </w:num>
  <w:num w:numId="14">
    <w:abstractNumId w:val="0"/>
  </w:num>
  <w:num w:numId="15">
    <w:abstractNumId w:val="30"/>
  </w:num>
  <w:num w:numId="16">
    <w:abstractNumId w:val="2"/>
  </w:num>
  <w:num w:numId="17">
    <w:abstractNumId w:val="28"/>
  </w:num>
  <w:num w:numId="18">
    <w:abstractNumId w:val="6"/>
  </w:num>
  <w:num w:numId="19">
    <w:abstractNumId w:val="31"/>
  </w:num>
  <w:num w:numId="20">
    <w:abstractNumId w:val="22"/>
  </w:num>
  <w:num w:numId="21">
    <w:abstractNumId w:val="3"/>
  </w:num>
  <w:num w:numId="22">
    <w:abstractNumId w:val="4"/>
  </w:num>
  <w:num w:numId="23">
    <w:abstractNumId w:val="9"/>
  </w:num>
  <w:num w:numId="24">
    <w:abstractNumId w:val="1"/>
  </w:num>
  <w:num w:numId="25">
    <w:abstractNumId w:val="15"/>
  </w:num>
  <w:num w:numId="26">
    <w:abstractNumId w:val="18"/>
  </w:num>
  <w:num w:numId="27">
    <w:abstractNumId w:val="26"/>
  </w:num>
  <w:num w:numId="28">
    <w:abstractNumId w:val="5"/>
  </w:num>
  <w:num w:numId="29">
    <w:abstractNumId w:val="11"/>
  </w:num>
  <w:num w:numId="30">
    <w:abstractNumId w:val="23"/>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F6F"/>
    <w:rsid w:val="000C12B4"/>
    <w:rsid w:val="00295691"/>
    <w:rsid w:val="002E0A56"/>
    <w:rsid w:val="00382658"/>
    <w:rsid w:val="00414B74"/>
    <w:rsid w:val="00522946"/>
    <w:rsid w:val="006818F1"/>
    <w:rsid w:val="006940F9"/>
    <w:rsid w:val="006E6136"/>
    <w:rsid w:val="006F12CB"/>
    <w:rsid w:val="006F63A0"/>
    <w:rsid w:val="0076498C"/>
    <w:rsid w:val="007F5F6F"/>
    <w:rsid w:val="00804ED0"/>
    <w:rsid w:val="008F0FDC"/>
    <w:rsid w:val="00961500"/>
    <w:rsid w:val="009D0E9A"/>
    <w:rsid w:val="00A44236"/>
    <w:rsid w:val="00B530AC"/>
    <w:rsid w:val="00C35895"/>
    <w:rsid w:val="00D658ED"/>
    <w:rsid w:val="00E277F2"/>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8ED"/>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451263"/>
    <w:rPr>
      <w:color w:val="2B579A"/>
      <w:shd w:val="clear" w:color="auto" w:fill="E6E6E6"/>
    </w:rPr>
  </w:style>
  <w:style w:type="character" w:customStyle="1" w:styleId="UnresolvedMention1">
    <w:name w:val="Unresolved Mention1"/>
    <w:basedOn w:val="DefaultParagraphFont"/>
    <w:rsid w:val="006E61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