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0B5D" w:rsidRPr="001A5A5B" w:rsidP="00EF0B5D">
      <w:pPr>
        <w:jc w:val="right"/>
        <w:rPr>
          <w:b/>
          <w:szCs w:val="22"/>
        </w:rPr>
      </w:pPr>
      <w:bookmarkStart w:id="0" w:name="_GoBack"/>
      <w:bookmarkEnd w:id="0"/>
      <w:r w:rsidRPr="001A5A5B">
        <w:rPr>
          <w:b/>
          <w:szCs w:val="22"/>
        </w:rPr>
        <w:t>DA 19-</w:t>
      </w:r>
      <w:r w:rsidR="00502301">
        <w:rPr>
          <w:b/>
          <w:szCs w:val="22"/>
        </w:rPr>
        <w:t>792</w:t>
      </w:r>
    </w:p>
    <w:p w:rsidR="00EF0B5D" w:rsidRPr="001A5A5B" w:rsidP="00EF0B5D">
      <w:pPr>
        <w:jc w:val="right"/>
        <w:rPr>
          <w:b/>
          <w:szCs w:val="22"/>
        </w:rPr>
      </w:pPr>
      <w:r w:rsidRPr="001A5A5B">
        <w:rPr>
          <w:b/>
          <w:szCs w:val="22"/>
        </w:rPr>
        <w:t>Released:  August 2</w:t>
      </w:r>
      <w:r w:rsidR="00502301">
        <w:rPr>
          <w:b/>
          <w:szCs w:val="22"/>
        </w:rPr>
        <w:t>1</w:t>
      </w:r>
      <w:r w:rsidRPr="001A5A5B">
        <w:rPr>
          <w:b/>
          <w:szCs w:val="22"/>
        </w:rPr>
        <w:t>, 2019</w:t>
      </w:r>
    </w:p>
    <w:p w:rsidR="00EF0B5D" w:rsidRPr="001A5A5B" w:rsidP="00EF0B5D">
      <w:pPr>
        <w:jc w:val="right"/>
        <w:rPr>
          <w:szCs w:val="22"/>
        </w:rPr>
      </w:pPr>
    </w:p>
    <w:p w:rsidR="00EF0B5D" w:rsidRPr="001F3EEB" w:rsidP="00EF0B5D">
      <w:pPr>
        <w:spacing w:after="240"/>
        <w:jc w:val="center"/>
        <w:rPr>
          <w:b/>
          <w:caps/>
          <w:szCs w:val="22"/>
        </w:rPr>
      </w:pPr>
      <w:r w:rsidRPr="001F3EEB">
        <w:rPr>
          <w:b/>
          <w:caps/>
          <w:szCs w:val="22"/>
        </w:rPr>
        <w:t xml:space="preserve">Number of generic license Blocks available in INCENTIVE AUCTION </w:t>
      </w:r>
      <w:r>
        <w:rPr>
          <w:b/>
          <w:caps/>
          <w:szCs w:val="22"/>
        </w:rPr>
        <w:br/>
      </w:r>
      <w:r w:rsidRPr="001F3EEB">
        <w:rPr>
          <w:b/>
          <w:caps/>
          <w:szCs w:val="22"/>
        </w:rPr>
        <w:t xml:space="preserve">OF UPPER MICROWAVE FLEXIBLE USE SERVICE LICENSES IN the </w:t>
      </w:r>
      <w:r>
        <w:rPr>
          <w:b/>
          <w:caps/>
          <w:szCs w:val="22"/>
        </w:rPr>
        <w:t xml:space="preserve">UPPER </w:t>
      </w:r>
      <w:r w:rsidRPr="001F3EEB">
        <w:rPr>
          <w:b/>
          <w:caps/>
          <w:szCs w:val="22"/>
        </w:rPr>
        <w:t>37 ghZ, 39</w:t>
      </w:r>
      <w:r>
        <w:rPr>
          <w:b/>
          <w:caps/>
          <w:szCs w:val="22"/>
        </w:rPr>
        <w:t> </w:t>
      </w:r>
      <w:r w:rsidRPr="001F3EEB">
        <w:rPr>
          <w:b/>
          <w:caps/>
          <w:szCs w:val="22"/>
        </w:rPr>
        <w:t>ghZ, AND 47 ghZ BANDS</w:t>
      </w:r>
      <w:r>
        <w:rPr>
          <w:b/>
          <w:caps/>
          <w:szCs w:val="22"/>
        </w:rPr>
        <w:t xml:space="preserve"> </w:t>
      </w:r>
      <w:r w:rsidRPr="001F3EEB">
        <w:rPr>
          <w:b/>
          <w:caps/>
          <w:szCs w:val="22"/>
        </w:rPr>
        <w:t>(Auction 103)</w:t>
      </w:r>
    </w:p>
    <w:p w:rsidR="00EF0B5D" w:rsidRPr="001F3EEB" w:rsidP="00EF0B5D">
      <w:pPr>
        <w:jc w:val="center"/>
        <w:rPr>
          <w:b/>
          <w:szCs w:val="22"/>
        </w:rPr>
      </w:pPr>
      <w:r w:rsidRPr="001F3EEB">
        <w:rPr>
          <w:b/>
          <w:szCs w:val="22"/>
        </w:rPr>
        <w:t>GN Docket No. 14-177</w:t>
      </w:r>
    </w:p>
    <w:p w:rsidR="00EF0B5D" w:rsidRPr="001F3EEB" w:rsidP="00EF0B5D">
      <w:pPr>
        <w:jc w:val="center"/>
        <w:rPr>
          <w:b/>
          <w:szCs w:val="22"/>
        </w:rPr>
      </w:pPr>
      <w:r w:rsidRPr="001F3EEB">
        <w:rPr>
          <w:b/>
          <w:szCs w:val="22"/>
        </w:rPr>
        <w:t xml:space="preserve">AU Docket No. </w:t>
      </w:r>
      <w:r w:rsidRPr="001F3EEB">
        <w:rPr>
          <w:b/>
          <w:szCs w:val="22"/>
        </w:rPr>
        <w:t>19-59</w:t>
      </w:r>
    </w:p>
    <w:p w:rsidR="00EF0B5D" w:rsidRPr="001F3EEB" w:rsidP="00EF0B5D">
      <w:pPr>
        <w:ind w:firstLine="720"/>
        <w:rPr>
          <w:szCs w:val="22"/>
        </w:rPr>
      </w:pPr>
    </w:p>
    <w:p w:rsidR="00EF0B5D" w:rsidRPr="001F3EEB" w:rsidP="00EF0B5D">
      <w:pPr>
        <w:spacing w:after="120"/>
        <w:ind w:firstLine="720"/>
        <w:rPr>
          <w:szCs w:val="22"/>
        </w:rPr>
      </w:pPr>
      <w:r w:rsidRPr="001F3EEB">
        <w:rPr>
          <w:szCs w:val="22"/>
        </w:rPr>
        <w:t xml:space="preserve">Pursuant to the </w:t>
      </w:r>
      <w:r w:rsidRPr="001F3EEB">
        <w:rPr>
          <w:i/>
          <w:szCs w:val="22"/>
        </w:rPr>
        <w:t xml:space="preserve">Notice of Updated 39 GHz Reconfiguration Procedures </w:t>
      </w:r>
      <w:r w:rsidRPr="001F3EEB">
        <w:rPr>
          <w:szCs w:val="22"/>
        </w:rPr>
        <w:t xml:space="preserve">and the </w:t>
      </w:r>
      <w:r w:rsidRPr="001F3EEB">
        <w:rPr>
          <w:i/>
          <w:szCs w:val="22"/>
        </w:rPr>
        <w:t>Auction 103 Procedures Public Notice</w:t>
      </w:r>
      <w:r w:rsidRPr="001F3EEB">
        <w:rPr>
          <w:szCs w:val="22"/>
        </w:rPr>
        <w:t xml:space="preserve">, the Wireless Telecommunications Bureau, in cooperation with the Office of Economics and Analytics, announces the number of generic </w:t>
      </w:r>
      <w:r w:rsidRPr="0045433F">
        <w:rPr>
          <w:szCs w:val="22"/>
        </w:rPr>
        <w:t>100-</w:t>
      </w:r>
      <w:r w:rsidRPr="0045433F">
        <w:rPr>
          <w:szCs w:val="22"/>
        </w:rPr>
        <w:t xml:space="preserve">megahertz </w:t>
      </w:r>
      <w:r w:rsidRPr="001F3EEB">
        <w:rPr>
          <w:szCs w:val="22"/>
        </w:rPr>
        <w:t>license blocks in the Upper 37 and 39 GHz bands in each Partial Economic Area (PEA) that will be available in Auction 103.</w:t>
      </w:r>
      <w:r>
        <w:rPr>
          <w:rStyle w:val="FootnoteReference"/>
          <w:szCs w:val="22"/>
        </w:rPr>
        <w:footnoteReference w:id="3"/>
      </w:r>
      <w:r>
        <w:rPr>
          <w:szCs w:val="22"/>
        </w:rPr>
        <w:t xml:space="preserve">  </w:t>
      </w:r>
    </w:p>
    <w:p w:rsidR="00EF0B5D" w:rsidP="00EF0B5D">
      <w:pPr>
        <w:spacing w:after="120"/>
        <w:ind w:firstLine="720"/>
        <w:rPr>
          <w:szCs w:val="22"/>
        </w:rPr>
      </w:pPr>
      <w:r w:rsidRPr="001F3EEB">
        <w:rPr>
          <w:szCs w:val="22"/>
        </w:rPr>
        <w:t xml:space="preserve">In Auction 103, bidders will indicate their demands for a number of generic license blocks in specific categories and </w:t>
      </w:r>
      <w:r w:rsidR="00D20B04">
        <w:rPr>
          <w:szCs w:val="22"/>
        </w:rPr>
        <w:t>PEA</w:t>
      </w:r>
      <w:r w:rsidRPr="001F3EEB">
        <w:rPr>
          <w:szCs w:val="22"/>
        </w:rPr>
        <w:t>s.</w:t>
      </w:r>
      <w:r>
        <w:rPr>
          <w:rStyle w:val="FootnoteReference"/>
          <w:szCs w:val="22"/>
        </w:rPr>
        <w:footnoteReference w:id="4"/>
      </w:r>
      <w:r w:rsidRPr="001F3EEB">
        <w:rPr>
          <w:szCs w:val="22"/>
        </w:rPr>
        <w:t xml:space="preserve">  In each PEA, bidders may indicate demands for either or both of two categories of generic license blocks, category M/N and category P.</w:t>
      </w:r>
      <w:r>
        <w:rPr>
          <w:rStyle w:val="FootnoteReference"/>
          <w:szCs w:val="22"/>
        </w:rPr>
        <w:footnoteReference w:id="5"/>
      </w:r>
      <w:r w:rsidRPr="001F3EEB">
        <w:rPr>
          <w:szCs w:val="22"/>
        </w:rPr>
        <w:t xml:space="preserve">  Category M/N consists of blocks in 37.6</w:t>
      </w:r>
      <w:r w:rsidRPr="001F3EEB">
        <w:rPr>
          <w:snapToGrid/>
          <w:szCs w:val="22"/>
        </w:rPr>
        <w:t>–</w:t>
      </w:r>
      <w:r w:rsidRPr="001F3EEB">
        <w:rPr>
          <w:szCs w:val="22"/>
        </w:rPr>
        <w:t xml:space="preserve">40 GHz and includes </w:t>
      </w:r>
      <w:r>
        <w:rPr>
          <w:szCs w:val="22"/>
        </w:rPr>
        <w:t>10</w:t>
      </w:r>
      <w:r w:rsidRPr="001F3EEB">
        <w:rPr>
          <w:szCs w:val="22"/>
        </w:rPr>
        <w:t xml:space="preserve"> blocks in the Upper 37 GHz band (Blocks M1</w:t>
      </w:r>
      <w:r w:rsidRPr="0045433F">
        <w:rPr>
          <w:snapToGrid/>
          <w:szCs w:val="22"/>
        </w:rPr>
        <w:t>–</w:t>
      </w:r>
      <w:r w:rsidRPr="006B787E">
        <w:rPr>
          <w:szCs w:val="22"/>
        </w:rPr>
        <w:t>M10) an</w:t>
      </w:r>
      <w:r w:rsidRPr="006B787E">
        <w:rPr>
          <w:szCs w:val="22"/>
        </w:rPr>
        <w:t>d 14 blocks in the 39 GHz band (Blocks N1</w:t>
      </w:r>
      <w:r w:rsidRPr="0045433F">
        <w:rPr>
          <w:snapToGrid/>
          <w:szCs w:val="22"/>
        </w:rPr>
        <w:t>–</w:t>
      </w:r>
      <w:r w:rsidRPr="006B787E">
        <w:rPr>
          <w:szCs w:val="22"/>
        </w:rPr>
        <w:t>N14).</w:t>
      </w:r>
      <w:r>
        <w:rPr>
          <w:rStyle w:val="FootnoteReference"/>
          <w:szCs w:val="22"/>
        </w:rPr>
        <w:footnoteReference w:id="6"/>
      </w:r>
      <w:r w:rsidRPr="006B787E">
        <w:rPr>
          <w:szCs w:val="22"/>
        </w:rPr>
        <w:t xml:space="preserve">  Category P consists of </w:t>
      </w:r>
      <w:r>
        <w:rPr>
          <w:szCs w:val="22"/>
        </w:rPr>
        <w:t>10</w:t>
      </w:r>
      <w:r w:rsidRPr="006B787E">
        <w:rPr>
          <w:szCs w:val="22"/>
        </w:rPr>
        <w:t xml:space="preserve"> blocks in </w:t>
      </w:r>
      <w:r w:rsidRPr="001F3EEB">
        <w:rPr>
          <w:snapToGrid/>
          <w:szCs w:val="22"/>
        </w:rPr>
        <w:t>47.2–48.2 GHz (Blocks P1</w:t>
      </w:r>
      <w:r w:rsidRPr="0045433F">
        <w:rPr>
          <w:snapToGrid/>
          <w:szCs w:val="22"/>
        </w:rPr>
        <w:t>–</w:t>
      </w:r>
      <w:r w:rsidRPr="001F3EEB">
        <w:rPr>
          <w:snapToGrid/>
          <w:szCs w:val="22"/>
        </w:rPr>
        <w:t>P10).</w:t>
      </w:r>
      <w:r w:rsidRPr="006B787E">
        <w:rPr>
          <w:szCs w:val="22"/>
        </w:rPr>
        <w:t xml:space="preserve">  </w:t>
      </w:r>
    </w:p>
    <w:p w:rsidR="00EF0B5D" w:rsidRPr="006B787E" w:rsidP="00EF0B5D">
      <w:pPr>
        <w:spacing w:after="120"/>
        <w:ind w:firstLine="720"/>
        <w:rPr>
          <w:szCs w:val="22"/>
        </w:rPr>
      </w:pPr>
      <w:r>
        <w:rPr>
          <w:szCs w:val="22"/>
        </w:rPr>
        <w:t xml:space="preserve">As explained in the </w:t>
      </w:r>
      <w:r w:rsidRPr="001F3EEB">
        <w:rPr>
          <w:i/>
          <w:szCs w:val="22"/>
        </w:rPr>
        <w:t>Auction 103 Procedures Public Notice</w:t>
      </w:r>
      <w:r w:rsidRPr="001F3EEB">
        <w:rPr>
          <w:szCs w:val="22"/>
        </w:rPr>
        <w:t xml:space="preserve">, </w:t>
      </w:r>
      <w:r>
        <w:rPr>
          <w:szCs w:val="22"/>
        </w:rPr>
        <w:t xml:space="preserve">the number of Upper 37 GHz and 39 GHz license blocks available for </w:t>
      </w:r>
      <w:r>
        <w:rPr>
          <w:szCs w:val="22"/>
        </w:rPr>
        <w:t>bidding in each PEA in Auction 103 depends in part upon the Initial Commitments of 39 GHz incumbents either to accept modified licenses or to relinquish all of their existing spectrum usage rights.</w:t>
      </w:r>
      <w:r>
        <w:rPr>
          <w:rStyle w:val="FootnoteReference"/>
          <w:szCs w:val="22"/>
        </w:rPr>
        <w:footnoteReference w:id="7"/>
      </w:r>
      <w:r>
        <w:rPr>
          <w:szCs w:val="22"/>
        </w:rPr>
        <w:t xml:space="preserve">  </w:t>
      </w:r>
      <w:bookmarkStart w:id="1" w:name="_Hlk16848550"/>
      <w:r w:rsidRPr="006B787E">
        <w:rPr>
          <w:szCs w:val="22"/>
        </w:rPr>
        <w:t xml:space="preserve">During the </w:t>
      </w:r>
      <w:r>
        <w:rPr>
          <w:szCs w:val="22"/>
        </w:rPr>
        <w:t>I</w:t>
      </w:r>
      <w:r w:rsidRPr="006B787E">
        <w:rPr>
          <w:szCs w:val="22"/>
        </w:rPr>
        <w:t xml:space="preserve">nitial </w:t>
      </w:r>
      <w:r>
        <w:rPr>
          <w:szCs w:val="22"/>
        </w:rPr>
        <w:t>C</w:t>
      </w:r>
      <w:r w:rsidRPr="006B787E">
        <w:rPr>
          <w:szCs w:val="22"/>
        </w:rPr>
        <w:t>ommitment</w:t>
      </w:r>
      <w:r>
        <w:rPr>
          <w:szCs w:val="22"/>
        </w:rPr>
        <w:t xml:space="preserve"> filing window</w:t>
      </w:r>
      <w:r w:rsidRPr="006B787E">
        <w:rPr>
          <w:szCs w:val="22"/>
        </w:rPr>
        <w:t xml:space="preserve">, </w:t>
      </w:r>
      <w:r>
        <w:rPr>
          <w:szCs w:val="22"/>
        </w:rPr>
        <w:t>which close</w:t>
      </w:r>
      <w:r>
        <w:rPr>
          <w:szCs w:val="22"/>
        </w:rPr>
        <w:t xml:space="preserve">d on August 15, 2019, </w:t>
      </w:r>
      <w:r w:rsidRPr="006B787E">
        <w:rPr>
          <w:szCs w:val="22"/>
        </w:rPr>
        <w:t xml:space="preserve">all 39 GHz </w:t>
      </w:r>
      <w:r>
        <w:rPr>
          <w:szCs w:val="22"/>
        </w:rPr>
        <w:t xml:space="preserve">incumbents </w:t>
      </w:r>
      <w:r w:rsidRPr="006B787E">
        <w:rPr>
          <w:szCs w:val="22"/>
        </w:rPr>
        <w:t>committed to relinquish their 39 GHz licenses.</w:t>
      </w:r>
      <w:bookmarkEnd w:id="1"/>
      <w:r w:rsidRPr="006B787E">
        <w:rPr>
          <w:szCs w:val="22"/>
        </w:rPr>
        <w:t xml:space="preserve">  </w:t>
      </w:r>
      <w:r>
        <w:rPr>
          <w:szCs w:val="22"/>
        </w:rPr>
        <w:t>Accordingly, the maximum possible number of</w:t>
      </w:r>
      <w:r w:rsidRPr="006B787E">
        <w:rPr>
          <w:szCs w:val="22"/>
        </w:rPr>
        <w:t xml:space="preserve"> generic license blocks will be available in every PEA</w:t>
      </w:r>
      <w:r>
        <w:rPr>
          <w:szCs w:val="22"/>
        </w:rPr>
        <w:t xml:space="preserve"> in both categories for Auction 103:</w:t>
      </w:r>
      <w:r w:rsidRPr="006B787E">
        <w:rPr>
          <w:szCs w:val="22"/>
        </w:rPr>
        <w:t xml:space="preserve">  </w:t>
      </w:r>
      <w:r>
        <w:rPr>
          <w:szCs w:val="22"/>
        </w:rPr>
        <w:t>2</w:t>
      </w:r>
      <w:r w:rsidRPr="006B787E">
        <w:rPr>
          <w:szCs w:val="22"/>
        </w:rPr>
        <w:t>4 blocks</w:t>
      </w:r>
      <w:r>
        <w:rPr>
          <w:szCs w:val="22"/>
        </w:rPr>
        <w:t xml:space="preserve"> in category M/N (2,</w:t>
      </w:r>
      <w:r>
        <w:rPr>
          <w:szCs w:val="22"/>
        </w:rPr>
        <w:t>400 megahertz of contiguous spectrum) and 10</w:t>
      </w:r>
      <w:r w:rsidRPr="0045433F">
        <w:rPr>
          <w:szCs w:val="22"/>
        </w:rPr>
        <w:t xml:space="preserve"> blocks</w:t>
      </w:r>
      <w:r>
        <w:rPr>
          <w:szCs w:val="22"/>
        </w:rPr>
        <w:t xml:space="preserve"> in category P (a separate 1,000 megahertz of contiguous spectrum)</w:t>
      </w:r>
      <w:r w:rsidRPr="006B787E">
        <w:rPr>
          <w:szCs w:val="22"/>
        </w:rPr>
        <w:t xml:space="preserve">.  </w:t>
      </w:r>
    </w:p>
    <w:p w:rsidR="00EF0B5D" w:rsidRPr="006B787E" w:rsidP="00EF0B5D">
      <w:pPr>
        <w:widowControl/>
        <w:spacing w:after="120"/>
        <w:ind w:firstLine="720"/>
        <w:rPr>
          <w:szCs w:val="22"/>
        </w:rPr>
      </w:pPr>
      <w:r>
        <w:rPr>
          <w:szCs w:val="22"/>
        </w:rPr>
        <w:t>In addition, none of the incumbent 39 GHz licensees filed a request for waiver by the August 16, 2019, filing deadline seeking assuranc</w:t>
      </w:r>
      <w:r>
        <w:rPr>
          <w:szCs w:val="22"/>
        </w:rPr>
        <w:t>e regarding the assignment of frequencies for modified licenses.</w:t>
      </w:r>
      <w:r>
        <w:rPr>
          <w:rStyle w:val="FootnoteReference"/>
          <w:szCs w:val="22"/>
        </w:rPr>
        <w:footnoteReference w:id="8"/>
      </w:r>
      <w:r>
        <w:rPr>
          <w:szCs w:val="22"/>
        </w:rPr>
        <w:t xml:space="preserve">  </w:t>
      </w:r>
      <w:r>
        <w:rPr>
          <w:szCs w:val="22"/>
        </w:rPr>
        <w:t>Consequently, the assignment phase bidding procedures will be unaffected by the grant of any such waiver(s).</w:t>
      </w:r>
      <w:r>
        <w:rPr>
          <w:rStyle w:val="FootnoteReference"/>
          <w:szCs w:val="22"/>
        </w:rPr>
        <w:footnoteReference w:id="9"/>
      </w:r>
    </w:p>
    <w:p w:rsidR="00EF0B5D" w:rsidRPr="006B787E" w:rsidP="00EF0B5D">
      <w:pPr>
        <w:spacing w:after="120"/>
        <w:ind w:firstLine="720"/>
        <w:rPr>
          <w:szCs w:val="22"/>
        </w:rPr>
      </w:pPr>
      <w:r w:rsidRPr="006B787E">
        <w:rPr>
          <w:szCs w:val="22"/>
        </w:rPr>
        <w:t xml:space="preserve">For further information concerning this Public Notice, please email </w:t>
      </w:r>
      <w:hyperlink r:id="rId5" w:history="1">
        <w:r w:rsidRPr="006B787E">
          <w:rPr>
            <w:rStyle w:val="Hyperlink"/>
            <w:szCs w:val="22"/>
          </w:rPr>
          <w:t>auction103@fcc.gov</w:t>
        </w:r>
      </w:hyperlink>
      <w:r w:rsidRPr="006B787E">
        <w:rPr>
          <w:szCs w:val="22"/>
        </w:rPr>
        <w:t xml:space="preserve"> or contact the Auctions Division, Office of Economics and Analytics, at (202) 418-0660.</w:t>
      </w:r>
    </w:p>
    <w:p w:rsidR="00EF0B5D" w:rsidRPr="006B787E" w:rsidP="00EF0B5D">
      <w:pPr>
        <w:spacing w:after="120"/>
        <w:rPr>
          <w:szCs w:val="22"/>
        </w:rPr>
      </w:pPr>
    </w:p>
    <w:p w:rsidR="00202FBB" w:rsidRPr="00202FBB" w:rsidP="00EF0B5D">
      <w:pPr>
        <w:keepNext/>
        <w:widowControl/>
        <w:jc w:val="center"/>
        <w:rPr>
          <w:sz w:val="24"/>
        </w:rPr>
      </w:pPr>
      <w:r w:rsidRPr="006B787E">
        <w:rPr>
          <w:b/>
          <w:szCs w:val="22"/>
        </w:rPr>
        <w:t>-FCC-</w:t>
      </w:r>
    </w:p>
    <w:p w:rsidR="00412FC5" w:rsidRPr="00412FC5" w:rsidP="00202FBB">
      <w:pPr>
        <w:pStyle w:val="Heading1"/>
        <w:numPr>
          <w:ilvl w:val="0"/>
          <w:numId w:val="0"/>
        </w:numPr>
        <w:ind w:left="720" w:hanging="720"/>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55614C">
    <w:pPr>
      <w:pStyle w:val="Footer"/>
      <w:framePr w:wrap="around" w:vAnchor="text" w:hAnchor="margin" w:xAlign="center" w:y="1"/>
    </w:pPr>
    <w:r>
      <w:fldChar w:fldCharType="begin"/>
    </w:r>
    <w:r>
      <w:instrText xml:space="preserve">PAGE  </w:instrText>
    </w:r>
    <w:r>
      <w:fldChar w:fldCharType="separate"/>
    </w:r>
    <w:r>
      <w:fldChar w:fldCharType="end"/>
    </w:r>
  </w:p>
  <w:p w:rsidR="00E3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2266A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2266AC">
    <w:pPr>
      <w:pStyle w:val="Footer"/>
      <w:tabs>
        <w:tab w:val="clear" w:pos="8640"/>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223">
      <w:r>
        <w:separator/>
      </w:r>
    </w:p>
  </w:footnote>
  <w:footnote w:type="continuationSeparator" w:id="1">
    <w:p w:rsidR="00332223">
      <w:pPr>
        <w:rPr>
          <w:sz w:val="20"/>
        </w:rPr>
      </w:pPr>
      <w:r>
        <w:rPr>
          <w:sz w:val="20"/>
        </w:rPr>
        <w:t xml:space="preserve">(Continued from previous page)  </w:t>
      </w:r>
      <w:r>
        <w:rPr>
          <w:sz w:val="20"/>
        </w:rPr>
        <w:separator/>
      </w:r>
    </w:p>
  </w:footnote>
  <w:footnote w:type="continuationNotice" w:id="2">
    <w:p w:rsidR="00332223">
      <w:pPr>
        <w:rPr>
          <w:sz w:val="20"/>
        </w:rPr>
      </w:pPr>
      <w:r>
        <w:rPr>
          <w:sz w:val="20"/>
        </w:rPr>
        <w:t>(continued….)</w:t>
      </w:r>
    </w:p>
  </w:footnote>
  <w:footnote w:id="3">
    <w:p w:rsidR="00EF0B5D" w:rsidRPr="00D36904" w:rsidP="00EF0B5D">
      <w:pPr>
        <w:pStyle w:val="FootnoteText"/>
        <w:rPr>
          <w:i/>
        </w:rPr>
      </w:pPr>
      <w:r>
        <w:rPr>
          <w:rStyle w:val="FootnoteReference"/>
        </w:rPr>
        <w:footnoteRef/>
      </w:r>
      <w:r>
        <w:t xml:space="preserve"> </w:t>
      </w:r>
      <w:r>
        <w:rPr>
          <w:i/>
        </w:rPr>
        <w:t>Notice of Updated 39 GHz Reconfiguration Procedures et al.</w:t>
      </w:r>
      <w:r w:rsidRPr="00D36904">
        <w:t xml:space="preserve">, Public Notice, </w:t>
      </w:r>
      <w:r>
        <w:t>34 FCC Rcd 2952, 2962-63, para. 29</w:t>
      </w:r>
      <w:r w:rsidRPr="00D36904">
        <w:t xml:space="preserve"> (WTB/OEA 2019)</w:t>
      </w:r>
      <w:r>
        <w:t xml:space="preserve">; </w:t>
      </w:r>
      <w:r>
        <w:rPr>
          <w:i/>
        </w:rPr>
        <w:t>Incentive Auction of Upper Microwave Flexible Use Service Licenses in the Upper</w:t>
      </w:r>
      <w:r>
        <w:rPr>
          <w:i/>
        </w:rPr>
        <w:t xml:space="preserve"> 37 GHz, 39 GHz, and 47 GHz Bands for Next-Generation Wireless Services; Notice and Filing Requirements, Minimum Opening Bids, Upfront Payments, and Other Procedures for Auction 103 et al.</w:t>
      </w:r>
      <w:r>
        <w:t>, Public Notice, FCC 19-63 at 49-50, para. 155 (July 11, 2019) (</w:t>
      </w:r>
      <w:r>
        <w:rPr>
          <w:i/>
        </w:rPr>
        <w:t>Auct</w:t>
      </w:r>
      <w:r>
        <w:rPr>
          <w:i/>
        </w:rPr>
        <w:t>ion 103 Procedures Public Notice</w:t>
      </w:r>
      <w:r>
        <w:t>).</w:t>
      </w:r>
    </w:p>
  </w:footnote>
  <w:footnote w:id="4">
    <w:p w:rsidR="00EF0B5D" w:rsidRPr="00E1346B" w:rsidP="00EF0B5D">
      <w:pPr>
        <w:pStyle w:val="FootnoteText"/>
      </w:pPr>
      <w:r>
        <w:rPr>
          <w:rStyle w:val="FootnoteReference"/>
        </w:rPr>
        <w:footnoteRef/>
      </w:r>
      <w:r>
        <w:t xml:space="preserve"> </w:t>
      </w:r>
      <w:r>
        <w:rPr>
          <w:i/>
        </w:rPr>
        <w:t>Auction 103 Procedures Public Notice</w:t>
      </w:r>
      <w:r>
        <w:t xml:space="preserve"> at 49, para. 153.</w:t>
      </w:r>
    </w:p>
  </w:footnote>
  <w:footnote w:id="5">
    <w:p w:rsidR="00EF0B5D" w:rsidRPr="00E1346B" w:rsidP="00EF0B5D">
      <w:pPr>
        <w:pStyle w:val="FootnoteText"/>
      </w:pPr>
      <w:r>
        <w:rPr>
          <w:rStyle w:val="FootnoteReference"/>
        </w:rPr>
        <w:footnoteRef/>
      </w:r>
      <w:r>
        <w:t xml:space="preserve"> </w:t>
      </w:r>
      <w:r>
        <w:rPr>
          <w:i/>
        </w:rPr>
        <w:t xml:space="preserve">Id. </w:t>
      </w:r>
      <w:r>
        <w:t>at 49, para. 155.</w:t>
      </w:r>
    </w:p>
  </w:footnote>
  <w:footnote w:id="6">
    <w:p w:rsidR="00EF0B5D" w:rsidRPr="00E1346B" w:rsidP="00EF0B5D">
      <w:pPr>
        <w:pStyle w:val="FootnoteText"/>
        <w:rPr>
          <w:i/>
        </w:rPr>
      </w:pPr>
      <w:r>
        <w:rPr>
          <w:rStyle w:val="FootnoteReference"/>
        </w:rPr>
        <w:footnoteRef/>
      </w:r>
      <w:r>
        <w:t xml:space="preserve"> </w:t>
      </w:r>
      <w:r>
        <w:rPr>
          <w:i/>
        </w:rPr>
        <w:t>Id.</w:t>
      </w:r>
    </w:p>
  </w:footnote>
  <w:footnote w:id="7">
    <w:p w:rsidR="00EF0B5D" w:rsidP="00EF0B5D">
      <w:pPr>
        <w:pStyle w:val="FootnoteText"/>
      </w:pPr>
      <w:r>
        <w:rPr>
          <w:rStyle w:val="FootnoteReference"/>
        </w:rPr>
        <w:footnoteRef/>
      </w:r>
      <w:r>
        <w:t xml:space="preserve"> </w:t>
      </w:r>
      <w:r>
        <w:rPr>
          <w:i/>
        </w:rPr>
        <w:t>Id.; see also id.</w:t>
      </w:r>
      <w:r>
        <w:t xml:space="preserve"> at 5, para. 7.</w:t>
      </w:r>
    </w:p>
  </w:footnote>
  <w:footnote w:id="8">
    <w:p w:rsidR="00EF0B5D" w:rsidRPr="00165B1C" w:rsidP="00EF0B5D">
      <w:pPr>
        <w:pStyle w:val="FootnoteText"/>
      </w:pPr>
      <w:r>
        <w:rPr>
          <w:rStyle w:val="FootnoteReference"/>
        </w:rPr>
        <w:footnoteRef/>
      </w:r>
      <w:r>
        <w:t xml:space="preserve"> </w:t>
      </w:r>
      <w:r>
        <w:rPr>
          <w:i/>
        </w:rPr>
        <w:t>See Auction 103 Procedures Public Notice</w:t>
      </w:r>
      <w:r>
        <w:t xml:space="preserve"> at 52-53, paras. 161-63.</w:t>
      </w:r>
    </w:p>
  </w:footnote>
  <w:footnote w:id="9">
    <w:p w:rsidR="00EF0B5D" w:rsidRPr="00B44A1B" w:rsidP="00EF0B5D">
      <w:pPr>
        <w:pStyle w:val="FootnoteText"/>
      </w:pPr>
      <w:r>
        <w:rPr>
          <w:rStyle w:val="FootnoteReference"/>
        </w:rPr>
        <w:footnoteRef/>
      </w:r>
      <w:r>
        <w:t xml:space="preserve"> </w:t>
      </w:r>
      <w:r>
        <w:rPr>
          <w:i/>
        </w:rPr>
        <w:t>See id.</w:t>
      </w:r>
      <w:r>
        <w:t xml:space="preserve"> at 65, para. 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982F5D" w:rsidP="00837C62">
    <w:pPr>
      <w:pStyle w:val="Header"/>
      <w:rPr>
        <w:rFonts w:ascii="Times New Roman" w:hAnsi="Times New Roman" w:cs="Times New Roman"/>
        <w:sz w:val="22"/>
        <w:szCs w:val="22"/>
      </w:rPr>
    </w:pPr>
    <w:r>
      <w:tab/>
    </w:r>
    <w:r w:rsidRPr="00982F5D">
      <w:rPr>
        <w:rFonts w:ascii="Times New Roman" w:hAnsi="Times New Roman" w:cs="Times New Roman"/>
        <w:sz w:val="22"/>
        <w:szCs w:val="22"/>
      </w:rPr>
      <w:t>Federal Communications Commission</w:t>
    </w:r>
    <w:r w:rsidRPr="00982F5D">
      <w:rPr>
        <w:rFonts w:ascii="Times New Roman" w:hAnsi="Times New Roman" w:cs="Times New Roman"/>
        <w:sz w:val="22"/>
        <w:szCs w:val="22"/>
      </w:rPr>
      <w:tab/>
    </w:r>
    <w:r>
      <w:rPr>
        <w:rFonts w:ascii="Times New Roman" w:hAnsi="Times New Roman" w:cs="Times New Roman"/>
        <w:sz w:val="22"/>
        <w:szCs w:val="22"/>
      </w:rPr>
      <w:t>DA 19-</w:t>
    </w:r>
    <w:r w:rsidR="00502301">
      <w:rPr>
        <w:rFonts w:ascii="Times New Roman" w:hAnsi="Times New Roman" w:cs="Times New Roman"/>
        <w:sz w:val="22"/>
        <w:szCs w:val="22"/>
      </w:rPr>
      <w:t>792</w:t>
    </w:r>
  </w:p>
  <w:p w:rsidR="00E3480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E3480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837C62" w:rsidP="00837B75">
    <w:pPr>
      <w:pStyle w:val="Header"/>
      <w:ind w:firstLine="0"/>
    </w:pPr>
    <w:r>
      <w:rPr>
        <w:noProof/>
      </w:rPr>
      <w:drawing>
        <wp:anchor distT="0" distB="0" distL="114300" distR="114300" simplePos="0" relativeHeight="251664384" behindDoc="0" locked="0" layoutInCell="0" allowOverlap="1">
          <wp:simplePos x="0" y="0"/>
          <wp:positionH relativeFrom="column">
            <wp:posOffset>28575</wp:posOffset>
          </wp:positionH>
          <wp:positionV relativeFrom="paragraph">
            <wp:posOffset>104775</wp:posOffset>
          </wp:positionV>
          <wp:extent cx="530225" cy="530225"/>
          <wp:effectExtent l="0" t="0" r="3175" b="3175"/>
          <wp:wrapSquare wrapText="bothSides"/>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72062"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837C62" w:rsidR="00FF6319">
      <w:t>PUBLIC NOTICE</w:t>
    </w:r>
  </w:p>
  <w:p w:rsidR="00E34803" w:rsidP="00837C62">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803" w:rsidP="00C82B6B">
                          <w:pPr>
                            <w:rPr>
                              <w:rFonts w:ascii="Arial" w:hAnsi="Arial"/>
                              <w:b/>
                            </w:rPr>
                          </w:pPr>
                          <w:r>
                            <w:rPr>
                              <w:rFonts w:ascii="Arial" w:hAnsi="Arial"/>
                              <w:b/>
                            </w:rPr>
                            <w:t>Federal Communications Commission</w:t>
                          </w:r>
                        </w:p>
                        <w:p w:rsidR="00E34803"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34803"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34803" w:rsidP="00C82B6B">
                    <w:pPr>
                      <w:rPr>
                        <w:rFonts w:ascii="Arial" w:hAnsi="Arial"/>
                        <w:b/>
                      </w:rPr>
                    </w:pPr>
                    <w:r>
                      <w:rPr>
                        <w:rFonts w:ascii="Arial" w:hAnsi="Arial"/>
                        <w:b/>
                      </w:rPr>
                      <w:t>Federal Communications Commission</w:t>
                    </w:r>
                  </w:p>
                  <w:p w:rsidR="00E34803"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34803" w:rsidP="00C82B6B">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803" w:rsidP="00C82B6B">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pPr>
                            <w:jc w:val="right"/>
                            <w:rPr>
                              <w:rFonts w:ascii="Arial" w:hAnsi="Arial"/>
                              <w:b/>
                              <w:sz w:val="16"/>
                            </w:rPr>
                          </w:pPr>
                          <w:r>
                            <w:rPr>
                              <w:rFonts w:ascii="Arial" w:hAnsi="Arial"/>
                              <w:b/>
                              <w:sz w:val="16"/>
                            </w:rPr>
                            <w:t xml:space="preserve">Internet: </w:t>
                          </w:r>
                          <w:hyperlink r:id="rId2" w:history="1">
                            <w:r w:rsidRPr="00932957" w:rsidR="00926D0D">
                              <w:rPr>
                                <w:rStyle w:val="Hyperlink"/>
                                <w:rFonts w:ascii="Arial" w:hAnsi="Arial"/>
                                <w:b/>
                                <w:sz w:val="16"/>
                              </w:rPr>
                              <w:t>www.fcc.gov</w:t>
                            </w:r>
                          </w:hyperlink>
                        </w:p>
                        <w:p w:rsidR="00E34803" w:rsidP="00C82B6B">
                          <w:pPr>
                            <w:jc w:val="right"/>
                            <w:rPr>
                              <w:rFonts w:ascii="Arial" w:hAnsi="Arial"/>
                              <w:b/>
                              <w:sz w:val="16"/>
                            </w:rPr>
                          </w:pPr>
                          <w:r>
                            <w:rPr>
                              <w:rFonts w:ascii="Arial" w:hAnsi="Arial"/>
                              <w:b/>
                              <w:sz w:val="16"/>
                            </w:rPr>
                            <w:t>TTY: 888-835-5322</w:t>
                          </w:r>
                        </w:p>
                        <w:p w:rsidR="00E34803"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34803" w:rsidP="00C82B6B">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pPr>
                      <w:jc w:val="right"/>
                      <w:rPr>
                        <w:rFonts w:ascii="Arial" w:hAnsi="Arial"/>
                        <w:b/>
                        <w:sz w:val="16"/>
                      </w:rPr>
                    </w:pPr>
                    <w:r>
                      <w:rPr>
                        <w:rFonts w:ascii="Arial" w:hAnsi="Arial"/>
                        <w:b/>
                        <w:sz w:val="16"/>
                      </w:rPr>
                      <w:t xml:space="preserve">Internet: </w:t>
                    </w:r>
                    <w:hyperlink r:id="rId2" w:history="1">
                      <w:r w:rsidRPr="00932957" w:rsidR="00926D0D">
                        <w:rPr>
                          <w:rStyle w:val="Hyperlink"/>
                          <w:rFonts w:ascii="Arial" w:hAnsi="Arial"/>
                          <w:b/>
                          <w:sz w:val="16"/>
                        </w:rPr>
                        <w:t>www.fcc.gov</w:t>
                      </w:r>
                    </w:hyperlink>
                  </w:p>
                  <w:p w:rsidR="00E34803" w:rsidP="00C82B6B">
                    <w:pPr>
                      <w:jc w:val="right"/>
                      <w:rPr>
                        <w:rFonts w:ascii="Arial" w:hAnsi="Arial"/>
                        <w:b/>
                        <w:sz w:val="16"/>
                      </w:rPr>
                    </w:pPr>
                    <w:r>
                      <w:rPr>
                        <w:rFonts w:ascii="Arial" w:hAnsi="Arial"/>
                        <w:b/>
                        <w:sz w:val="16"/>
                      </w:rPr>
                      <w:t>TTY: 888-835-5322</w:t>
                    </w:r>
                  </w:p>
                  <w:p w:rsidR="00E34803" w:rsidP="00C82B6B">
                    <w:pPr>
                      <w:jc w:val="right"/>
                    </w:pPr>
                  </w:p>
                </w:txbxContent>
              </v:textbox>
            </v:shape>
          </w:pict>
        </mc:Fallback>
      </mc:AlternateContent>
    </w:r>
  </w:p>
  <w:p w:rsidR="00E34803" w:rsidRPr="00C82B6B" w:rsidP="00837C62">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1312"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1E65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702A8720"/>
    <w:lvl w:ilvl="0">
      <w:start w:val="1"/>
      <w:numFmt w:val="decimal"/>
      <w:pStyle w:val="ParaNum"/>
      <w:lvlText w:val="%1."/>
      <w:lvlJc w:val="left"/>
      <w:pPr>
        <w:tabs>
          <w:tab w:val="num" w:pos="1080"/>
        </w:tabs>
        <w:ind w:left="0" w:firstLine="720"/>
      </w:pPr>
      <w:rPr>
        <w:rFonts w:ascii="Times New Roman" w:hAnsi="Times New Roman"/>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C9A"/>
    <w:rsid w:val="00026FF3"/>
    <w:rsid w:val="000327B4"/>
    <w:rsid w:val="00033599"/>
    <w:rsid w:val="00036039"/>
    <w:rsid w:val="00036FD1"/>
    <w:rsid w:val="00037F90"/>
    <w:rsid w:val="00042EF9"/>
    <w:rsid w:val="00053B8A"/>
    <w:rsid w:val="00053CBD"/>
    <w:rsid w:val="00055407"/>
    <w:rsid w:val="000616E6"/>
    <w:rsid w:val="00066439"/>
    <w:rsid w:val="00073718"/>
    <w:rsid w:val="000875BF"/>
    <w:rsid w:val="00092FD7"/>
    <w:rsid w:val="00096D8C"/>
    <w:rsid w:val="00096F91"/>
    <w:rsid w:val="000B4583"/>
    <w:rsid w:val="000C0B65"/>
    <w:rsid w:val="000C3B95"/>
    <w:rsid w:val="000D1B8F"/>
    <w:rsid w:val="000E3D42"/>
    <w:rsid w:val="000E5884"/>
    <w:rsid w:val="0010213A"/>
    <w:rsid w:val="00107A64"/>
    <w:rsid w:val="00122BD5"/>
    <w:rsid w:val="00126036"/>
    <w:rsid w:val="0013535F"/>
    <w:rsid w:val="00140456"/>
    <w:rsid w:val="00143F98"/>
    <w:rsid w:val="00144C32"/>
    <w:rsid w:val="001452AC"/>
    <w:rsid w:val="001620D4"/>
    <w:rsid w:val="00165B1C"/>
    <w:rsid w:val="001660C4"/>
    <w:rsid w:val="001705A2"/>
    <w:rsid w:val="0017114D"/>
    <w:rsid w:val="001735A1"/>
    <w:rsid w:val="00180423"/>
    <w:rsid w:val="00183A19"/>
    <w:rsid w:val="00193E25"/>
    <w:rsid w:val="001A243B"/>
    <w:rsid w:val="001A5A5B"/>
    <w:rsid w:val="001C7526"/>
    <w:rsid w:val="001D2F65"/>
    <w:rsid w:val="001D6BCF"/>
    <w:rsid w:val="001D7F66"/>
    <w:rsid w:val="001E01CA"/>
    <w:rsid w:val="001E120C"/>
    <w:rsid w:val="001F0642"/>
    <w:rsid w:val="001F3EEB"/>
    <w:rsid w:val="001F43BF"/>
    <w:rsid w:val="001F4BF2"/>
    <w:rsid w:val="00200E57"/>
    <w:rsid w:val="00202FBB"/>
    <w:rsid w:val="002266AC"/>
    <w:rsid w:val="00226822"/>
    <w:rsid w:val="002322B0"/>
    <w:rsid w:val="0023718F"/>
    <w:rsid w:val="00237DFD"/>
    <w:rsid w:val="002608D1"/>
    <w:rsid w:val="00285017"/>
    <w:rsid w:val="00292934"/>
    <w:rsid w:val="00294ACC"/>
    <w:rsid w:val="002A2D2E"/>
    <w:rsid w:val="002B3CAB"/>
    <w:rsid w:val="002B6912"/>
    <w:rsid w:val="002B6A87"/>
    <w:rsid w:val="002E55CC"/>
    <w:rsid w:val="002F07F5"/>
    <w:rsid w:val="003048DA"/>
    <w:rsid w:val="00306C07"/>
    <w:rsid w:val="00332223"/>
    <w:rsid w:val="00343749"/>
    <w:rsid w:val="00351C3D"/>
    <w:rsid w:val="003608B6"/>
    <w:rsid w:val="003706CA"/>
    <w:rsid w:val="003753CE"/>
    <w:rsid w:val="00381E13"/>
    <w:rsid w:val="00384076"/>
    <w:rsid w:val="003948B7"/>
    <w:rsid w:val="003B0550"/>
    <w:rsid w:val="003B1499"/>
    <w:rsid w:val="003B694F"/>
    <w:rsid w:val="003D0A8E"/>
    <w:rsid w:val="003D0D1F"/>
    <w:rsid w:val="003D1768"/>
    <w:rsid w:val="003E2310"/>
    <w:rsid w:val="003E2CA0"/>
    <w:rsid w:val="003F171C"/>
    <w:rsid w:val="003F22FE"/>
    <w:rsid w:val="003F3B52"/>
    <w:rsid w:val="003F44A6"/>
    <w:rsid w:val="00402044"/>
    <w:rsid w:val="004055FE"/>
    <w:rsid w:val="0041223B"/>
    <w:rsid w:val="00412FC5"/>
    <w:rsid w:val="0041485C"/>
    <w:rsid w:val="00422276"/>
    <w:rsid w:val="00422485"/>
    <w:rsid w:val="004242F1"/>
    <w:rsid w:val="00445A00"/>
    <w:rsid w:val="00451B0F"/>
    <w:rsid w:val="0045433F"/>
    <w:rsid w:val="00457C20"/>
    <w:rsid w:val="00463EAF"/>
    <w:rsid w:val="0048047A"/>
    <w:rsid w:val="00484E98"/>
    <w:rsid w:val="00496106"/>
    <w:rsid w:val="004A210C"/>
    <w:rsid w:val="004B430D"/>
    <w:rsid w:val="004C12D0"/>
    <w:rsid w:val="004C2EE3"/>
    <w:rsid w:val="004D6FE5"/>
    <w:rsid w:val="004E4A22"/>
    <w:rsid w:val="004E72AC"/>
    <w:rsid w:val="004F0382"/>
    <w:rsid w:val="004F69B9"/>
    <w:rsid w:val="005013E9"/>
    <w:rsid w:val="00501F23"/>
    <w:rsid w:val="00502301"/>
    <w:rsid w:val="00502AB0"/>
    <w:rsid w:val="00503181"/>
    <w:rsid w:val="00511011"/>
    <w:rsid w:val="00511968"/>
    <w:rsid w:val="005239AE"/>
    <w:rsid w:val="00525EA2"/>
    <w:rsid w:val="0052664C"/>
    <w:rsid w:val="005343AB"/>
    <w:rsid w:val="00541283"/>
    <w:rsid w:val="0055317F"/>
    <w:rsid w:val="00555490"/>
    <w:rsid w:val="0055614C"/>
    <w:rsid w:val="005A04A4"/>
    <w:rsid w:val="005D0AA9"/>
    <w:rsid w:val="005E23C1"/>
    <w:rsid w:val="005F6119"/>
    <w:rsid w:val="005F6C36"/>
    <w:rsid w:val="006026FC"/>
    <w:rsid w:val="00607BA5"/>
    <w:rsid w:val="00611854"/>
    <w:rsid w:val="00626EB6"/>
    <w:rsid w:val="006320B8"/>
    <w:rsid w:val="006403C4"/>
    <w:rsid w:val="00640684"/>
    <w:rsid w:val="00644DC8"/>
    <w:rsid w:val="006468B6"/>
    <w:rsid w:val="00655D03"/>
    <w:rsid w:val="00656CB7"/>
    <w:rsid w:val="006654A2"/>
    <w:rsid w:val="00677EF2"/>
    <w:rsid w:val="00680122"/>
    <w:rsid w:val="00683F84"/>
    <w:rsid w:val="006943DF"/>
    <w:rsid w:val="006A0117"/>
    <w:rsid w:val="006A0B0E"/>
    <w:rsid w:val="006A6A81"/>
    <w:rsid w:val="006A6AF3"/>
    <w:rsid w:val="006B090E"/>
    <w:rsid w:val="006B787E"/>
    <w:rsid w:val="006E26AF"/>
    <w:rsid w:val="006F4B36"/>
    <w:rsid w:val="006F6BFE"/>
    <w:rsid w:val="006F7393"/>
    <w:rsid w:val="006F7C54"/>
    <w:rsid w:val="0070224F"/>
    <w:rsid w:val="007071A3"/>
    <w:rsid w:val="0071087D"/>
    <w:rsid w:val="007115F7"/>
    <w:rsid w:val="00716723"/>
    <w:rsid w:val="00723F38"/>
    <w:rsid w:val="00724AFE"/>
    <w:rsid w:val="00732E2D"/>
    <w:rsid w:val="0073312B"/>
    <w:rsid w:val="00735FDD"/>
    <w:rsid w:val="00741900"/>
    <w:rsid w:val="0074553F"/>
    <w:rsid w:val="00745904"/>
    <w:rsid w:val="00750BA2"/>
    <w:rsid w:val="0077305B"/>
    <w:rsid w:val="00785689"/>
    <w:rsid w:val="00794850"/>
    <w:rsid w:val="0079754B"/>
    <w:rsid w:val="007A1E6D"/>
    <w:rsid w:val="007B15C1"/>
    <w:rsid w:val="007C3E1F"/>
    <w:rsid w:val="007D023A"/>
    <w:rsid w:val="007D27C8"/>
    <w:rsid w:val="007F6AC6"/>
    <w:rsid w:val="00805D4D"/>
    <w:rsid w:val="00822CE0"/>
    <w:rsid w:val="0082529A"/>
    <w:rsid w:val="00837B75"/>
    <w:rsid w:val="00837C62"/>
    <w:rsid w:val="00841AB1"/>
    <w:rsid w:val="00844D66"/>
    <w:rsid w:val="00854B58"/>
    <w:rsid w:val="00876DE2"/>
    <w:rsid w:val="0088678B"/>
    <w:rsid w:val="008B2F6B"/>
    <w:rsid w:val="008C12C5"/>
    <w:rsid w:val="008C6B05"/>
    <w:rsid w:val="008D4764"/>
    <w:rsid w:val="008D4BB6"/>
    <w:rsid w:val="008D6E43"/>
    <w:rsid w:val="008E2AB1"/>
    <w:rsid w:val="008E605E"/>
    <w:rsid w:val="009001BF"/>
    <w:rsid w:val="00904118"/>
    <w:rsid w:val="00905192"/>
    <w:rsid w:val="00915711"/>
    <w:rsid w:val="009215ED"/>
    <w:rsid w:val="009244AD"/>
    <w:rsid w:val="00926503"/>
    <w:rsid w:val="00926D0D"/>
    <w:rsid w:val="00932957"/>
    <w:rsid w:val="00936049"/>
    <w:rsid w:val="00942644"/>
    <w:rsid w:val="00963719"/>
    <w:rsid w:val="00965BC7"/>
    <w:rsid w:val="00971A37"/>
    <w:rsid w:val="00982F5D"/>
    <w:rsid w:val="009837E3"/>
    <w:rsid w:val="0098619F"/>
    <w:rsid w:val="009A4A6A"/>
    <w:rsid w:val="009A7625"/>
    <w:rsid w:val="009B1F06"/>
    <w:rsid w:val="009B5A83"/>
    <w:rsid w:val="009B6005"/>
    <w:rsid w:val="009C4438"/>
    <w:rsid w:val="009C5BCE"/>
    <w:rsid w:val="00A13D95"/>
    <w:rsid w:val="00A27D7D"/>
    <w:rsid w:val="00A30814"/>
    <w:rsid w:val="00A30DAC"/>
    <w:rsid w:val="00A31CD8"/>
    <w:rsid w:val="00A36FFD"/>
    <w:rsid w:val="00A45F4F"/>
    <w:rsid w:val="00A47E37"/>
    <w:rsid w:val="00A53121"/>
    <w:rsid w:val="00A5508A"/>
    <w:rsid w:val="00A600A9"/>
    <w:rsid w:val="00A6187B"/>
    <w:rsid w:val="00A63D04"/>
    <w:rsid w:val="00AA55B7"/>
    <w:rsid w:val="00AA5744"/>
    <w:rsid w:val="00AA5B9E"/>
    <w:rsid w:val="00AB2407"/>
    <w:rsid w:val="00AB53DF"/>
    <w:rsid w:val="00AD2CB3"/>
    <w:rsid w:val="00AE009D"/>
    <w:rsid w:val="00AE0B04"/>
    <w:rsid w:val="00AE1E83"/>
    <w:rsid w:val="00AE5F97"/>
    <w:rsid w:val="00AF4C12"/>
    <w:rsid w:val="00B00B70"/>
    <w:rsid w:val="00B06126"/>
    <w:rsid w:val="00B07E5C"/>
    <w:rsid w:val="00B1101A"/>
    <w:rsid w:val="00B11BE6"/>
    <w:rsid w:val="00B15118"/>
    <w:rsid w:val="00B23768"/>
    <w:rsid w:val="00B44A1B"/>
    <w:rsid w:val="00B54239"/>
    <w:rsid w:val="00B569CE"/>
    <w:rsid w:val="00B72EA4"/>
    <w:rsid w:val="00B811F7"/>
    <w:rsid w:val="00B85066"/>
    <w:rsid w:val="00B86266"/>
    <w:rsid w:val="00B94E77"/>
    <w:rsid w:val="00BA5DC6"/>
    <w:rsid w:val="00BA6196"/>
    <w:rsid w:val="00BB4C00"/>
    <w:rsid w:val="00BC3B30"/>
    <w:rsid w:val="00BC6D8C"/>
    <w:rsid w:val="00BD34E6"/>
    <w:rsid w:val="00C03465"/>
    <w:rsid w:val="00C0699C"/>
    <w:rsid w:val="00C129C0"/>
    <w:rsid w:val="00C13B4F"/>
    <w:rsid w:val="00C2288B"/>
    <w:rsid w:val="00C2512B"/>
    <w:rsid w:val="00C33341"/>
    <w:rsid w:val="00C34006"/>
    <w:rsid w:val="00C3605B"/>
    <w:rsid w:val="00C426B1"/>
    <w:rsid w:val="00C46D87"/>
    <w:rsid w:val="00C506B2"/>
    <w:rsid w:val="00C559E9"/>
    <w:rsid w:val="00C67014"/>
    <w:rsid w:val="00C77C1D"/>
    <w:rsid w:val="00C82B6B"/>
    <w:rsid w:val="00C8591D"/>
    <w:rsid w:val="00C90D6A"/>
    <w:rsid w:val="00C93EAB"/>
    <w:rsid w:val="00C96E2C"/>
    <w:rsid w:val="00C976BD"/>
    <w:rsid w:val="00CB7FEA"/>
    <w:rsid w:val="00CC0DEB"/>
    <w:rsid w:val="00CC72B6"/>
    <w:rsid w:val="00CD2682"/>
    <w:rsid w:val="00CD2981"/>
    <w:rsid w:val="00CE313C"/>
    <w:rsid w:val="00CE4760"/>
    <w:rsid w:val="00CE5011"/>
    <w:rsid w:val="00CF7A25"/>
    <w:rsid w:val="00D0218D"/>
    <w:rsid w:val="00D16CB2"/>
    <w:rsid w:val="00D20B04"/>
    <w:rsid w:val="00D222B5"/>
    <w:rsid w:val="00D24ECB"/>
    <w:rsid w:val="00D27749"/>
    <w:rsid w:val="00D32AA9"/>
    <w:rsid w:val="00D33BE9"/>
    <w:rsid w:val="00D36904"/>
    <w:rsid w:val="00D74A1F"/>
    <w:rsid w:val="00D762C5"/>
    <w:rsid w:val="00DA247A"/>
    <w:rsid w:val="00DA2529"/>
    <w:rsid w:val="00DA411B"/>
    <w:rsid w:val="00DB130A"/>
    <w:rsid w:val="00DB423C"/>
    <w:rsid w:val="00DC0148"/>
    <w:rsid w:val="00DC10A1"/>
    <w:rsid w:val="00DC655F"/>
    <w:rsid w:val="00DD5D95"/>
    <w:rsid w:val="00DD7110"/>
    <w:rsid w:val="00DD7EBD"/>
    <w:rsid w:val="00DE2FD8"/>
    <w:rsid w:val="00DE4E64"/>
    <w:rsid w:val="00DF62B6"/>
    <w:rsid w:val="00E0580C"/>
    <w:rsid w:val="00E07225"/>
    <w:rsid w:val="00E1089D"/>
    <w:rsid w:val="00E1346B"/>
    <w:rsid w:val="00E146DC"/>
    <w:rsid w:val="00E271AD"/>
    <w:rsid w:val="00E30B60"/>
    <w:rsid w:val="00E34803"/>
    <w:rsid w:val="00E442EF"/>
    <w:rsid w:val="00E5409F"/>
    <w:rsid w:val="00E63527"/>
    <w:rsid w:val="00E73AAE"/>
    <w:rsid w:val="00E84B93"/>
    <w:rsid w:val="00E91DE1"/>
    <w:rsid w:val="00E926A0"/>
    <w:rsid w:val="00EB34A9"/>
    <w:rsid w:val="00EB56F1"/>
    <w:rsid w:val="00EC1604"/>
    <w:rsid w:val="00EC49E8"/>
    <w:rsid w:val="00EC6436"/>
    <w:rsid w:val="00ED244F"/>
    <w:rsid w:val="00EF0B5D"/>
    <w:rsid w:val="00EF0CDC"/>
    <w:rsid w:val="00F021FA"/>
    <w:rsid w:val="00F0712F"/>
    <w:rsid w:val="00F230BF"/>
    <w:rsid w:val="00F307C4"/>
    <w:rsid w:val="00F31632"/>
    <w:rsid w:val="00F329BC"/>
    <w:rsid w:val="00F43B43"/>
    <w:rsid w:val="00F45522"/>
    <w:rsid w:val="00F52BBD"/>
    <w:rsid w:val="00F57ACA"/>
    <w:rsid w:val="00F57BFF"/>
    <w:rsid w:val="00F62E97"/>
    <w:rsid w:val="00F63B88"/>
    <w:rsid w:val="00F64209"/>
    <w:rsid w:val="00F65DEF"/>
    <w:rsid w:val="00F75643"/>
    <w:rsid w:val="00F86CB9"/>
    <w:rsid w:val="00F93BF5"/>
    <w:rsid w:val="00F976DE"/>
    <w:rsid w:val="00FA08DC"/>
    <w:rsid w:val="00FB792E"/>
    <w:rsid w:val="00FC11E6"/>
    <w:rsid w:val="00FD6B3B"/>
    <w:rsid w:val="00FE3BCC"/>
    <w:rsid w:val="00FE4251"/>
    <w:rsid w:val="00FE4CDF"/>
    <w:rsid w:val="00FF52EF"/>
    <w:rsid w:val="00FF5ADB"/>
    <w:rsid w:val="00FF63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683D2F-313D-4F68-AD4B-86B491C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C3605B"/>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202FBB"/>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02FBB"/>
    <w:rPr>
      <w:lang w:val="en-US" w:eastAsia="en-US" w:bidi="ar-SA"/>
    </w:rPr>
  </w:style>
  <w:style w:type="character" w:customStyle="1" w:styleId="UnresolvedMention1">
    <w:name w:val="Unresolved Mention1"/>
    <w:uiPriority w:val="99"/>
    <w:semiHidden/>
    <w:unhideWhenUsed/>
    <w:rsid w:val="00381E13"/>
    <w:rPr>
      <w:color w:val="605E5C"/>
      <w:shd w:val="clear" w:color="auto" w:fill="E1DFDD"/>
    </w:rPr>
  </w:style>
  <w:style w:type="paragraph" w:styleId="BalloonText">
    <w:name w:val="Balloon Text"/>
    <w:basedOn w:val="Normal"/>
    <w:link w:val="BalloonTextChar"/>
    <w:uiPriority w:val="99"/>
    <w:semiHidden/>
    <w:unhideWhenUsed/>
    <w:rsid w:val="00381E13"/>
    <w:rPr>
      <w:rFonts w:ascii="Segoe UI" w:hAnsi="Segoe UI" w:cs="Segoe UI"/>
      <w:sz w:val="18"/>
      <w:szCs w:val="18"/>
    </w:rPr>
  </w:style>
  <w:style w:type="character" w:customStyle="1" w:styleId="BalloonTextChar">
    <w:name w:val="Balloon Text Char"/>
    <w:link w:val="BalloonText"/>
    <w:uiPriority w:val="99"/>
    <w:semiHidden/>
    <w:rsid w:val="00381E13"/>
    <w:rPr>
      <w:rFonts w:ascii="Segoe UI" w:hAnsi="Segoe UI" w:cs="Segoe UI"/>
      <w:snapToGrid w:val="0"/>
      <w:kern w:val="28"/>
      <w:sz w:val="18"/>
      <w:szCs w:val="18"/>
    </w:rPr>
  </w:style>
  <w:style w:type="character" w:styleId="CommentReference">
    <w:name w:val="annotation reference"/>
    <w:uiPriority w:val="99"/>
    <w:semiHidden/>
    <w:unhideWhenUsed/>
    <w:rsid w:val="00381E13"/>
    <w:rPr>
      <w:sz w:val="16"/>
      <w:szCs w:val="16"/>
    </w:rPr>
  </w:style>
  <w:style w:type="paragraph" w:styleId="CommentText">
    <w:name w:val="annotation text"/>
    <w:basedOn w:val="Normal"/>
    <w:link w:val="CommentTextChar"/>
    <w:uiPriority w:val="99"/>
    <w:semiHidden/>
    <w:unhideWhenUsed/>
    <w:rsid w:val="00381E13"/>
    <w:rPr>
      <w:sz w:val="20"/>
    </w:rPr>
  </w:style>
  <w:style w:type="character" w:customStyle="1" w:styleId="CommentTextChar">
    <w:name w:val="Comment Text Char"/>
    <w:link w:val="CommentText"/>
    <w:uiPriority w:val="99"/>
    <w:semiHidden/>
    <w:rsid w:val="00381E13"/>
    <w:rPr>
      <w:snapToGrid w:val="0"/>
      <w:kern w:val="28"/>
    </w:rPr>
  </w:style>
  <w:style w:type="paragraph" w:styleId="CommentSubject">
    <w:name w:val="annotation subject"/>
    <w:basedOn w:val="CommentText"/>
    <w:next w:val="CommentText"/>
    <w:link w:val="CommentSubjectChar"/>
    <w:uiPriority w:val="99"/>
    <w:semiHidden/>
    <w:unhideWhenUsed/>
    <w:rsid w:val="00381E13"/>
    <w:rPr>
      <w:b/>
      <w:bCs/>
    </w:rPr>
  </w:style>
  <w:style w:type="character" w:customStyle="1" w:styleId="CommentSubjectChar">
    <w:name w:val="Comment Subject Char"/>
    <w:link w:val="CommentSubject"/>
    <w:uiPriority w:val="99"/>
    <w:semiHidden/>
    <w:rsid w:val="00381E13"/>
    <w:rPr>
      <w:b/>
      <w:bCs/>
      <w:snapToGrid w:val="0"/>
      <w:kern w:val="28"/>
    </w:rPr>
  </w:style>
  <w:style w:type="character" w:customStyle="1" w:styleId="ParaNumChar">
    <w:name w:val="ParaNum Char"/>
    <w:link w:val="ParaNum"/>
    <w:locked/>
    <w:rsid w:val="00D24ECB"/>
    <w:rPr>
      <w:snapToGrid w:val="0"/>
      <w:kern w:val="28"/>
      <w:sz w:val="22"/>
    </w:rPr>
  </w:style>
  <w:style w:type="paragraph" w:styleId="BodyTextIndent">
    <w:name w:val="Body Text Indent"/>
    <w:basedOn w:val="Normal"/>
    <w:link w:val="BodyTextIndentChar"/>
    <w:rsid w:val="0017114D"/>
    <w:pPr>
      <w:ind w:left="2880" w:hanging="2160"/>
    </w:pPr>
  </w:style>
  <w:style w:type="character" w:customStyle="1" w:styleId="BodyTextIndentChar">
    <w:name w:val="Body Text Indent Char"/>
    <w:link w:val="BodyTextIndent"/>
    <w:rsid w:val="0017114D"/>
    <w:rPr>
      <w:snapToGrid w:val="0"/>
      <w:kern w:val="28"/>
      <w:sz w:val="22"/>
    </w:rPr>
  </w:style>
  <w:style w:type="paragraph" w:styleId="Revision">
    <w:name w:val="Revision"/>
    <w:hidden/>
    <w:uiPriority w:val="99"/>
    <w:semiHidden/>
    <w:rsid w:val="003608B6"/>
    <w:rPr>
      <w:snapToGrid w:val="0"/>
      <w:kern w:val="28"/>
      <w:sz w:val="22"/>
    </w:rPr>
  </w:style>
  <w:style w:type="character" w:styleId="FollowedHyperlink">
    <w:name w:val="FollowedHyperlink"/>
    <w:uiPriority w:val="99"/>
    <w:semiHidden/>
    <w:unhideWhenUsed/>
    <w:rsid w:val="00555490"/>
    <w:rPr>
      <w:color w:val="954F72"/>
      <w:u w:val="single"/>
    </w:rPr>
  </w:style>
  <w:style w:type="character" w:customStyle="1" w:styleId="FooterChar">
    <w:name w:val="Footer Char"/>
    <w:link w:val="Footer"/>
    <w:uiPriority w:val="99"/>
    <w:rsid w:val="003D17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3@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