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36D87" w:rsidRPr="00A94F1D" w:rsidP="00136D87" w14:paraId="0CAE1DB5" w14:textId="4F9819E6">
      <w:pPr>
        <w:jc w:val="right"/>
        <w:rPr>
          <w:b/>
          <w:szCs w:val="22"/>
        </w:rPr>
      </w:pPr>
      <w:r>
        <w:rPr>
          <w:b/>
          <w:szCs w:val="22"/>
        </w:rPr>
        <w:t>DA 19-806</w:t>
      </w:r>
    </w:p>
    <w:p w:rsidR="00136D87" w:rsidRPr="00A94F1D" w:rsidP="00136D87" w14:paraId="0EB666CC" w14:textId="5A96D338">
      <w:pPr>
        <w:spacing w:before="60"/>
        <w:jc w:val="right"/>
        <w:rPr>
          <w:b/>
          <w:szCs w:val="22"/>
        </w:rPr>
      </w:pPr>
      <w:r w:rsidRPr="00A94F1D">
        <w:rPr>
          <w:b/>
          <w:szCs w:val="22"/>
        </w:rPr>
        <w:t xml:space="preserve">Released:  </w:t>
      </w:r>
      <w:r w:rsidR="00D05C42">
        <w:rPr>
          <w:b/>
          <w:szCs w:val="22"/>
        </w:rPr>
        <w:t>August 22, 2019</w:t>
      </w:r>
    </w:p>
    <w:p w:rsidR="00136D87" w:rsidRPr="00A94F1D" w:rsidP="00136D87" w14:paraId="069262E0" w14:textId="77777777">
      <w:pPr>
        <w:jc w:val="right"/>
        <w:rPr>
          <w:szCs w:val="22"/>
        </w:rPr>
      </w:pPr>
    </w:p>
    <w:p w:rsidR="00DB1DDB" w:rsidRPr="00A94F1D" w:rsidP="00DB1DDB" w14:paraId="38E7D8C8" w14:textId="1CF1C860">
      <w:pPr>
        <w:spacing w:after="240"/>
        <w:jc w:val="center"/>
        <w:rPr>
          <w:b/>
          <w:caps/>
          <w:szCs w:val="22"/>
        </w:rPr>
      </w:pPr>
      <w:bookmarkStart w:id="0" w:name="_Hlk17359545"/>
      <w:r w:rsidRPr="00A94F1D">
        <w:rPr>
          <w:b/>
          <w:caps/>
          <w:szCs w:val="22"/>
        </w:rPr>
        <w:t>FCC announces entity certified to partic</w:t>
      </w:r>
      <w:r w:rsidRPr="00A94F1D" w:rsidR="00A51BEF">
        <w:rPr>
          <w:b/>
          <w:caps/>
          <w:szCs w:val="22"/>
        </w:rPr>
        <w:t>I</w:t>
      </w:r>
      <w:r w:rsidRPr="00A94F1D">
        <w:rPr>
          <w:b/>
          <w:caps/>
          <w:szCs w:val="22"/>
        </w:rPr>
        <w:t>pate in the national</w:t>
      </w:r>
      <w:r w:rsidRPr="00A94F1D" w:rsidR="00866704">
        <w:rPr>
          <w:b/>
          <w:caps/>
          <w:szCs w:val="22"/>
        </w:rPr>
        <w:t xml:space="preserve">              </w:t>
      </w:r>
      <w:r w:rsidRPr="00A94F1D">
        <w:rPr>
          <w:b/>
          <w:caps/>
          <w:szCs w:val="22"/>
        </w:rPr>
        <w:t>deaf</w:t>
      </w:r>
      <w:r w:rsidRPr="00A94F1D">
        <w:rPr>
          <w:b/>
          <w:caps/>
          <w:szCs w:val="22"/>
        </w:rPr>
        <w:noBreakHyphen/>
        <w:t>blind equipment distribution program for ILLINOIS</w:t>
      </w:r>
      <w:bookmarkEnd w:id="0"/>
    </w:p>
    <w:p w:rsidR="00642653" w:rsidRPr="00A94F1D" w:rsidP="00642653" w14:paraId="31744D58" w14:textId="77777777">
      <w:pPr>
        <w:jc w:val="center"/>
        <w:rPr>
          <w:b/>
          <w:szCs w:val="22"/>
        </w:rPr>
      </w:pPr>
      <w:r w:rsidRPr="00A94F1D">
        <w:rPr>
          <w:b/>
          <w:szCs w:val="22"/>
        </w:rPr>
        <w:t>CG Docket No. 10-210</w:t>
      </w:r>
    </w:p>
    <w:p w:rsidR="00DB1DDB" w:rsidRPr="00A94F1D" w:rsidP="00DB1DDB" w14:paraId="55C7F6E5" w14:textId="77777777">
      <w:pPr>
        <w:jc w:val="center"/>
        <w:rPr>
          <w:b/>
          <w:szCs w:val="22"/>
        </w:rPr>
      </w:pPr>
    </w:p>
    <w:p w:rsidR="00DB1DDB" w:rsidRPr="00A94F1D" w:rsidP="00A94F1D" w14:paraId="7357856E" w14:textId="74F491D2">
      <w:pPr>
        <w:spacing w:after="120"/>
        <w:ind w:firstLine="720"/>
        <w:rPr>
          <w:szCs w:val="22"/>
        </w:rPr>
      </w:pPr>
      <w:r w:rsidRPr="00A94F1D">
        <w:rPr>
          <w:szCs w:val="22"/>
        </w:rPr>
        <w:t xml:space="preserve">By this Public Notice, the Consumer and Governmental Affairs Bureau (CGB) of the Federal Communications Commission (FCC or Commission) selects the </w:t>
      </w:r>
      <w:r w:rsidRPr="00A94F1D" w:rsidR="006A6AD9">
        <w:rPr>
          <w:szCs w:val="22"/>
        </w:rPr>
        <w:t>Lester and Rosalie Anixter Center</w:t>
      </w:r>
      <w:r w:rsidRPr="00A94F1D" w:rsidR="009F6313">
        <w:rPr>
          <w:szCs w:val="22"/>
        </w:rPr>
        <w:t xml:space="preserve"> </w:t>
      </w:r>
      <w:r w:rsidRPr="00A94F1D" w:rsidR="00C118FA">
        <w:rPr>
          <w:szCs w:val="22"/>
        </w:rPr>
        <w:t>(</w:t>
      </w:r>
      <w:r w:rsidRPr="00A94F1D" w:rsidR="00B51E5E">
        <w:rPr>
          <w:szCs w:val="22"/>
        </w:rPr>
        <w:t>Anixter Center</w:t>
      </w:r>
      <w:r w:rsidRPr="00A94F1D" w:rsidR="00C118FA">
        <w:rPr>
          <w:szCs w:val="22"/>
        </w:rPr>
        <w:t>)</w:t>
      </w:r>
      <w:r w:rsidRPr="00A94F1D" w:rsidR="00195970">
        <w:rPr>
          <w:szCs w:val="22"/>
        </w:rPr>
        <w:t>,</w:t>
      </w:r>
      <w:r w:rsidRPr="00A94F1D" w:rsidR="00C118FA">
        <w:rPr>
          <w:szCs w:val="22"/>
        </w:rPr>
        <w:t xml:space="preserve"> </w:t>
      </w:r>
      <w:r w:rsidRPr="00A94F1D">
        <w:rPr>
          <w:szCs w:val="22"/>
        </w:rPr>
        <w:t xml:space="preserve">for certification to administer the National Deaf-Blind Equipment Distribution Program (NDBEDP), also called “iCanConnect,” for the state of </w:t>
      </w:r>
      <w:r w:rsidRPr="00A94F1D" w:rsidR="00C118FA">
        <w:rPr>
          <w:szCs w:val="22"/>
        </w:rPr>
        <w:t>Illinois</w:t>
      </w:r>
      <w:r w:rsidRPr="00A94F1D">
        <w:rPr>
          <w:szCs w:val="22"/>
        </w:rPr>
        <w:t>.</w:t>
      </w:r>
    </w:p>
    <w:p w:rsidR="007C3190" w:rsidP="00CE1F70" w14:paraId="5E7B61B3" w14:textId="57DAB10B">
      <w:pPr>
        <w:spacing w:after="120"/>
        <w:rPr>
          <w:szCs w:val="22"/>
        </w:rPr>
      </w:pPr>
      <w:r w:rsidRPr="00A94F1D">
        <w:rPr>
          <w:szCs w:val="22"/>
        </w:rPr>
        <w:tab/>
        <w:t>On June 10, 2019, CGB released a Public Notice inviting applications from entities interested in being certified to distribute equipment under the NDBEDP to eligible individuals in</w:t>
      </w:r>
      <w:r w:rsidRPr="00A94F1D" w:rsidR="0014016C">
        <w:rPr>
          <w:szCs w:val="22"/>
        </w:rPr>
        <w:t xml:space="preserve"> the state of</w:t>
      </w:r>
      <w:r w:rsidRPr="00A94F1D">
        <w:rPr>
          <w:szCs w:val="22"/>
        </w:rPr>
        <w:t xml:space="preserve"> </w:t>
      </w:r>
      <w:r w:rsidRPr="00A94F1D" w:rsidR="00733073">
        <w:rPr>
          <w:szCs w:val="22"/>
        </w:rPr>
        <w:t>Illinois</w:t>
      </w:r>
      <w:r w:rsidRPr="00A94F1D">
        <w:rPr>
          <w:szCs w:val="22"/>
        </w:rPr>
        <w:t>.</w:t>
      </w:r>
      <w:r>
        <w:rPr>
          <w:szCs w:val="22"/>
          <w:vertAlign w:val="superscript"/>
        </w:rPr>
        <w:footnoteReference w:id="3"/>
      </w:r>
      <w:r w:rsidRPr="00A94F1D" w:rsidR="0044087D">
        <w:rPr>
          <w:szCs w:val="22"/>
        </w:rPr>
        <w:t xml:space="preserve">  </w:t>
      </w:r>
      <w:r w:rsidRPr="00A94F1D" w:rsidR="00A53136">
        <w:rPr>
          <w:szCs w:val="22"/>
        </w:rPr>
        <w:t xml:space="preserve">In response to the Public Notice, </w:t>
      </w:r>
      <w:r w:rsidRPr="00A94F1D" w:rsidR="00817DD0">
        <w:rPr>
          <w:szCs w:val="22"/>
        </w:rPr>
        <w:t xml:space="preserve">CGB received </w:t>
      </w:r>
      <w:r w:rsidRPr="00A94F1D" w:rsidR="00A53136">
        <w:rPr>
          <w:szCs w:val="22"/>
        </w:rPr>
        <w:t xml:space="preserve">two </w:t>
      </w:r>
      <w:r w:rsidRPr="00A94F1D" w:rsidR="00817DD0">
        <w:rPr>
          <w:szCs w:val="22"/>
        </w:rPr>
        <w:t>application</w:t>
      </w:r>
      <w:r w:rsidRPr="00A94F1D" w:rsidR="00A53136">
        <w:rPr>
          <w:szCs w:val="22"/>
        </w:rPr>
        <w:t xml:space="preserve">s: </w:t>
      </w:r>
      <w:r w:rsidRPr="00A94F1D" w:rsidR="0007094E">
        <w:rPr>
          <w:szCs w:val="22"/>
        </w:rPr>
        <w:t xml:space="preserve"> </w:t>
      </w:r>
      <w:r w:rsidRPr="00A94F1D" w:rsidR="00A53136">
        <w:rPr>
          <w:szCs w:val="22"/>
        </w:rPr>
        <w:t>one</w:t>
      </w:r>
      <w:r w:rsidRPr="00A94F1D" w:rsidR="0014016C">
        <w:rPr>
          <w:szCs w:val="22"/>
        </w:rPr>
        <w:t xml:space="preserve"> </w:t>
      </w:r>
      <w:r w:rsidRPr="00A94F1D" w:rsidR="00A12A0F">
        <w:rPr>
          <w:szCs w:val="22"/>
        </w:rPr>
        <w:t xml:space="preserve">from </w:t>
      </w:r>
      <w:r w:rsidRPr="00A94F1D" w:rsidR="0014016C">
        <w:rPr>
          <w:szCs w:val="22"/>
        </w:rPr>
        <w:t>t</w:t>
      </w:r>
      <w:r w:rsidRPr="00A94F1D" w:rsidR="00817DD0">
        <w:rPr>
          <w:szCs w:val="22"/>
        </w:rPr>
        <w:t xml:space="preserve">he </w:t>
      </w:r>
      <w:r w:rsidRPr="00A94F1D" w:rsidR="00507EEF">
        <w:rPr>
          <w:szCs w:val="22"/>
        </w:rPr>
        <w:t>Anixter Center through its Chicago Hearing Society (</w:t>
      </w:r>
      <w:r w:rsidRPr="00A94F1D" w:rsidR="00817DD0">
        <w:rPr>
          <w:szCs w:val="22"/>
        </w:rPr>
        <w:t>CHS</w:t>
      </w:r>
      <w:r w:rsidRPr="00A94F1D" w:rsidR="00507EEF">
        <w:rPr>
          <w:szCs w:val="22"/>
        </w:rPr>
        <w:t>) division</w:t>
      </w:r>
      <w:r w:rsidRPr="00A94F1D" w:rsidR="00A63F8B">
        <w:rPr>
          <w:szCs w:val="22"/>
        </w:rPr>
        <w:t xml:space="preserve"> (</w:t>
      </w:r>
      <w:bookmarkStart w:id="2" w:name="_Hlk15903774"/>
      <w:r w:rsidRPr="00A94F1D" w:rsidR="00A63F8B">
        <w:rPr>
          <w:szCs w:val="22"/>
        </w:rPr>
        <w:t>Anixter Center/</w:t>
      </w:r>
      <w:bookmarkEnd w:id="2"/>
      <w:r w:rsidRPr="00A94F1D" w:rsidR="00A63F8B">
        <w:rPr>
          <w:szCs w:val="22"/>
        </w:rPr>
        <w:t>CHS)</w:t>
      </w:r>
      <w:r w:rsidRPr="00A94F1D" w:rsidR="00507EEF">
        <w:rPr>
          <w:szCs w:val="22"/>
        </w:rPr>
        <w:t>,</w:t>
      </w:r>
      <w:r w:rsidRPr="00A94F1D" w:rsidR="00A12A0F">
        <w:rPr>
          <w:szCs w:val="22"/>
        </w:rPr>
        <w:t xml:space="preserve"> </w:t>
      </w:r>
      <w:r w:rsidRPr="00A94F1D" w:rsidR="00817DD0">
        <w:rPr>
          <w:szCs w:val="22"/>
        </w:rPr>
        <w:t xml:space="preserve">and </w:t>
      </w:r>
      <w:r w:rsidRPr="00A94F1D" w:rsidR="00A12A0F">
        <w:rPr>
          <w:szCs w:val="22"/>
        </w:rPr>
        <w:t xml:space="preserve">one from </w:t>
      </w:r>
      <w:r w:rsidRPr="00A94F1D" w:rsidR="00817DD0">
        <w:rPr>
          <w:szCs w:val="22"/>
        </w:rPr>
        <w:t>the</w:t>
      </w:r>
      <w:r w:rsidRPr="00A94F1D" w:rsidR="0014016C">
        <w:rPr>
          <w:szCs w:val="22"/>
        </w:rPr>
        <w:t xml:space="preserve"> </w:t>
      </w:r>
      <w:r w:rsidRPr="00A94F1D" w:rsidR="0010734E">
        <w:rPr>
          <w:szCs w:val="22"/>
        </w:rPr>
        <w:t>Illinois Assistive Technology Program</w:t>
      </w:r>
      <w:r w:rsidRPr="00A94F1D" w:rsidR="007D2C2B">
        <w:rPr>
          <w:szCs w:val="22"/>
        </w:rPr>
        <w:t xml:space="preserve"> (IATP)</w:t>
      </w:r>
      <w:r w:rsidRPr="00A94F1D" w:rsidR="00817DD0">
        <w:rPr>
          <w:szCs w:val="22"/>
        </w:rPr>
        <w:t>.</w:t>
      </w:r>
      <w:r>
        <w:rPr>
          <w:rStyle w:val="FootnoteReference"/>
          <w:szCs w:val="22"/>
        </w:rPr>
        <w:footnoteReference w:id="4"/>
      </w:r>
      <w:r w:rsidRPr="00A94F1D" w:rsidR="00817DD0">
        <w:rPr>
          <w:szCs w:val="22"/>
        </w:rPr>
        <w:t xml:space="preserve">  </w:t>
      </w:r>
      <w:r w:rsidRPr="00A94F1D" w:rsidR="00C13CEB">
        <w:rPr>
          <w:szCs w:val="22"/>
        </w:rPr>
        <w:t xml:space="preserve">While both applicants demonstrate </w:t>
      </w:r>
      <w:r w:rsidRPr="00A94F1D" w:rsidR="00195970">
        <w:rPr>
          <w:szCs w:val="22"/>
        </w:rPr>
        <w:t xml:space="preserve">that </w:t>
      </w:r>
      <w:r w:rsidRPr="00A94F1D" w:rsidR="00C13CEB">
        <w:rPr>
          <w:szCs w:val="22"/>
        </w:rPr>
        <w:t xml:space="preserve">they </w:t>
      </w:r>
      <w:r w:rsidRPr="00A94F1D" w:rsidR="00A53136">
        <w:rPr>
          <w:szCs w:val="22"/>
        </w:rPr>
        <w:t>are</w:t>
      </w:r>
      <w:r w:rsidRPr="00A94F1D" w:rsidR="00C13CEB">
        <w:rPr>
          <w:szCs w:val="22"/>
        </w:rPr>
        <w:t xml:space="preserve"> qualified to administer the NDBEDP </w:t>
      </w:r>
      <w:r w:rsidRPr="00A94F1D" w:rsidR="003D305F">
        <w:rPr>
          <w:szCs w:val="22"/>
        </w:rPr>
        <w:t xml:space="preserve">in Illinois, </w:t>
      </w:r>
      <w:r w:rsidRPr="00A94F1D" w:rsidR="00D02588">
        <w:rPr>
          <w:szCs w:val="22"/>
        </w:rPr>
        <w:t xml:space="preserve">CGB </w:t>
      </w:r>
      <w:r w:rsidRPr="00A94F1D" w:rsidR="00A53136">
        <w:rPr>
          <w:szCs w:val="22"/>
        </w:rPr>
        <w:t xml:space="preserve">has determined </w:t>
      </w:r>
      <w:r w:rsidRPr="00A94F1D" w:rsidR="00484EA4">
        <w:rPr>
          <w:szCs w:val="22"/>
        </w:rPr>
        <w:t>t</w:t>
      </w:r>
      <w:r w:rsidRPr="00A94F1D" w:rsidR="00D02588">
        <w:rPr>
          <w:szCs w:val="22"/>
        </w:rPr>
        <w:t xml:space="preserve">hat </w:t>
      </w:r>
      <w:r w:rsidRPr="00A94F1D" w:rsidR="00484EA4">
        <w:rPr>
          <w:szCs w:val="22"/>
        </w:rPr>
        <w:t xml:space="preserve">the </w:t>
      </w:r>
      <w:r w:rsidRPr="00A94F1D" w:rsidR="00140C22">
        <w:rPr>
          <w:szCs w:val="22"/>
        </w:rPr>
        <w:t>Anixter Center/</w:t>
      </w:r>
      <w:r w:rsidRPr="00A94F1D" w:rsidR="00D02588">
        <w:rPr>
          <w:szCs w:val="22"/>
        </w:rPr>
        <w:t xml:space="preserve">CHS best meets the </w:t>
      </w:r>
      <w:r w:rsidRPr="00A94F1D" w:rsidR="00384FB5">
        <w:rPr>
          <w:szCs w:val="22"/>
        </w:rPr>
        <w:t xml:space="preserve">certification </w:t>
      </w:r>
      <w:r w:rsidRPr="00A94F1D" w:rsidR="00D02588">
        <w:rPr>
          <w:szCs w:val="22"/>
        </w:rPr>
        <w:t>criteria contained in the Commission’s rules.</w:t>
      </w:r>
      <w:r>
        <w:rPr>
          <w:rStyle w:val="FootnoteReference"/>
          <w:szCs w:val="22"/>
        </w:rPr>
        <w:footnoteReference w:id="5"/>
      </w:r>
      <w:r w:rsidRPr="00A94F1D" w:rsidR="007C7E7D">
        <w:rPr>
          <w:szCs w:val="22"/>
        </w:rPr>
        <w:t xml:space="preserve"> </w:t>
      </w:r>
      <w:r w:rsidRPr="00A94F1D" w:rsidR="007D2C2B">
        <w:rPr>
          <w:szCs w:val="22"/>
        </w:rPr>
        <w:t xml:space="preserve"> </w:t>
      </w:r>
    </w:p>
    <w:p w:rsidR="00F13706" w:rsidRPr="00A94F1D" w:rsidP="00CE1F70" w14:paraId="70277726" w14:textId="23C2242E">
      <w:pPr>
        <w:widowControl/>
        <w:spacing w:after="120"/>
        <w:ind w:firstLine="720"/>
        <w:rPr>
          <w:szCs w:val="22"/>
        </w:rPr>
      </w:pPr>
      <w:r>
        <w:rPr>
          <w:szCs w:val="22"/>
        </w:rPr>
        <w:t xml:space="preserve">The </w:t>
      </w:r>
      <w:r w:rsidRPr="00A94F1D" w:rsidR="007148E0">
        <w:rPr>
          <w:szCs w:val="22"/>
        </w:rPr>
        <w:t>Anixter Center/CHS</w:t>
      </w:r>
      <w:r w:rsidRPr="00A94F1D" w:rsidR="0043650D">
        <w:rPr>
          <w:szCs w:val="22"/>
        </w:rPr>
        <w:t xml:space="preserve"> application materials indicate that</w:t>
      </w:r>
      <w:r w:rsidRPr="00A94F1D" w:rsidR="00D02588">
        <w:rPr>
          <w:szCs w:val="22"/>
        </w:rPr>
        <w:t xml:space="preserve">, </w:t>
      </w:r>
      <w:r w:rsidRPr="00A94F1D" w:rsidR="00684E30">
        <w:rPr>
          <w:szCs w:val="22"/>
        </w:rPr>
        <w:t xml:space="preserve">since 1916, </w:t>
      </w:r>
      <w:r w:rsidRPr="00A94F1D" w:rsidR="00DA24F8">
        <w:rPr>
          <w:szCs w:val="22"/>
        </w:rPr>
        <w:t>CHS</w:t>
      </w:r>
      <w:r w:rsidRPr="00A94F1D" w:rsidR="00D02588">
        <w:rPr>
          <w:szCs w:val="22"/>
        </w:rPr>
        <w:t xml:space="preserve"> </w:t>
      </w:r>
      <w:r w:rsidRPr="00A94F1D" w:rsidR="00DA24F8">
        <w:rPr>
          <w:szCs w:val="22"/>
        </w:rPr>
        <w:t xml:space="preserve">has worked with individuals </w:t>
      </w:r>
      <w:r w:rsidRPr="00A94F1D" w:rsidR="00384FB5">
        <w:rPr>
          <w:szCs w:val="22"/>
        </w:rPr>
        <w:t xml:space="preserve">in the state </w:t>
      </w:r>
      <w:r w:rsidRPr="00A94F1D" w:rsidR="00A86E87">
        <w:rPr>
          <w:szCs w:val="22"/>
        </w:rPr>
        <w:t xml:space="preserve">who are </w:t>
      </w:r>
      <w:r w:rsidRPr="00A94F1D" w:rsidR="009A3BE2">
        <w:rPr>
          <w:szCs w:val="22"/>
        </w:rPr>
        <w:t>deaf-blind</w:t>
      </w:r>
      <w:r w:rsidRPr="00A94F1D" w:rsidR="00DA24F8">
        <w:rPr>
          <w:szCs w:val="22"/>
        </w:rPr>
        <w:t>.</w:t>
      </w:r>
      <w:r>
        <w:rPr>
          <w:rStyle w:val="FootnoteReference"/>
          <w:szCs w:val="22"/>
        </w:rPr>
        <w:footnoteReference w:id="6"/>
      </w:r>
      <w:r w:rsidRPr="00A94F1D" w:rsidR="00DA24F8">
        <w:rPr>
          <w:szCs w:val="22"/>
        </w:rPr>
        <w:t xml:space="preserve">  </w:t>
      </w:r>
      <w:r w:rsidRPr="00A94F1D" w:rsidR="00560400">
        <w:rPr>
          <w:szCs w:val="22"/>
        </w:rPr>
        <w:t xml:space="preserve">CHS serves as an equipment distribution site and </w:t>
      </w:r>
      <w:r w:rsidRPr="00A94F1D" w:rsidR="00560400">
        <w:rPr>
          <w:szCs w:val="22"/>
        </w:rPr>
        <w:t>demonstration center for the Illinois Telecommunications Access Corporation.</w:t>
      </w:r>
      <w:r>
        <w:rPr>
          <w:rStyle w:val="FootnoteReference"/>
          <w:szCs w:val="22"/>
        </w:rPr>
        <w:footnoteReference w:id="7"/>
      </w:r>
      <w:r w:rsidRPr="00A94F1D" w:rsidR="00560400">
        <w:rPr>
          <w:szCs w:val="22"/>
        </w:rPr>
        <w:t xml:space="preserve">  </w:t>
      </w:r>
      <w:r w:rsidR="00652C65">
        <w:rPr>
          <w:szCs w:val="22"/>
        </w:rPr>
        <w:t xml:space="preserve">The </w:t>
      </w:r>
      <w:r w:rsidRPr="00A94F1D" w:rsidR="0027431C">
        <w:rPr>
          <w:szCs w:val="22"/>
        </w:rPr>
        <w:t>Anixter Center</w:t>
      </w:r>
      <w:r w:rsidRPr="00A94F1D" w:rsidR="00370818">
        <w:rPr>
          <w:szCs w:val="22"/>
        </w:rPr>
        <w:t>’s</w:t>
      </w:r>
      <w:r w:rsidRPr="00A94F1D" w:rsidR="0068308B">
        <w:rPr>
          <w:szCs w:val="22"/>
        </w:rPr>
        <w:t xml:space="preserve"> </w:t>
      </w:r>
      <w:r w:rsidRPr="00A94F1D" w:rsidR="00DA24F8">
        <w:rPr>
          <w:szCs w:val="22"/>
        </w:rPr>
        <w:t>Vice President of Communication Access</w:t>
      </w:r>
      <w:r w:rsidRPr="00A94F1D" w:rsidR="00365E42">
        <w:rPr>
          <w:szCs w:val="22"/>
        </w:rPr>
        <w:t>,</w:t>
      </w:r>
      <w:r w:rsidRPr="00A94F1D" w:rsidR="00DA24F8">
        <w:rPr>
          <w:szCs w:val="22"/>
        </w:rPr>
        <w:t xml:space="preserve"> </w:t>
      </w:r>
      <w:r w:rsidRPr="00A94F1D" w:rsidR="00365E42">
        <w:rPr>
          <w:szCs w:val="22"/>
        </w:rPr>
        <w:t>who is also the</w:t>
      </w:r>
      <w:r w:rsidRPr="00A94F1D" w:rsidR="00F82DA1">
        <w:rPr>
          <w:szCs w:val="22"/>
        </w:rPr>
        <w:t xml:space="preserve"> Director of its CHS division</w:t>
      </w:r>
      <w:r w:rsidRPr="00A94F1D" w:rsidR="00365E42">
        <w:rPr>
          <w:szCs w:val="22"/>
        </w:rPr>
        <w:t>,</w:t>
      </w:r>
      <w:r w:rsidRPr="00A94F1D" w:rsidR="00F82DA1">
        <w:rPr>
          <w:szCs w:val="22"/>
        </w:rPr>
        <w:t xml:space="preserve"> </w:t>
      </w:r>
      <w:r w:rsidRPr="00A94F1D" w:rsidR="00A12A0F">
        <w:rPr>
          <w:szCs w:val="22"/>
        </w:rPr>
        <w:t xml:space="preserve">has expertise in the area of deaf-blindness </w:t>
      </w:r>
      <w:r w:rsidRPr="00A94F1D" w:rsidR="0010328B">
        <w:rPr>
          <w:szCs w:val="22"/>
        </w:rPr>
        <w:t xml:space="preserve">and </w:t>
      </w:r>
      <w:r w:rsidRPr="00A94F1D" w:rsidR="002E6C59">
        <w:rPr>
          <w:szCs w:val="22"/>
        </w:rPr>
        <w:t xml:space="preserve">is a trained </w:t>
      </w:r>
      <w:r w:rsidRPr="00A94F1D" w:rsidR="001D4309">
        <w:rPr>
          <w:szCs w:val="22"/>
        </w:rPr>
        <w:t>s</w:t>
      </w:r>
      <w:r w:rsidRPr="00A94F1D" w:rsidR="00866704">
        <w:rPr>
          <w:szCs w:val="22"/>
        </w:rPr>
        <w:t xml:space="preserve">upport </w:t>
      </w:r>
      <w:r w:rsidRPr="00A94F1D" w:rsidR="001D4309">
        <w:rPr>
          <w:szCs w:val="22"/>
        </w:rPr>
        <w:t>s</w:t>
      </w:r>
      <w:r w:rsidRPr="00A94F1D" w:rsidR="00866704">
        <w:rPr>
          <w:szCs w:val="22"/>
        </w:rPr>
        <w:t xml:space="preserve">ervice </w:t>
      </w:r>
      <w:r w:rsidRPr="00A94F1D" w:rsidR="00445E36">
        <w:rPr>
          <w:szCs w:val="22"/>
        </w:rPr>
        <w:t>p</w:t>
      </w:r>
      <w:r w:rsidRPr="00A94F1D" w:rsidR="00866704">
        <w:rPr>
          <w:szCs w:val="22"/>
        </w:rPr>
        <w:t>rovider</w:t>
      </w:r>
      <w:r w:rsidRPr="00A94F1D" w:rsidR="00DA24F8">
        <w:rPr>
          <w:szCs w:val="22"/>
        </w:rPr>
        <w:t>.</w:t>
      </w:r>
      <w:r>
        <w:rPr>
          <w:rStyle w:val="FootnoteReference"/>
          <w:szCs w:val="22"/>
        </w:rPr>
        <w:footnoteReference w:id="8"/>
      </w:r>
      <w:r w:rsidRPr="00A94F1D" w:rsidR="00DA24F8">
        <w:rPr>
          <w:szCs w:val="22"/>
        </w:rPr>
        <w:t xml:space="preserve">  CHS also </w:t>
      </w:r>
      <w:r w:rsidRPr="00A94F1D" w:rsidR="0010328B">
        <w:rPr>
          <w:szCs w:val="22"/>
        </w:rPr>
        <w:t xml:space="preserve">has </w:t>
      </w:r>
      <w:r w:rsidRPr="00A94F1D" w:rsidR="004A4007">
        <w:rPr>
          <w:szCs w:val="22"/>
        </w:rPr>
        <w:t>staff</w:t>
      </w:r>
      <w:r w:rsidRPr="00A94F1D" w:rsidR="0068308B">
        <w:rPr>
          <w:szCs w:val="22"/>
        </w:rPr>
        <w:t xml:space="preserve"> </w:t>
      </w:r>
      <w:r w:rsidRPr="00A94F1D" w:rsidR="00EB393F">
        <w:rPr>
          <w:szCs w:val="22"/>
        </w:rPr>
        <w:t xml:space="preserve">in place </w:t>
      </w:r>
      <w:r w:rsidRPr="00A94F1D" w:rsidR="0068308B">
        <w:rPr>
          <w:szCs w:val="22"/>
        </w:rPr>
        <w:t xml:space="preserve">with considerable expertise in the communications technology used by individuals who are </w:t>
      </w:r>
      <w:r w:rsidRPr="00A94F1D" w:rsidR="009A3BE2">
        <w:rPr>
          <w:szCs w:val="22"/>
        </w:rPr>
        <w:t>deaf-blind</w:t>
      </w:r>
      <w:r w:rsidRPr="00A94F1D" w:rsidR="00126DC3">
        <w:rPr>
          <w:szCs w:val="22"/>
        </w:rPr>
        <w:t xml:space="preserve"> and </w:t>
      </w:r>
      <w:r w:rsidRPr="00A94F1D" w:rsidR="00600B08">
        <w:rPr>
          <w:szCs w:val="22"/>
        </w:rPr>
        <w:t xml:space="preserve">has </w:t>
      </w:r>
      <w:r w:rsidRPr="00A94F1D" w:rsidR="00F116F5">
        <w:rPr>
          <w:szCs w:val="22"/>
        </w:rPr>
        <w:t>extensive</w:t>
      </w:r>
      <w:r w:rsidRPr="00A94F1D" w:rsidR="00B51E5E">
        <w:rPr>
          <w:szCs w:val="22"/>
        </w:rPr>
        <w:t xml:space="preserve"> </w:t>
      </w:r>
      <w:r w:rsidRPr="00A94F1D" w:rsidR="00DA24F8">
        <w:rPr>
          <w:szCs w:val="22"/>
        </w:rPr>
        <w:t xml:space="preserve">personal and professional experience </w:t>
      </w:r>
      <w:r w:rsidRPr="00A94F1D" w:rsidR="001D4309">
        <w:rPr>
          <w:szCs w:val="22"/>
        </w:rPr>
        <w:t xml:space="preserve">in serving </w:t>
      </w:r>
      <w:r w:rsidRPr="00A94F1D" w:rsidR="00685C6D">
        <w:rPr>
          <w:szCs w:val="22"/>
        </w:rPr>
        <w:t xml:space="preserve">the </w:t>
      </w:r>
      <w:r w:rsidRPr="00A94F1D" w:rsidR="0010328B">
        <w:rPr>
          <w:szCs w:val="22"/>
        </w:rPr>
        <w:t>deaf-blind</w:t>
      </w:r>
      <w:r w:rsidRPr="00A94F1D" w:rsidR="00685C6D">
        <w:rPr>
          <w:szCs w:val="22"/>
        </w:rPr>
        <w:t xml:space="preserve"> community</w:t>
      </w:r>
      <w:r w:rsidRPr="00A94F1D" w:rsidR="00DA24F8">
        <w:rPr>
          <w:szCs w:val="22"/>
        </w:rPr>
        <w:t>.</w:t>
      </w:r>
      <w:r>
        <w:rPr>
          <w:rStyle w:val="FootnoteReference"/>
          <w:szCs w:val="22"/>
        </w:rPr>
        <w:footnoteReference w:id="9"/>
      </w:r>
      <w:r w:rsidRPr="00A94F1D" w:rsidR="00DA24F8">
        <w:rPr>
          <w:szCs w:val="22"/>
        </w:rPr>
        <w:t xml:space="preserve">  </w:t>
      </w:r>
      <w:r w:rsidRPr="00A94F1D" w:rsidR="00072B9C">
        <w:rPr>
          <w:szCs w:val="22"/>
        </w:rPr>
        <w:t>In addition, t</w:t>
      </w:r>
      <w:r w:rsidRPr="00A94F1D" w:rsidR="003E144A">
        <w:rPr>
          <w:szCs w:val="22"/>
        </w:rPr>
        <w:t xml:space="preserve">he </w:t>
      </w:r>
      <w:r w:rsidRPr="00A94F1D" w:rsidR="00140C22">
        <w:rPr>
          <w:szCs w:val="22"/>
        </w:rPr>
        <w:t>Anixter Center</w:t>
      </w:r>
      <w:r w:rsidRPr="00A94F1D" w:rsidR="008566F4">
        <w:rPr>
          <w:szCs w:val="22"/>
        </w:rPr>
        <w:t xml:space="preserve"> provided evidence of its administrative and financial management experience and proficiency based on </w:t>
      </w:r>
      <w:r w:rsidRPr="00A94F1D" w:rsidR="00BC0C14">
        <w:rPr>
          <w:szCs w:val="22"/>
        </w:rPr>
        <w:t>its</w:t>
      </w:r>
      <w:r w:rsidRPr="00A94F1D" w:rsidR="008566F4">
        <w:rPr>
          <w:szCs w:val="22"/>
        </w:rPr>
        <w:t xml:space="preserve"> management of a significant budget and longstanding fiscal operations.</w:t>
      </w:r>
      <w:r>
        <w:rPr>
          <w:rStyle w:val="FootnoteReference"/>
          <w:szCs w:val="22"/>
        </w:rPr>
        <w:footnoteReference w:id="10"/>
      </w:r>
      <w:r w:rsidRPr="00A94F1D" w:rsidR="00671BC8">
        <w:rPr>
          <w:szCs w:val="22"/>
        </w:rPr>
        <w:t xml:space="preserve">  </w:t>
      </w:r>
      <w:r w:rsidRPr="00A94F1D" w:rsidR="00072B9C">
        <w:rPr>
          <w:szCs w:val="22"/>
        </w:rPr>
        <w:t>Finally, the Anixter Center/CHS application evidences strong backing from the community with four letters of support, including letters from the Mayor’s Office for People with Disabilities of the City of Chicago, and the Chicago Lighthouse, the exiting certified entity.</w:t>
      </w:r>
      <w:r>
        <w:rPr>
          <w:rStyle w:val="FootnoteReference"/>
          <w:szCs w:val="22"/>
        </w:rPr>
        <w:footnoteReference w:id="11"/>
      </w:r>
      <w:r w:rsidRPr="00A94F1D" w:rsidR="00072B9C">
        <w:rPr>
          <w:szCs w:val="22"/>
        </w:rPr>
        <w:t xml:space="preserve">  </w:t>
      </w:r>
    </w:p>
    <w:p w:rsidR="00652C65" w:rsidP="00CE1F70" w14:paraId="30DAC1DD" w14:textId="1CE421DC">
      <w:pPr>
        <w:spacing w:after="120"/>
        <w:ind w:firstLine="720"/>
        <w:rPr>
          <w:szCs w:val="22"/>
        </w:rPr>
      </w:pPr>
      <w:r w:rsidRPr="00A94F1D">
        <w:rPr>
          <w:szCs w:val="22"/>
        </w:rPr>
        <w:t xml:space="preserve">  </w:t>
      </w:r>
      <w:r w:rsidRPr="00A94F1D">
        <w:rPr>
          <w:szCs w:val="22"/>
        </w:rPr>
        <w:t xml:space="preserve">IATP </w:t>
      </w:r>
      <w:r>
        <w:rPr>
          <w:szCs w:val="22"/>
        </w:rPr>
        <w:t xml:space="preserve">states that it </w:t>
      </w:r>
      <w:r w:rsidRPr="00A94F1D">
        <w:rPr>
          <w:szCs w:val="22"/>
        </w:rPr>
        <w:t>has been promoting access to and funding for assistive technology devices and services for individuals with disabilities in Illinois since 1989.</w:t>
      </w:r>
      <w:r>
        <w:rPr>
          <w:rStyle w:val="FootnoteReference"/>
          <w:szCs w:val="22"/>
        </w:rPr>
        <w:footnoteReference w:id="12"/>
      </w:r>
      <w:r w:rsidRPr="00A94F1D">
        <w:rPr>
          <w:szCs w:val="22"/>
        </w:rPr>
        <w:t xml:space="preserve">  </w:t>
      </w:r>
      <w:r w:rsidRPr="00A94F1D" w:rsidR="00560400">
        <w:rPr>
          <w:szCs w:val="22"/>
        </w:rPr>
        <w:t>IATP contracts with the Illinois Department of Human Services, Division of Rehabilitative Services, to provide assistive technology assessments,</w:t>
      </w:r>
      <w:r w:rsidR="00121F17">
        <w:rPr>
          <w:szCs w:val="22"/>
        </w:rPr>
        <w:t xml:space="preserve"> and to </w:t>
      </w:r>
      <w:r w:rsidRPr="00A94F1D" w:rsidR="00560400">
        <w:rPr>
          <w:szCs w:val="22"/>
        </w:rPr>
        <w:t>purchase, deliver, set up, and train individuals with disabilities to use equipment purchased under the contracts.</w:t>
      </w:r>
      <w:r>
        <w:rPr>
          <w:rStyle w:val="FootnoteReference"/>
          <w:szCs w:val="22"/>
        </w:rPr>
        <w:footnoteReference w:id="13"/>
      </w:r>
      <w:r w:rsidRPr="00A94F1D" w:rsidR="00560400">
        <w:rPr>
          <w:szCs w:val="22"/>
        </w:rPr>
        <w:t xml:space="preserve">  </w:t>
      </w:r>
      <w:r>
        <w:rPr>
          <w:szCs w:val="22"/>
        </w:rPr>
        <w:t>W</w:t>
      </w:r>
      <w:r w:rsidRPr="00A94F1D">
        <w:rPr>
          <w:szCs w:val="22"/>
        </w:rPr>
        <w:t>hen working with individuals who are deaf-blind, IATP hires tactile interpreters or uses the assistive technology that the individual is comfortable with to communicate.</w:t>
      </w:r>
      <w:r>
        <w:rPr>
          <w:rStyle w:val="FootnoteReference"/>
          <w:szCs w:val="22"/>
        </w:rPr>
        <w:footnoteReference w:id="14"/>
      </w:r>
      <w:r w:rsidRPr="00A94F1D">
        <w:rPr>
          <w:szCs w:val="22"/>
        </w:rPr>
        <w:t xml:space="preserve">  </w:t>
      </w:r>
      <w:r w:rsidR="00CE1F70">
        <w:rPr>
          <w:szCs w:val="22"/>
        </w:rPr>
        <w:t>IATP states that</w:t>
      </w:r>
      <w:r w:rsidR="005F4134">
        <w:rPr>
          <w:szCs w:val="22"/>
        </w:rPr>
        <w:t>,</w:t>
      </w:r>
      <w:r w:rsidR="00CE1F70">
        <w:rPr>
          <w:szCs w:val="22"/>
        </w:rPr>
        <w:t xml:space="preserve"> if </w:t>
      </w:r>
      <w:r w:rsidRPr="00A94F1D">
        <w:rPr>
          <w:szCs w:val="22"/>
        </w:rPr>
        <w:t>selected as the certified entity for Illinois, it will bring on staff that is familiar with the NDBEDP.</w:t>
      </w:r>
      <w:r>
        <w:rPr>
          <w:rStyle w:val="FootnoteReference"/>
          <w:szCs w:val="22"/>
        </w:rPr>
        <w:footnoteReference w:id="15"/>
      </w:r>
      <w:r w:rsidRPr="00A94F1D">
        <w:rPr>
          <w:szCs w:val="22"/>
        </w:rPr>
        <w:t xml:space="preserve">  IATP demonstrated its financial and administrative experience by its management of its Assistive Technology Act funding</w:t>
      </w:r>
      <w:r>
        <w:rPr>
          <w:szCs w:val="22"/>
        </w:rPr>
        <w:t xml:space="preserve"> and other </w:t>
      </w:r>
      <w:r w:rsidR="00643A74">
        <w:rPr>
          <w:szCs w:val="22"/>
        </w:rPr>
        <w:t xml:space="preserve">federal and state grant </w:t>
      </w:r>
      <w:r>
        <w:rPr>
          <w:szCs w:val="22"/>
        </w:rPr>
        <w:t>funding</w:t>
      </w:r>
      <w:r w:rsidRPr="00A94F1D">
        <w:rPr>
          <w:szCs w:val="22"/>
          <w:lang w:bidi="en-US"/>
        </w:rPr>
        <w:t xml:space="preserve">, and </w:t>
      </w:r>
      <w:r w:rsidRPr="00A94F1D">
        <w:rPr>
          <w:szCs w:val="22"/>
        </w:rPr>
        <w:t>through its current service as the Fiscal Administrator for the National Association of Tech Act Programs.</w:t>
      </w:r>
      <w:r>
        <w:rPr>
          <w:rStyle w:val="FootnoteReference"/>
          <w:szCs w:val="22"/>
        </w:rPr>
        <w:footnoteReference w:id="16"/>
      </w:r>
      <w:r w:rsidRPr="00A94F1D">
        <w:rPr>
          <w:szCs w:val="22"/>
        </w:rPr>
        <w:t xml:space="preserve">  </w:t>
      </w:r>
      <w:r w:rsidRPr="00A94F1D">
        <w:rPr>
          <w:snapToGrid/>
          <w:kern w:val="0"/>
          <w:szCs w:val="22"/>
        </w:rPr>
        <w:t>IATP provided one letter of support for its certification.</w:t>
      </w:r>
      <w:r>
        <w:rPr>
          <w:rStyle w:val="FootnoteReference"/>
          <w:snapToGrid/>
          <w:kern w:val="0"/>
          <w:szCs w:val="22"/>
        </w:rPr>
        <w:footnoteReference w:id="17"/>
      </w:r>
      <w:r w:rsidRPr="00A94F1D">
        <w:rPr>
          <w:szCs w:val="22"/>
        </w:rPr>
        <w:t xml:space="preserve">  </w:t>
      </w:r>
    </w:p>
    <w:p w:rsidR="00DB1DDB" w:rsidRPr="00A94F1D" w:rsidP="00CE1F70" w14:paraId="0654B82C" w14:textId="52DB468A">
      <w:pPr>
        <w:spacing w:after="120"/>
        <w:ind w:firstLine="720"/>
        <w:rPr>
          <w:szCs w:val="22"/>
        </w:rPr>
      </w:pPr>
      <w:r>
        <w:rPr>
          <w:szCs w:val="22"/>
        </w:rPr>
        <w:t>Based on the information provided, we conclude that</w:t>
      </w:r>
      <w:r w:rsidRPr="00A94F1D" w:rsidR="00652C65">
        <w:rPr>
          <w:szCs w:val="22"/>
        </w:rPr>
        <w:t xml:space="preserve"> Anixter Center/CHS </w:t>
      </w:r>
      <w:r w:rsidR="00CE1F70">
        <w:rPr>
          <w:szCs w:val="22"/>
        </w:rPr>
        <w:t xml:space="preserve">is </w:t>
      </w:r>
      <w:r w:rsidRPr="00A94F1D" w:rsidR="00652C65">
        <w:rPr>
          <w:szCs w:val="22"/>
        </w:rPr>
        <w:t>more experienced, better prepared, and ready with the resources needed to serve NDBEDP applicants.</w:t>
      </w:r>
      <w:r w:rsidR="00744FB8">
        <w:rPr>
          <w:szCs w:val="22"/>
        </w:rPr>
        <w:t xml:space="preserve">  </w:t>
      </w:r>
      <w:r w:rsidR="00744FB8">
        <w:rPr>
          <w:szCs w:val="22"/>
        </w:rPr>
        <w:t xml:space="preserve">In particular, </w:t>
      </w:r>
      <w:r w:rsidRPr="00A94F1D" w:rsidR="00652C65">
        <w:rPr>
          <w:szCs w:val="22"/>
        </w:rPr>
        <w:t>CHS</w:t>
      </w:r>
      <w:r w:rsidRPr="00A94F1D" w:rsidR="00652C65">
        <w:rPr>
          <w:szCs w:val="22"/>
        </w:rPr>
        <w:t xml:space="preserve"> has more extensive experience in providing accessible services to the deaf-blind community, and several of its employees, individually and collectively, have a wealth of </w:t>
      </w:r>
      <w:r w:rsidR="00CE1F70">
        <w:rPr>
          <w:szCs w:val="22"/>
        </w:rPr>
        <w:t xml:space="preserve">expertise and </w:t>
      </w:r>
      <w:r w:rsidRPr="00A94F1D" w:rsidR="00652C65">
        <w:rPr>
          <w:szCs w:val="22"/>
        </w:rPr>
        <w:t xml:space="preserve">experience working with people who are deaf-blind and addressing their communication needs.  </w:t>
      </w:r>
      <w:r w:rsidRPr="00A94F1D" w:rsidR="00F913B1">
        <w:rPr>
          <w:szCs w:val="22"/>
        </w:rPr>
        <w:t>Accordingly</w:t>
      </w:r>
      <w:r w:rsidRPr="00A94F1D">
        <w:rPr>
          <w:szCs w:val="22"/>
        </w:rPr>
        <w:t xml:space="preserve">, CGB finds that </w:t>
      </w:r>
      <w:r w:rsidRPr="00A94F1D" w:rsidR="00484EA4">
        <w:rPr>
          <w:szCs w:val="22"/>
        </w:rPr>
        <w:t xml:space="preserve">the </w:t>
      </w:r>
      <w:r w:rsidRPr="00A94F1D" w:rsidR="0069285C">
        <w:rPr>
          <w:szCs w:val="22"/>
        </w:rPr>
        <w:t xml:space="preserve">Anixter Center </w:t>
      </w:r>
      <w:r w:rsidRPr="00A94F1D">
        <w:rPr>
          <w:szCs w:val="22"/>
        </w:rPr>
        <w:t xml:space="preserve">is </w:t>
      </w:r>
      <w:r w:rsidRPr="00A94F1D" w:rsidR="006C653C">
        <w:rPr>
          <w:szCs w:val="22"/>
        </w:rPr>
        <w:t>better</w:t>
      </w:r>
      <w:r w:rsidRPr="00A94F1D" w:rsidR="003D305F">
        <w:rPr>
          <w:szCs w:val="22"/>
        </w:rPr>
        <w:t xml:space="preserve"> suited </w:t>
      </w:r>
      <w:r w:rsidRPr="00A94F1D">
        <w:rPr>
          <w:szCs w:val="22"/>
        </w:rPr>
        <w:t xml:space="preserve">to </w:t>
      </w:r>
      <w:r w:rsidRPr="00A94F1D" w:rsidR="00EB393F">
        <w:rPr>
          <w:szCs w:val="22"/>
        </w:rPr>
        <w:t>administer</w:t>
      </w:r>
      <w:r w:rsidRPr="00A94F1D">
        <w:rPr>
          <w:szCs w:val="22"/>
        </w:rPr>
        <w:t xml:space="preserve"> the NDBEDP</w:t>
      </w:r>
      <w:r w:rsidRPr="00A94F1D" w:rsidR="009C4421">
        <w:rPr>
          <w:szCs w:val="22"/>
        </w:rPr>
        <w:t xml:space="preserve"> in Illinois</w:t>
      </w:r>
      <w:r w:rsidRPr="00A94F1D">
        <w:rPr>
          <w:szCs w:val="22"/>
        </w:rPr>
        <w:t xml:space="preserve"> </w:t>
      </w:r>
      <w:r w:rsidR="00744FB8">
        <w:rPr>
          <w:szCs w:val="22"/>
        </w:rPr>
        <w:t xml:space="preserve">at this time </w:t>
      </w:r>
      <w:r w:rsidRPr="00A94F1D">
        <w:rPr>
          <w:szCs w:val="22"/>
        </w:rPr>
        <w:t xml:space="preserve">and certifies </w:t>
      </w:r>
      <w:r w:rsidRPr="00A94F1D" w:rsidR="00484EA4">
        <w:rPr>
          <w:szCs w:val="22"/>
        </w:rPr>
        <w:t xml:space="preserve">the </w:t>
      </w:r>
      <w:r w:rsidRPr="00A94F1D" w:rsidR="0069285C">
        <w:rPr>
          <w:szCs w:val="22"/>
        </w:rPr>
        <w:t xml:space="preserve">Anixter Center </w:t>
      </w:r>
      <w:r w:rsidRPr="00A94F1D">
        <w:rPr>
          <w:szCs w:val="22"/>
        </w:rPr>
        <w:t xml:space="preserve">to become the authorized entity to distribute equipment and provide related services under the NDBEDP in </w:t>
      </w:r>
      <w:r w:rsidRPr="00A94F1D" w:rsidR="00304976">
        <w:rPr>
          <w:szCs w:val="22"/>
        </w:rPr>
        <w:t>Illinois</w:t>
      </w:r>
      <w:r w:rsidRPr="00A94F1D">
        <w:rPr>
          <w:szCs w:val="22"/>
        </w:rPr>
        <w:t xml:space="preserve">, effective </w:t>
      </w:r>
      <w:r w:rsidR="00DF2ED2">
        <w:rPr>
          <w:szCs w:val="22"/>
        </w:rPr>
        <w:t>August 22, 2019</w:t>
      </w:r>
      <w:bookmarkStart w:id="3" w:name="_GoBack"/>
      <w:bookmarkEnd w:id="3"/>
      <w:r w:rsidRPr="00A94F1D">
        <w:rPr>
          <w:szCs w:val="22"/>
        </w:rPr>
        <w:t>, through June 30, 2022.</w:t>
      </w:r>
      <w:r>
        <w:rPr>
          <w:rStyle w:val="FootnoteReference"/>
          <w:szCs w:val="22"/>
        </w:rPr>
        <w:footnoteReference w:id="18"/>
      </w:r>
    </w:p>
    <w:p w:rsidR="00DB1DDB" w:rsidRPr="00A94F1D" w:rsidP="00A94F1D" w14:paraId="7B2A3032" w14:textId="6D10AB07">
      <w:pPr>
        <w:spacing w:after="120"/>
        <w:ind w:firstLine="720"/>
        <w:rPr>
          <w:szCs w:val="22"/>
        </w:rPr>
      </w:pPr>
      <w:r w:rsidRPr="00A94F1D">
        <w:rPr>
          <w:szCs w:val="22"/>
        </w:rPr>
        <w:t xml:space="preserve">The </w:t>
      </w:r>
      <w:r w:rsidRPr="00A94F1D" w:rsidR="0069285C">
        <w:rPr>
          <w:szCs w:val="22"/>
        </w:rPr>
        <w:t xml:space="preserve">Anixter Center, through </w:t>
      </w:r>
      <w:r w:rsidRPr="00A94F1D" w:rsidR="00E07E0F">
        <w:rPr>
          <w:szCs w:val="22"/>
        </w:rPr>
        <w:t xml:space="preserve">its </w:t>
      </w:r>
      <w:r w:rsidRPr="00A94F1D" w:rsidR="00304976">
        <w:rPr>
          <w:szCs w:val="22"/>
        </w:rPr>
        <w:t>CHS</w:t>
      </w:r>
      <w:r w:rsidRPr="00A94F1D" w:rsidR="00E07E0F">
        <w:rPr>
          <w:szCs w:val="22"/>
        </w:rPr>
        <w:t xml:space="preserve"> division</w:t>
      </w:r>
      <w:r w:rsidRPr="00A94F1D" w:rsidR="0069285C">
        <w:rPr>
          <w:szCs w:val="22"/>
        </w:rPr>
        <w:t>,</w:t>
      </w:r>
      <w:r w:rsidRPr="00A94F1D">
        <w:rPr>
          <w:szCs w:val="22"/>
        </w:rPr>
        <w:t xml:space="preserve"> will have full responsibility for</w:t>
      </w:r>
      <w:r w:rsidRPr="00A94F1D" w:rsidR="009C4421">
        <w:rPr>
          <w:rFonts w:ascii="TimesNewRoman" w:hAnsi="TimesNewRoman" w:cs="TimesNewRoman"/>
          <w:snapToGrid/>
          <w:color w:val="000000"/>
          <w:kern w:val="0"/>
          <w:szCs w:val="22"/>
        </w:rPr>
        <w:t xml:space="preserve"> </w:t>
      </w:r>
      <w:r w:rsidRPr="00A94F1D">
        <w:rPr>
          <w:szCs w:val="22"/>
        </w:rPr>
        <w:t>distributing equipment and providing related services</w:t>
      </w:r>
      <w:r w:rsidRPr="00A94F1D" w:rsidR="00EB393F">
        <w:rPr>
          <w:szCs w:val="22"/>
        </w:rPr>
        <w:t xml:space="preserve"> in Illinois</w:t>
      </w:r>
      <w:r w:rsidRPr="00A94F1D">
        <w:rPr>
          <w:szCs w:val="22"/>
        </w:rPr>
        <w:t>, including outreach, assessments, installation, and training, either directly or through collaboration, partnership, or contract with other individuals or entities in-state or out-of-state, including other NDBEDP certified programs.</w:t>
      </w:r>
      <w:r>
        <w:rPr>
          <w:rStyle w:val="FootnoteReference"/>
          <w:szCs w:val="22"/>
        </w:rPr>
        <w:footnoteReference w:id="19"/>
      </w:r>
      <w:r w:rsidRPr="00A94F1D">
        <w:rPr>
          <w:szCs w:val="22"/>
        </w:rPr>
        <w:t xml:space="preserve">  </w:t>
      </w:r>
      <w:r w:rsidRPr="00A94F1D">
        <w:rPr>
          <w:szCs w:val="22"/>
        </w:rPr>
        <w:t xml:space="preserve">The </w:t>
      </w:r>
      <w:r w:rsidRPr="00A94F1D" w:rsidR="0069285C">
        <w:rPr>
          <w:szCs w:val="22"/>
        </w:rPr>
        <w:t xml:space="preserve">Anixter Center </w:t>
      </w:r>
      <w:r w:rsidRPr="00A94F1D">
        <w:rPr>
          <w:szCs w:val="22"/>
        </w:rPr>
        <w:t>must comply with the Commission’s NDBEDP rules pertaining to its participation in this program,</w:t>
      </w:r>
      <w:r>
        <w:rPr>
          <w:rStyle w:val="FootnoteReference"/>
          <w:szCs w:val="22"/>
        </w:rPr>
        <w:footnoteReference w:id="20"/>
      </w:r>
      <w:r w:rsidRPr="00A94F1D">
        <w:rPr>
          <w:szCs w:val="22"/>
        </w:rPr>
        <w:t xml:space="preserve"> including </w:t>
      </w:r>
      <w:r w:rsidRPr="00A94F1D" w:rsidR="004839E2">
        <w:rPr>
          <w:szCs w:val="22"/>
        </w:rPr>
        <w:t xml:space="preserve">transitional </w:t>
      </w:r>
      <w:r w:rsidRPr="00A94F1D">
        <w:rPr>
          <w:szCs w:val="22"/>
        </w:rPr>
        <w:t xml:space="preserve">requirements to ensure the continuation of NDBEDP operations in </w:t>
      </w:r>
      <w:r w:rsidRPr="00A94F1D" w:rsidR="00304976">
        <w:rPr>
          <w:szCs w:val="22"/>
        </w:rPr>
        <w:t>Illinois</w:t>
      </w:r>
      <w:r w:rsidRPr="00A94F1D">
        <w:rPr>
          <w:szCs w:val="22"/>
        </w:rPr>
        <w:t xml:space="preserve"> if</w:t>
      </w:r>
      <w:r w:rsidRPr="00A94F1D" w:rsidR="004839E2">
        <w:rPr>
          <w:szCs w:val="22"/>
        </w:rPr>
        <w:t xml:space="preserve"> its certification is relinquished, terminated, or not renewed</w:t>
      </w:r>
      <w:r w:rsidRPr="00A94F1D">
        <w:rPr>
          <w:szCs w:val="22"/>
        </w:rPr>
        <w:t>.</w:t>
      </w:r>
      <w:r>
        <w:rPr>
          <w:rStyle w:val="FootnoteReference"/>
          <w:szCs w:val="22"/>
        </w:rPr>
        <w:footnoteReference w:id="21"/>
      </w:r>
    </w:p>
    <w:p w:rsidR="00DB1DDB" w:rsidRPr="00A94F1D" w:rsidP="00A94F1D" w14:paraId="1C87E18E" w14:textId="77777777">
      <w:pPr>
        <w:spacing w:after="120"/>
        <w:ind w:firstLine="720"/>
        <w:rPr>
          <w:szCs w:val="22"/>
        </w:rPr>
      </w:pPr>
      <w:r w:rsidRPr="00A94F1D">
        <w:rPr>
          <w:b/>
          <w:bCs/>
          <w:szCs w:val="22"/>
        </w:rPr>
        <w:t xml:space="preserve">ACCESSIBLE FORMATS:  </w:t>
      </w:r>
      <w:r w:rsidRPr="00A94F1D">
        <w:rPr>
          <w:szCs w:val="22"/>
        </w:rPr>
        <w:t xml:space="preserve">To request materials in accessible formats for people with disabilities (Braille, large print, electronic files, audio format), send an e-mail to </w:t>
      </w:r>
      <w:hyperlink r:id="rId5" w:history="1">
        <w:r w:rsidRPr="00A94F1D">
          <w:rPr>
            <w:rStyle w:val="Hyperlink"/>
            <w:szCs w:val="22"/>
          </w:rPr>
          <w:t>fcc504@fcc.gov</w:t>
        </w:r>
      </w:hyperlink>
      <w:r w:rsidRPr="00A94F1D">
        <w:rPr>
          <w:szCs w:val="22"/>
        </w:rPr>
        <w:t xml:space="preserve"> or call the Consumer and Governmental Affairs Bureau at 202-418-0530 (voice), 202-418-0432 (TTY).</w:t>
      </w:r>
    </w:p>
    <w:p w:rsidR="000E5884" w:rsidRPr="00A94F1D" w:rsidP="00A94F1D" w14:paraId="428EC0C3" w14:textId="5B36223F">
      <w:pPr>
        <w:spacing w:after="120"/>
        <w:ind w:firstLine="720"/>
        <w:rPr>
          <w:szCs w:val="22"/>
        </w:rPr>
      </w:pPr>
      <w:r w:rsidRPr="00A94F1D">
        <w:rPr>
          <w:b/>
          <w:bCs/>
          <w:szCs w:val="22"/>
        </w:rPr>
        <w:t xml:space="preserve">FOR FURTHER INFORMATION:  </w:t>
      </w:r>
      <w:r w:rsidRPr="00A94F1D">
        <w:rPr>
          <w:bCs/>
          <w:szCs w:val="22"/>
        </w:rPr>
        <w:t>Contact</w:t>
      </w:r>
      <w:r w:rsidRPr="00A94F1D">
        <w:rPr>
          <w:b/>
          <w:bCs/>
          <w:szCs w:val="22"/>
        </w:rPr>
        <w:t xml:space="preserve"> </w:t>
      </w:r>
      <w:r w:rsidRPr="00A94F1D">
        <w:rPr>
          <w:szCs w:val="22"/>
        </w:rPr>
        <w:t xml:space="preserve">Jackie Ellington, Disability Rights Office, CGB, at 202-418-1153 or </w:t>
      </w:r>
      <w:hyperlink r:id="rId6" w:history="1">
        <w:r w:rsidRPr="00A94F1D">
          <w:rPr>
            <w:rStyle w:val="Hyperlink"/>
            <w:szCs w:val="22"/>
          </w:rPr>
          <w:t>Jackie.Ellington@fcc.gov</w:t>
        </w:r>
      </w:hyperlink>
      <w:r w:rsidRPr="00A94F1D">
        <w:rPr>
          <w:szCs w:val="22"/>
        </w:rPr>
        <w:t>; or Rosaline Crawford, Disability Rights Office, CGB, at 202</w:t>
      </w:r>
      <w:r w:rsidRPr="00A94F1D">
        <w:rPr>
          <w:szCs w:val="22"/>
        </w:rPr>
        <w:noBreakHyphen/>
        <w:t xml:space="preserve">418-2075 or </w:t>
      </w:r>
      <w:hyperlink r:id="rId7" w:history="1">
        <w:r w:rsidRPr="00A94F1D">
          <w:rPr>
            <w:rStyle w:val="Hyperlink"/>
            <w:szCs w:val="22"/>
          </w:rPr>
          <w:t>Rosaline.Crawford@fcc.gov</w:t>
        </w:r>
      </w:hyperlink>
      <w:r w:rsidRPr="00A94F1D">
        <w:rPr>
          <w:szCs w:val="22"/>
        </w:rPr>
        <w:t>.</w:t>
      </w:r>
    </w:p>
    <w:sectPr w:rsidSect="00136D8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27C5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7CE7E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136D87" w14:paraId="54E5D430"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483042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5AFB" w14:paraId="273105F2" w14:textId="77777777">
      <w:r>
        <w:separator/>
      </w:r>
    </w:p>
  </w:footnote>
  <w:footnote w:type="continuationSeparator" w:id="1">
    <w:p w:rsidR="00345AFB" w14:paraId="720DF260" w14:textId="77777777">
      <w:pPr>
        <w:rPr>
          <w:sz w:val="20"/>
        </w:rPr>
      </w:pPr>
      <w:r>
        <w:rPr>
          <w:sz w:val="20"/>
        </w:rPr>
        <w:t xml:space="preserve">(Continued from previous page)  </w:t>
      </w:r>
      <w:r>
        <w:rPr>
          <w:sz w:val="20"/>
        </w:rPr>
        <w:separator/>
      </w:r>
    </w:p>
  </w:footnote>
  <w:footnote w:type="continuationNotice" w:id="2">
    <w:p w:rsidR="00345AFB" w:rsidRPr="00617899" w:rsidP="00617899" w14:paraId="6B350B4E" w14:textId="77777777">
      <w:pPr>
        <w:pStyle w:val="Footer"/>
      </w:pPr>
    </w:p>
  </w:footnote>
  <w:footnote w:id="3">
    <w:p w:rsidR="00DB1DDB" w:rsidRPr="00A94F1D" w:rsidP="00A94F1D" w14:paraId="52969F99" w14:textId="5F992692">
      <w:pPr>
        <w:pStyle w:val="FootnoteText"/>
      </w:pPr>
      <w:r w:rsidRPr="00A94F1D">
        <w:rPr>
          <w:rStyle w:val="FootnoteReference"/>
          <w:sz w:val="20"/>
        </w:rPr>
        <w:footnoteRef/>
      </w:r>
      <w:r w:rsidRPr="00A94F1D">
        <w:t xml:space="preserve"> </w:t>
      </w:r>
      <w:r w:rsidRPr="00A94F1D">
        <w:rPr>
          <w:i/>
        </w:rPr>
        <w:t>FCC Invites Applications for Certification to Participate in the National Deaf-Blind Equipment Distribution Program for Kentucky and Illinois</w:t>
      </w:r>
      <w:r w:rsidRPr="00A94F1D">
        <w:t xml:space="preserve">, Public Notice, DA 19-543 (CGB June 10, 2019) </w:t>
      </w:r>
      <w:r w:rsidRPr="00A94F1D" w:rsidR="00082093">
        <w:t>(</w:t>
      </w:r>
      <w:r w:rsidRPr="00A94F1D" w:rsidR="00082093">
        <w:rPr>
          <w:i/>
        </w:rPr>
        <w:t>Kentucky and Illinois Application Public Notice</w:t>
      </w:r>
      <w:r w:rsidRPr="00A94F1D" w:rsidR="00082093">
        <w:t xml:space="preserve">) </w:t>
      </w:r>
      <w:r w:rsidRPr="00A94F1D">
        <w:t xml:space="preserve">(summarizing the qualifications for obtaining certification to participate in the NDBEDP), </w:t>
      </w:r>
      <w:hyperlink r:id="rId1" w:history="1">
        <w:r w:rsidRPr="00A94F1D">
          <w:rPr>
            <w:rStyle w:val="Hyperlink"/>
          </w:rPr>
          <w:t>https://docs.fcc.gov/public/attachments/DA-19-543A1.pdf</w:t>
        </w:r>
      </w:hyperlink>
      <w:bookmarkStart w:id="1" w:name="_Hlk9415048"/>
      <w:bookmarkEnd w:id="1"/>
      <w:r w:rsidRPr="00A94F1D">
        <w:t>.  In 2017, CGB certified</w:t>
      </w:r>
      <w:r w:rsidRPr="00A94F1D" w:rsidR="00304976">
        <w:t xml:space="preserve"> The Chicago Lighthouse</w:t>
      </w:r>
      <w:r w:rsidRPr="00A94F1D" w:rsidR="00A355E4">
        <w:t xml:space="preserve"> Serving the Blind, Visually Impaired, Disabled and Veteran Communities (The Chicago Lighthouse)</w:t>
      </w:r>
      <w:r w:rsidRPr="00A94F1D" w:rsidR="00304976">
        <w:t xml:space="preserve"> </w:t>
      </w:r>
      <w:r w:rsidRPr="00A94F1D">
        <w:t xml:space="preserve">to distribute equipment under the NDBEDP for </w:t>
      </w:r>
      <w:r w:rsidRPr="00A94F1D" w:rsidR="00304976">
        <w:t>Illinois</w:t>
      </w:r>
      <w:r w:rsidRPr="00A94F1D">
        <w:t xml:space="preserve"> for a period of five years, from July 1, 2017, through June 30, 2022.  </w:t>
      </w:r>
      <w:r w:rsidRPr="00A94F1D">
        <w:rPr>
          <w:i/>
        </w:rPr>
        <w:t>See Commission Announces Entities Certified to Participate in the National Deaf-Blind Equipment Distribution Program for Nine Additional States</w:t>
      </w:r>
      <w:r w:rsidRPr="00A94F1D">
        <w:t>, Public Notice, 32 FCC Rcd 5041 (CGB 2017) (including</w:t>
      </w:r>
      <w:r w:rsidRPr="00A94F1D" w:rsidR="00304976">
        <w:t xml:space="preserve"> Illinois</w:t>
      </w:r>
      <w:r w:rsidRPr="00A94F1D">
        <w:t xml:space="preserve">).  </w:t>
      </w:r>
      <w:r w:rsidRPr="00A94F1D" w:rsidR="00304976">
        <w:t>The Chicago Lighthouse re</w:t>
      </w:r>
      <w:r w:rsidRPr="00A94F1D">
        <w:t>linquished its certification effective Ju</w:t>
      </w:r>
      <w:r w:rsidRPr="00A94F1D" w:rsidR="003A4012">
        <w:t>ne 30</w:t>
      </w:r>
      <w:r w:rsidRPr="00A94F1D">
        <w:t>, 2019.</w:t>
      </w:r>
      <w:r w:rsidRPr="00A94F1D">
        <w:rPr>
          <w:snapToGrid w:val="0"/>
          <w:kern w:val="28"/>
        </w:rPr>
        <w:t xml:space="preserve">  </w:t>
      </w:r>
      <w:r w:rsidRPr="00A94F1D">
        <w:t xml:space="preserve">Letter from </w:t>
      </w:r>
      <w:r w:rsidRPr="00A94F1D" w:rsidR="00E72254">
        <w:t xml:space="preserve">Janet </w:t>
      </w:r>
      <w:r w:rsidRPr="00A94F1D" w:rsidR="00E72254">
        <w:t>Szlyk</w:t>
      </w:r>
      <w:r w:rsidRPr="00A94F1D" w:rsidR="00E72254">
        <w:t>, PhD, President and CEO</w:t>
      </w:r>
      <w:r w:rsidRPr="00A94F1D">
        <w:t xml:space="preserve">, </w:t>
      </w:r>
      <w:r w:rsidRPr="00A94F1D" w:rsidR="00E72254">
        <w:t>The Chicago Lighthouse</w:t>
      </w:r>
      <w:r w:rsidRPr="00A94F1D" w:rsidR="00A355E4">
        <w:t>,</w:t>
      </w:r>
      <w:r w:rsidRPr="00A94F1D" w:rsidR="00E72254">
        <w:t xml:space="preserve"> </w:t>
      </w:r>
      <w:r w:rsidRPr="00A94F1D">
        <w:t>to Jacqueline Ellington, NDBEDP Administrator, Disability Rights Office, CGB, FCC (</w:t>
      </w:r>
      <w:r w:rsidRPr="00A94F1D" w:rsidR="00E72254">
        <w:t>Apr</w:t>
      </w:r>
      <w:r w:rsidRPr="00A94F1D" w:rsidR="009F6313">
        <w:t>il</w:t>
      </w:r>
      <w:r w:rsidRPr="00A94F1D" w:rsidR="00E72254">
        <w:t xml:space="preserve"> 24</w:t>
      </w:r>
      <w:r w:rsidRPr="00A94F1D">
        <w:t>, 2019).</w:t>
      </w:r>
    </w:p>
  </w:footnote>
  <w:footnote w:id="4">
    <w:p w:rsidR="0014016C" w:rsidRPr="00A94F1D" w:rsidP="00A94F1D" w14:paraId="56434990" w14:textId="396BB1F0">
      <w:pPr>
        <w:pStyle w:val="FootnoteText"/>
      </w:pPr>
      <w:r w:rsidRPr="00A94F1D">
        <w:rPr>
          <w:rStyle w:val="FootnoteReference"/>
          <w:sz w:val="20"/>
        </w:rPr>
        <w:footnoteRef/>
      </w:r>
      <w:r w:rsidRPr="00A94F1D">
        <w:t xml:space="preserve"> Application of </w:t>
      </w:r>
      <w:r w:rsidRPr="00A94F1D" w:rsidR="00A63F8B">
        <w:t>Anixter Center/</w:t>
      </w:r>
      <w:r w:rsidRPr="00A94F1D">
        <w:t xml:space="preserve">CHS (July 10, 2019); Application of IATP (July 8, 2019).  </w:t>
      </w:r>
    </w:p>
  </w:footnote>
  <w:footnote w:id="5">
    <w:p w:rsidR="009864F5" w:rsidRPr="00A94F1D" w:rsidP="00A94F1D" w14:paraId="1F282A40" w14:textId="2D09A025">
      <w:pPr>
        <w:pStyle w:val="FootnoteText"/>
      </w:pPr>
      <w:r w:rsidRPr="00A94F1D">
        <w:rPr>
          <w:rStyle w:val="FootnoteReference"/>
          <w:sz w:val="20"/>
        </w:rPr>
        <w:footnoteRef/>
      </w:r>
      <w:r w:rsidRPr="00A94F1D">
        <w:t xml:space="preserve"> </w:t>
      </w:r>
      <w:r w:rsidR="007C3190">
        <w:t xml:space="preserve">The Commission’s </w:t>
      </w:r>
      <w:r w:rsidRPr="00A94F1D" w:rsidR="007C3190">
        <w:t xml:space="preserve">rules specify the following </w:t>
      </w:r>
      <w:r w:rsidR="007C3190">
        <w:t xml:space="preserve">certification </w:t>
      </w:r>
      <w:r w:rsidRPr="00A94F1D" w:rsidR="007C3190">
        <w:t xml:space="preserve">criteria: </w:t>
      </w:r>
      <w:r w:rsidR="005F4134">
        <w:t xml:space="preserve"> </w:t>
      </w:r>
      <w:r w:rsidRPr="00A94F1D" w:rsidR="007C3190">
        <w:t>(1) “[e]</w:t>
      </w:r>
      <w:r w:rsidRPr="00A94F1D" w:rsidR="007C3190">
        <w:t>xpertise</w:t>
      </w:r>
      <w:r w:rsidRPr="00A94F1D" w:rsidR="007C3190">
        <w:t xml:space="preserve"> in the field of deaf-blindness, including familiarity with the culture and etiquette of individuals who are deaf-blind”; (2) “[t]he ability to communicate effectively with individuals who are deaf-blind,” including by using assistive technologies; (3) administrative and financial management experience; (4) staffing that is “sufficient to administer the program, including the ability to distribute equipment and provide related services to low-income individuals who are deaf-blind throughout the state”; (5) “[e]</w:t>
      </w:r>
      <w:r w:rsidRPr="00A94F1D" w:rsidR="007C3190">
        <w:t>xperience</w:t>
      </w:r>
      <w:r w:rsidRPr="00A94F1D" w:rsidR="007C3190">
        <w:t xml:space="preserve"> with the distribution of specialized customer premises equipment, especially to individuals who are deaf-blind”; (6) experience in training consumers how to set up and use equipment to access covered services</w:t>
      </w:r>
      <w:r w:rsidR="00CE1F70">
        <w:t>; and (7) familiarity with covered services</w:t>
      </w:r>
      <w:r w:rsidRPr="00A94F1D" w:rsidR="007C3190">
        <w:t>.  47 CFR § 64.6207(c)</w:t>
      </w:r>
      <w:r w:rsidR="007C3190">
        <w:t>(1)-(7)</w:t>
      </w:r>
      <w:r w:rsidRPr="00A94F1D" w:rsidR="007C3190">
        <w:t xml:space="preserve">.  </w:t>
      </w:r>
    </w:p>
  </w:footnote>
  <w:footnote w:id="6">
    <w:p w:rsidR="00DA24F8" w:rsidRPr="00A94F1D" w:rsidP="00A94F1D" w14:paraId="26D65DBA" w14:textId="2ED3276E">
      <w:pPr>
        <w:pStyle w:val="FootnoteText"/>
      </w:pPr>
      <w:r w:rsidRPr="00A94F1D">
        <w:rPr>
          <w:rStyle w:val="FootnoteReference"/>
          <w:sz w:val="20"/>
        </w:rPr>
        <w:footnoteRef/>
      </w:r>
      <w:r w:rsidRPr="00A94F1D">
        <w:t xml:space="preserve"> Application of </w:t>
      </w:r>
      <w:r w:rsidRPr="00A94F1D" w:rsidR="00A63F8B">
        <w:t>Anixter Center/</w:t>
      </w:r>
      <w:r w:rsidRPr="00A94F1D">
        <w:t>CHS</w:t>
      </w:r>
      <w:r w:rsidRPr="00A94F1D" w:rsidR="00814E40">
        <w:t xml:space="preserve"> at </w:t>
      </w:r>
      <w:r w:rsidRPr="00A94F1D" w:rsidR="00484EA4">
        <w:t xml:space="preserve">1, </w:t>
      </w:r>
      <w:r w:rsidRPr="00A94F1D" w:rsidR="00814E40">
        <w:t>2, 6.</w:t>
      </w:r>
      <w:r w:rsidRPr="00A94F1D">
        <w:t xml:space="preserve">  </w:t>
      </w:r>
      <w:r w:rsidRPr="00A94F1D" w:rsidR="006E7E73">
        <w:t xml:space="preserve">CHS merged with the Anixter Center in 1997. </w:t>
      </w:r>
      <w:r w:rsidRPr="00A94F1D" w:rsidR="00384FB5">
        <w:t xml:space="preserve"> </w:t>
      </w:r>
      <w:r w:rsidRPr="00A94F1D" w:rsidR="006E7E73">
        <w:rPr>
          <w:i/>
        </w:rPr>
        <w:t>Id.</w:t>
      </w:r>
      <w:r w:rsidRPr="00A94F1D" w:rsidR="006E7E73">
        <w:t xml:space="preserve"> at 2.</w:t>
      </w:r>
    </w:p>
  </w:footnote>
  <w:footnote w:id="7">
    <w:p w:rsidR="00560400" w:rsidRPr="00A94F1D" w:rsidP="00560400" w14:paraId="1BCB7DEA" w14:textId="6707602A">
      <w:pPr>
        <w:pStyle w:val="FootnoteText"/>
      </w:pPr>
      <w:r w:rsidRPr="00A94F1D">
        <w:rPr>
          <w:rStyle w:val="FootnoteReference"/>
          <w:sz w:val="20"/>
        </w:rPr>
        <w:footnoteRef/>
      </w:r>
      <w:r w:rsidRPr="00A94F1D">
        <w:t xml:space="preserve"> </w:t>
      </w:r>
      <w:r w:rsidR="003D7601">
        <w:rPr>
          <w:i/>
        </w:rPr>
        <w:t xml:space="preserve">Id. </w:t>
      </w:r>
      <w:r w:rsidRPr="00A94F1D">
        <w:t>at 2.</w:t>
      </w:r>
    </w:p>
  </w:footnote>
  <w:footnote w:id="8">
    <w:p w:rsidR="00D446C9" w:rsidRPr="00A94F1D" w:rsidP="00A94F1D" w14:paraId="08D67467" w14:textId="759C76C2">
      <w:pPr>
        <w:pStyle w:val="FootnoteText"/>
      </w:pPr>
      <w:r w:rsidRPr="00A94F1D">
        <w:rPr>
          <w:rStyle w:val="FootnoteReference"/>
          <w:sz w:val="20"/>
        </w:rPr>
        <w:footnoteRef/>
      </w:r>
      <w:r w:rsidRPr="00A94F1D">
        <w:t xml:space="preserve"> </w:t>
      </w:r>
      <w:r w:rsidR="003D7601">
        <w:rPr>
          <w:i/>
        </w:rPr>
        <w:t xml:space="preserve">Id. </w:t>
      </w:r>
      <w:r w:rsidRPr="00CE1F70">
        <w:rPr>
          <w:i/>
        </w:rPr>
        <w:t>at</w:t>
      </w:r>
      <w:r w:rsidRPr="00A94F1D">
        <w:t xml:space="preserve"> 3.</w:t>
      </w:r>
      <w:r w:rsidRPr="00A94F1D" w:rsidR="001D4309">
        <w:t xml:space="preserve">  </w:t>
      </w:r>
    </w:p>
  </w:footnote>
  <w:footnote w:id="9">
    <w:p w:rsidR="00D446C9" w:rsidRPr="00A94F1D" w:rsidP="00A94F1D" w14:paraId="263C4001" w14:textId="78264EE0">
      <w:pPr>
        <w:pStyle w:val="FootnoteText"/>
      </w:pPr>
      <w:r w:rsidRPr="00A94F1D">
        <w:rPr>
          <w:rStyle w:val="FootnoteReference"/>
          <w:sz w:val="20"/>
        </w:rPr>
        <w:footnoteRef/>
      </w:r>
      <w:r w:rsidRPr="00A94F1D">
        <w:t xml:space="preserve"> </w:t>
      </w:r>
      <w:r w:rsidRPr="00A94F1D">
        <w:rPr>
          <w:i/>
        </w:rPr>
        <w:t>Id</w:t>
      </w:r>
      <w:r w:rsidRPr="00A94F1D">
        <w:t>. at 4-</w:t>
      </w:r>
      <w:r w:rsidRPr="00A94F1D" w:rsidR="00D13A38">
        <w:t>6</w:t>
      </w:r>
      <w:r w:rsidRPr="00A94F1D">
        <w:t>.</w:t>
      </w:r>
    </w:p>
  </w:footnote>
  <w:footnote w:id="10">
    <w:p w:rsidR="008566F4" w:rsidRPr="00A94F1D" w:rsidP="00A94F1D" w14:paraId="09DA79FA" w14:textId="2A697771">
      <w:pPr>
        <w:pStyle w:val="FootnoteText"/>
      </w:pPr>
      <w:r w:rsidRPr="00A94F1D">
        <w:rPr>
          <w:rStyle w:val="FootnoteReference"/>
          <w:sz w:val="20"/>
        </w:rPr>
        <w:footnoteRef/>
      </w:r>
      <w:r w:rsidRPr="00A94F1D">
        <w:t xml:space="preserve"> </w:t>
      </w:r>
      <w:r w:rsidR="003D7601">
        <w:rPr>
          <w:i/>
        </w:rPr>
        <w:t xml:space="preserve">Id. </w:t>
      </w:r>
      <w:r w:rsidRPr="005F4134">
        <w:t xml:space="preserve">at </w:t>
      </w:r>
      <w:r w:rsidRPr="00A94F1D" w:rsidR="00072B9C">
        <w:t>3-</w:t>
      </w:r>
      <w:r w:rsidRPr="00A94F1D">
        <w:t>4.</w:t>
      </w:r>
    </w:p>
  </w:footnote>
  <w:footnote w:id="11">
    <w:p w:rsidR="00072B9C" w:rsidRPr="00A94F1D" w:rsidP="00A94F1D" w14:paraId="193F26B0" w14:textId="1125C071">
      <w:pPr>
        <w:widowControl/>
        <w:autoSpaceDE w:val="0"/>
        <w:autoSpaceDN w:val="0"/>
        <w:adjustRightInd w:val="0"/>
        <w:spacing w:after="120"/>
        <w:rPr>
          <w:i/>
          <w:sz w:val="20"/>
        </w:rPr>
      </w:pPr>
      <w:r w:rsidRPr="00A94F1D">
        <w:rPr>
          <w:rStyle w:val="FootnoteReference"/>
          <w:sz w:val="20"/>
        </w:rPr>
        <w:footnoteRef/>
      </w:r>
      <w:r w:rsidRPr="00A94F1D">
        <w:rPr>
          <w:sz w:val="20"/>
        </w:rPr>
        <w:t xml:space="preserve"> </w:t>
      </w:r>
      <w:r w:rsidR="003D7601">
        <w:rPr>
          <w:i/>
          <w:sz w:val="20"/>
        </w:rPr>
        <w:t xml:space="preserve">Id. </w:t>
      </w:r>
      <w:r w:rsidRPr="00A94F1D">
        <w:rPr>
          <w:sz w:val="20"/>
        </w:rPr>
        <w:t xml:space="preserve">at 8-12.  Applicants may include letters of recommendation from members of the deaf-blind community in their state, experts, or others with direct knowledge of the applicants’ capabilities and qualifications.  </w:t>
      </w:r>
      <w:r w:rsidRPr="00A94F1D">
        <w:rPr>
          <w:i/>
          <w:sz w:val="20"/>
        </w:rPr>
        <w:t>See Kentucky and Illinois Application Public Notice</w:t>
      </w:r>
      <w:r w:rsidRPr="00A94F1D">
        <w:rPr>
          <w:bCs/>
          <w:snapToGrid/>
          <w:kern w:val="0"/>
          <w:sz w:val="20"/>
        </w:rPr>
        <w:t xml:space="preserve"> at n.14.</w:t>
      </w:r>
      <w:r w:rsidRPr="00A94F1D">
        <w:rPr>
          <w:rFonts w:ascii="TimesNewRomanPS-BoldMT" w:hAnsi="TimesNewRomanPS-BoldMT" w:cs="TimesNewRomanPS-BoldMT"/>
          <w:b/>
          <w:bCs/>
          <w:snapToGrid/>
          <w:kern w:val="0"/>
          <w:sz w:val="20"/>
        </w:rPr>
        <w:t xml:space="preserve">  </w:t>
      </w:r>
    </w:p>
  </w:footnote>
  <w:footnote w:id="12">
    <w:p w:rsidR="00652C65" w:rsidRPr="00A94F1D" w:rsidP="00652C65" w14:paraId="471615E2" w14:textId="77777777">
      <w:pPr>
        <w:pStyle w:val="FootnoteText"/>
      </w:pPr>
      <w:r w:rsidRPr="00A94F1D">
        <w:rPr>
          <w:rStyle w:val="FootnoteReference"/>
          <w:sz w:val="20"/>
        </w:rPr>
        <w:footnoteRef/>
      </w:r>
      <w:r w:rsidRPr="00A94F1D">
        <w:t xml:space="preserve"> Application of IATP at 2. </w:t>
      </w:r>
    </w:p>
  </w:footnote>
  <w:footnote w:id="13">
    <w:p w:rsidR="00560400" w:rsidRPr="00A94F1D" w:rsidP="00560400" w14:paraId="2F19D236" w14:textId="51143368">
      <w:pPr>
        <w:pStyle w:val="FootnoteText"/>
      </w:pPr>
      <w:r w:rsidRPr="00A94F1D">
        <w:rPr>
          <w:rStyle w:val="FootnoteReference"/>
          <w:sz w:val="20"/>
        </w:rPr>
        <w:footnoteRef/>
      </w:r>
      <w:r w:rsidRPr="00A94F1D">
        <w:t xml:space="preserve"> </w:t>
      </w:r>
      <w:r w:rsidR="003D7601">
        <w:rPr>
          <w:i/>
        </w:rPr>
        <w:t xml:space="preserve">Id. </w:t>
      </w:r>
      <w:r w:rsidRPr="00A94F1D">
        <w:t xml:space="preserve">at 3.  </w:t>
      </w:r>
    </w:p>
  </w:footnote>
  <w:footnote w:id="14">
    <w:p w:rsidR="00652C65" w:rsidRPr="00A94F1D" w:rsidP="00652C65" w14:paraId="26AC870B" w14:textId="39D67B5C">
      <w:pPr>
        <w:pStyle w:val="FootnoteText"/>
      </w:pPr>
      <w:r w:rsidRPr="00A94F1D">
        <w:rPr>
          <w:rStyle w:val="FootnoteReference"/>
          <w:sz w:val="20"/>
        </w:rPr>
        <w:footnoteRef/>
      </w:r>
      <w:r w:rsidRPr="00A94F1D">
        <w:t xml:space="preserve"> </w:t>
      </w:r>
      <w:r w:rsidR="003D7601">
        <w:rPr>
          <w:i/>
        </w:rPr>
        <w:t xml:space="preserve">Id. </w:t>
      </w:r>
      <w:r w:rsidRPr="00A94F1D">
        <w:t xml:space="preserve">at 4.  </w:t>
      </w:r>
    </w:p>
  </w:footnote>
  <w:footnote w:id="15">
    <w:p w:rsidR="00652C65" w:rsidRPr="00A94F1D" w:rsidP="00652C65" w14:paraId="43C57DCC" w14:textId="018A42D1">
      <w:pPr>
        <w:pStyle w:val="FootnoteText"/>
      </w:pPr>
      <w:r w:rsidRPr="00A94F1D">
        <w:rPr>
          <w:rStyle w:val="FootnoteReference"/>
          <w:sz w:val="20"/>
        </w:rPr>
        <w:footnoteRef/>
      </w:r>
      <w:r w:rsidRPr="00A94F1D">
        <w:t xml:space="preserve"> </w:t>
      </w:r>
      <w:r w:rsidRPr="00A94F1D">
        <w:rPr>
          <w:i/>
        </w:rPr>
        <w:t>Id.</w:t>
      </w:r>
      <w:r w:rsidRPr="00A94F1D">
        <w:t xml:space="preserve"> </w:t>
      </w:r>
    </w:p>
  </w:footnote>
  <w:footnote w:id="16">
    <w:p w:rsidR="00652C65" w:rsidRPr="00A94F1D" w:rsidP="00652C65" w14:paraId="0CACCA5F" w14:textId="7C11B56A">
      <w:pPr>
        <w:pStyle w:val="FootnoteText"/>
      </w:pPr>
      <w:r w:rsidRPr="00A94F1D">
        <w:rPr>
          <w:rStyle w:val="FootnoteReference"/>
          <w:sz w:val="20"/>
        </w:rPr>
        <w:footnoteRef/>
      </w:r>
      <w:r w:rsidRPr="00A94F1D">
        <w:t xml:space="preserve"> </w:t>
      </w:r>
      <w:r w:rsidR="003D7601">
        <w:rPr>
          <w:i/>
        </w:rPr>
        <w:t xml:space="preserve">Id. </w:t>
      </w:r>
      <w:r w:rsidRPr="00A94F1D">
        <w:t>at 2-3.</w:t>
      </w:r>
    </w:p>
  </w:footnote>
  <w:footnote w:id="17">
    <w:p w:rsidR="00652C65" w:rsidRPr="00A94F1D" w:rsidP="00652C65" w14:paraId="568C149C" w14:textId="44150ED2">
      <w:pPr>
        <w:pStyle w:val="FootnoteText"/>
      </w:pPr>
      <w:r w:rsidRPr="00A94F1D">
        <w:rPr>
          <w:rStyle w:val="FootnoteReference"/>
          <w:sz w:val="20"/>
        </w:rPr>
        <w:footnoteRef/>
      </w:r>
      <w:r w:rsidRPr="00A94F1D">
        <w:t xml:space="preserve"> </w:t>
      </w:r>
      <w:r w:rsidR="003D7601">
        <w:rPr>
          <w:i/>
        </w:rPr>
        <w:t xml:space="preserve">Id. </w:t>
      </w:r>
      <w:r w:rsidRPr="00A94F1D">
        <w:t>at 8.</w:t>
      </w:r>
    </w:p>
  </w:footnote>
  <w:footnote w:id="18">
    <w:p w:rsidR="00DB1DDB" w:rsidRPr="00A94F1D" w:rsidP="00A94F1D" w14:paraId="7A2046AC" w14:textId="04257A70">
      <w:pPr>
        <w:pStyle w:val="FootnoteText"/>
      </w:pPr>
      <w:r w:rsidRPr="00A94F1D">
        <w:rPr>
          <w:rStyle w:val="FootnoteReference"/>
          <w:sz w:val="20"/>
        </w:rPr>
        <w:footnoteRef/>
      </w:r>
      <w:r w:rsidRPr="00A94F1D">
        <w:t xml:space="preserve"> </w:t>
      </w:r>
      <w:r w:rsidRPr="00A94F1D">
        <w:rPr>
          <w:i/>
        </w:rPr>
        <w:t xml:space="preserve">See </w:t>
      </w:r>
      <w:r w:rsidRPr="00A94F1D">
        <w:t>47 CFR § 64.6207(e) (</w:t>
      </w:r>
      <w:r w:rsidRPr="00A94F1D" w:rsidR="009C4421">
        <w:t xml:space="preserve">providing </w:t>
      </w:r>
      <w:r w:rsidRPr="00A94F1D">
        <w:t xml:space="preserve">that, when </w:t>
      </w:r>
      <w:r w:rsidRPr="00A94F1D">
        <w:rPr>
          <w:iCs/>
        </w:rPr>
        <w:t>a</w:t>
      </w:r>
      <w:r w:rsidRPr="00A94F1D">
        <w:t xml:space="preserve"> certified program is replaced prior to the expiration of its certification period, the successor entity's certification will expire on the date that the replaced entity's certification would have expired).  </w:t>
      </w:r>
    </w:p>
  </w:footnote>
  <w:footnote w:id="19">
    <w:p w:rsidR="00DB1DDB" w:rsidRPr="00A94F1D" w:rsidP="00A94F1D" w14:paraId="43443B81" w14:textId="6C3A9C21">
      <w:pPr>
        <w:pStyle w:val="FootnoteText"/>
      </w:pPr>
      <w:r w:rsidRPr="00A94F1D">
        <w:rPr>
          <w:rStyle w:val="FootnoteReference"/>
          <w:sz w:val="20"/>
        </w:rPr>
        <w:footnoteRef/>
      </w:r>
      <w:r w:rsidRPr="00A94F1D">
        <w:t xml:space="preserve"> </w:t>
      </w:r>
      <w:r w:rsidRPr="00A94F1D" w:rsidR="009C4421">
        <w:rPr>
          <w:i/>
        </w:rPr>
        <w:t>See</w:t>
      </w:r>
      <w:r w:rsidRPr="00A94F1D" w:rsidR="009C4421">
        <w:t xml:space="preserve"> </w:t>
      </w:r>
      <w:r w:rsidRPr="00A94F1D">
        <w:t>47 CFR § 64.6207.</w:t>
      </w:r>
    </w:p>
  </w:footnote>
  <w:footnote w:id="20">
    <w:p w:rsidR="00DB1DDB" w:rsidRPr="00A94F1D" w:rsidP="00A94F1D" w14:paraId="2BABA9FE" w14:textId="77777777">
      <w:pPr>
        <w:pStyle w:val="FootnoteText"/>
      </w:pPr>
      <w:r w:rsidRPr="00A94F1D">
        <w:rPr>
          <w:rStyle w:val="FootnoteReference"/>
          <w:sz w:val="20"/>
        </w:rPr>
        <w:footnoteRef/>
      </w:r>
      <w:r w:rsidRPr="00A94F1D">
        <w:t xml:space="preserve"> 47 CFR §§ 64.6201-64.6219; </w:t>
      </w:r>
      <w:r w:rsidRPr="00A94F1D">
        <w:rPr>
          <w:i/>
        </w:rPr>
        <w:t>Implementation of the Twenty-First Century Communications and Video Accessibility Act of 2010, Section 105, Relay Services for Deaf-Blind Individuals</w:t>
      </w:r>
      <w:r w:rsidRPr="00A94F1D">
        <w:t>, Report and Order, 31 FCC Rcd 9178 (2016) (</w:t>
      </w:r>
      <w:r w:rsidRPr="00A94F1D">
        <w:rPr>
          <w:i/>
        </w:rPr>
        <w:t>NDBEDP Permanent Program Order</w:t>
      </w:r>
      <w:r w:rsidRPr="00A94F1D">
        <w:t>).</w:t>
      </w:r>
    </w:p>
  </w:footnote>
  <w:footnote w:id="21">
    <w:p w:rsidR="00DB1DDB" w:rsidRPr="00A94F1D" w:rsidP="00A94F1D" w14:paraId="73A53EDA" w14:textId="004EF83B">
      <w:pPr>
        <w:pStyle w:val="FootnoteText"/>
      </w:pPr>
      <w:r w:rsidRPr="00A94F1D">
        <w:rPr>
          <w:rStyle w:val="FootnoteReference"/>
          <w:sz w:val="20"/>
        </w:rPr>
        <w:footnoteRef/>
      </w:r>
      <w:r w:rsidRPr="00A94F1D">
        <w:t xml:space="preserve"> </w:t>
      </w:r>
      <w:r w:rsidRPr="00A94F1D">
        <w:rPr>
          <w:i/>
        </w:rPr>
        <w:t>NDBEDP Permanent Program Order</w:t>
      </w:r>
      <w:r w:rsidRPr="00A94F1D">
        <w:t>, 31 FCC Rcd at 9197, paras. 44-45</w:t>
      </w:r>
      <w:r w:rsidRPr="00A94F1D" w:rsidR="00E05BDE">
        <w:t>;</w:t>
      </w:r>
      <w:r w:rsidRPr="00A94F1D" w:rsidR="00E05BDE">
        <w:rPr>
          <w:i/>
        </w:rPr>
        <w:t xml:space="preserve"> s</w:t>
      </w:r>
      <w:r w:rsidRPr="00A94F1D">
        <w:rPr>
          <w:i/>
        </w:rPr>
        <w:t>ee also</w:t>
      </w:r>
      <w:r w:rsidRPr="00A94F1D">
        <w:t xml:space="preserve"> 47 CFR </w:t>
      </w:r>
      <w:r w:rsidRPr="00A94F1D" w:rsidR="00E05BDE">
        <w:t xml:space="preserve">§ </w:t>
      </w:r>
      <w:r w:rsidRPr="00A94F1D">
        <w:t>64.6207(j)(1)-(2).</w:t>
      </w:r>
    </w:p>
    <w:p w:rsidR="00DB1DDB" w:rsidRPr="00A94F1D" w:rsidP="00A94F1D" w14:paraId="25691946"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17AAA3" w14:textId="0F9B2E64">
    <w:pPr>
      <w:tabs>
        <w:tab w:val="center" w:pos="4680"/>
        <w:tab w:val="right" w:pos="9360"/>
      </w:tabs>
    </w:pPr>
    <w:r w:rsidRPr="009838BC">
      <w:rPr>
        <w:b/>
      </w:rPr>
      <w:tab/>
      <w:t>Federal Communications Commission</w:t>
    </w:r>
    <w:r w:rsidRPr="009838BC">
      <w:rPr>
        <w:b/>
      </w:rPr>
      <w:tab/>
    </w:r>
    <w:r w:rsidR="00CC2D9E">
      <w:rPr>
        <w:b/>
      </w:rPr>
      <w:t>DA 19-806</w:t>
    </w:r>
  </w:p>
  <w:p w:rsidR="009838BC" w:rsidRPr="009838BC" w:rsidP="009838BC" w14:paraId="6EFA0DB2" w14:textId="7BF43B21">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09EC67B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4ECD90" w14:textId="60E1CD54">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370530A" w14:textId="77777777">
                    <w:pPr>
                      <w:rPr>
                        <w:rFonts w:ascii="Arial" w:hAnsi="Arial"/>
                        <w:b/>
                      </w:rPr>
                    </w:pPr>
                    <w:r>
                      <w:rPr>
                        <w:rFonts w:ascii="Arial" w:hAnsi="Arial"/>
                        <w:b/>
                      </w:rPr>
                      <w:t>Federal Communications Commission</w:t>
                    </w:r>
                  </w:p>
                  <w:p w:rsidR="009838BC" w:rsidP="009838BC" w14:paraId="072E6B3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AD3185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39643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D30FFE1" w14:textId="30311852">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column">
                <wp:posOffset>3381375</wp:posOffset>
              </wp:positionH>
              <wp:positionV relativeFrom="paragraph">
                <wp:posOffset>130810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0.3pt;margin-left:266.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5864C61" w14:textId="77777777">
                    <w:pPr>
                      <w:spacing w:before="40"/>
                      <w:jc w:val="right"/>
                      <w:rPr>
                        <w:rFonts w:ascii="Arial" w:hAnsi="Arial"/>
                        <w:b/>
                        <w:sz w:val="16"/>
                      </w:rPr>
                    </w:pPr>
                    <w:r>
                      <w:rPr>
                        <w:rFonts w:ascii="Arial" w:hAnsi="Arial"/>
                        <w:b/>
                        <w:sz w:val="16"/>
                      </w:rPr>
                      <w:t>News Media Information 202 / 418-0500</w:t>
                    </w:r>
                  </w:p>
                  <w:p w:rsidR="009838BC" w:rsidP="009838BC" w14:paraId="7C2CF3AF"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638D8798"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p>
  <w:p w:rsidR="006F7393" w:rsidRPr="009838BC" w:rsidP="0014303E" w14:paraId="1BD52A3D"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DB"/>
    <w:rsid w:val="000058DC"/>
    <w:rsid w:val="000072CE"/>
    <w:rsid w:val="00010EB4"/>
    <w:rsid w:val="00013A8B"/>
    <w:rsid w:val="00021445"/>
    <w:rsid w:val="00032F74"/>
    <w:rsid w:val="00036039"/>
    <w:rsid w:val="00037F90"/>
    <w:rsid w:val="000564F9"/>
    <w:rsid w:val="0006262A"/>
    <w:rsid w:val="00064A1D"/>
    <w:rsid w:val="0007094E"/>
    <w:rsid w:val="00072B9C"/>
    <w:rsid w:val="000815B3"/>
    <w:rsid w:val="00082093"/>
    <w:rsid w:val="000875BF"/>
    <w:rsid w:val="00093B6E"/>
    <w:rsid w:val="00096D8C"/>
    <w:rsid w:val="000B61C6"/>
    <w:rsid w:val="000C0B65"/>
    <w:rsid w:val="000E2CEA"/>
    <w:rsid w:val="000E3D42"/>
    <w:rsid w:val="000E5884"/>
    <w:rsid w:val="0010328B"/>
    <w:rsid w:val="0010734E"/>
    <w:rsid w:val="00111955"/>
    <w:rsid w:val="001213DC"/>
    <w:rsid w:val="00121F17"/>
    <w:rsid w:val="00122BD5"/>
    <w:rsid w:val="00126DC3"/>
    <w:rsid w:val="00136D87"/>
    <w:rsid w:val="0014016C"/>
    <w:rsid w:val="00140C22"/>
    <w:rsid w:val="0014303E"/>
    <w:rsid w:val="00163450"/>
    <w:rsid w:val="00195970"/>
    <w:rsid w:val="001979D9"/>
    <w:rsid w:val="001A53E6"/>
    <w:rsid w:val="001C6484"/>
    <w:rsid w:val="001D4309"/>
    <w:rsid w:val="001D6BCF"/>
    <w:rsid w:val="001E01CA"/>
    <w:rsid w:val="001F5B6F"/>
    <w:rsid w:val="00200A36"/>
    <w:rsid w:val="00205E68"/>
    <w:rsid w:val="002060D9"/>
    <w:rsid w:val="00226822"/>
    <w:rsid w:val="0023643E"/>
    <w:rsid w:val="0025318F"/>
    <w:rsid w:val="00260594"/>
    <w:rsid w:val="0026134C"/>
    <w:rsid w:val="0026215E"/>
    <w:rsid w:val="00262EF7"/>
    <w:rsid w:val="0027431C"/>
    <w:rsid w:val="0028020E"/>
    <w:rsid w:val="00285017"/>
    <w:rsid w:val="002977A9"/>
    <w:rsid w:val="002A2D2E"/>
    <w:rsid w:val="002B0B91"/>
    <w:rsid w:val="002B2D6C"/>
    <w:rsid w:val="002B7AF0"/>
    <w:rsid w:val="002E6C59"/>
    <w:rsid w:val="002F1180"/>
    <w:rsid w:val="00304976"/>
    <w:rsid w:val="00343650"/>
    <w:rsid w:val="00343749"/>
    <w:rsid w:val="00345AFB"/>
    <w:rsid w:val="00357D50"/>
    <w:rsid w:val="00363915"/>
    <w:rsid w:val="00365E42"/>
    <w:rsid w:val="00370818"/>
    <w:rsid w:val="003727F0"/>
    <w:rsid w:val="00384FB5"/>
    <w:rsid w:val="003925DC"/>
    <w:rsid w:val="003A4012"/>
    <w:rsid w:val="003A7D13"/>
    <w:rsid w:val="003B0550"/>
    <w:rsid w:val="003B09AC"/>
    <w:rsid w:val="003B10C2"/>
    <w:rsid w:val="003B694F"/>
    <w:rsid w:val="003C12C5"/>
    <w:rsid w:val="003D305F"/>
    <w:rsid w:val="003D7601"/>
    <w:rsid w:val="003E144A"/>
    <w:rsid w:val="003E76D0"/>
    <w:rsid w:val="003F171C"/>
    <w:rsid w:val="004110D9"/>
    <w:rsid w:val="00412434"/>
    <w:rsid w:val="00412FC5"/>
    <w:rsid w:val="00422276"/>
    <w:rsid w:val="004242F1"/>
    <w:rsid w:val="0043650D"/>
    <w:rsid w:val="0044087D"/>
    <w:rsid w:val="004437DE"/>
    <w:rsid w:val="00445A00"/>
    <w:rsid w:val="00445E36"/>
    <w:rsid w:val="00451B0F"/>
    <w:rsid w:val="00460374"/>
    <w:rsid w:val="0046125F"/>
    <w:rsid w:val="004778A0"/>
    <w:rsid w:val="004839E2"/>
    <w:rsid w:val="00484EA4"/>
    <w:rsid w:val="00487524"/>
    <w:rsid w:val="00496106"/>
    <w:rsid w:val="004A4007"/>
    <w:rsid w:val="004B53DA"/>
    <w:rsid w:val="004C12D0"/>
    <w:rsid w:val="004C2EE3"/>
    <w:rsid w:val="004E12C0"/>
    <w:rsid w:val="004E2525"/>
    <w:rsid w:val="004E4A22"/>
    <w:rsid w:val="0050047C"/>
    <w:rsid w:val="005070BE"/>
    <w:rsid w:val="00507EEF"/>
    <w:rsid w:val="00511968"/>
    <w:rsid w:val="0055614C"/>
    <w:rsid w:val="00560400"/>
    <w:rsid w:val="00560C37"/>
    <w:rsid w:val="00571FD7"/>
    <w:rsid w:val="00586CE8"/>
    <w:rsid w:val="00595103"/>
    <w:rsid w:val="005A5F62"/>
    <w:rsid w:val="005C31F4"/>
    <w:rsid w:val="005F4134"/>
    <w:rsid w:val="005F436F"/>
    <w:rsid w:val="00600B08"/>
    <w:rsid w:val="006023A2"/>
    <w:rsid w:val="00607BA5"/>
    <w:rsid w:val="00617899"/>
    <w:rsid w:val="00624995"/>
    <w:rsid w:val="00626EB6"/>
    <w:rsid w:val="006353A3"/>
    <w:rsid w:val="0063733F"/>
    <w:rsid w:val="00642653"/>
    <w:rsid w:val="00643A74"/>
    <w:rsid w:val="00652C65"/>
    <w:rsid w:val="00655D03"/>
    <w:rsid w:val="00671998"/>
    <w:rsid w:val="00671BC8"/>
    <w:rsid w:val="006809DD"/>
    <w:rsid w:val="00682215"/>
    <w:rsid w:val="0068308B"/>
    <w:rsid w:val="00683F84"/>
    <w:rsid w:val="00684E30"/>
    <w:rsid w:val="006859E6"/>
    <w:rsid w:val="00685C6D"/>
    <w:rsid w:val="00686A4A"/>
    <w:rsid w:val="0069285C"/>
    <w:rsid w:val="006A4676"/>
    <w:rsid w:val="006A6A81"/>
    <w:rsid w:val="006A6AD9"/>
    <w:rsid w:val="006B21DB"/>
    <w:rsid w:val="006C653C"/>
    <w:rsid w:val="006D17B9"/>
    <w:rsid w:val="006E26AF"/>
    <w:rsid w:val="006E7E73"/>
    <w:rsid w:val="006F7393"/>
    <w:rsid w:val="0070224F"/>
    <w:rsid w:val="007115F7"/>
    <w:rsid w:val="007148E0"/>
    <w:rsid w:val="00733073"/>
    <w:rsid w:val="00744FB8"/>
    <w:rsid w:val="00771AAE"/>
    <w:rsid w:val="007850D9"/>
    <w:rsid w:val="00785689"/>
    <w:rsid w:val="0079087E"/>
    <w:rsid w:val="00791934"/>
    <w:rsid w:val="00796BCC"/>
    <w:rsid w:val="0079754B"/>
    <w:rsid w:val="007A1E6D"/>
    <w:rsid w:val="007B21E7"/>
    <w:rsid w:val="007C3190"/>
    <w:rsid w:val="007C7A6A"/>
    <w:rsid w:val="007C7E7D"/>
    <w:rsid w:val="007D14DD"/>
    <w:rsid w:val="007D2C2B"/>
    <w:rsid w:val="007F0DE4"/>
    <w:rsid w:val="007F115E"/>
    <w:rsid w:val="007F424E"/>
    <w:rsid w:val="007F49BB"/>
    <w:rsid w:val="008048DF"/>
    <w:rsid w:val="00814E40"/>
    <w:rsid w:val="00817DD0"/>
    <w:rsid w:val="00822CE0"/>
    <w:rsid w:val="00837C62"/>
    <w:rsid w:val="008413C5"/>
    <w:rsid w:val="00841AB1"/>
    <w:rsid w:val="00846BCB"/>
    <w:rsid w:val="00851F53"/>
    <w:rsid w:val="00855379"/>
    <w:rsid w:val="00856144"/>
    <w:rsid w:val="008566F4"/>
    <w:rsid w:val="00856A3E"/>
    <w:rsid w:val="00866704"/>
    <w:rsid w:val="008823D1"/>
    <w:rsid w:val="0089572F"/>
    <w:rsid w:val="008A76F4"/>
    <w:rsid w:val="008C10D0"/>
    <w:rsid w:val="008C22FD"/>
    <w:rsid w:val="008C641D"/>
    <w:rsid w:val="008D5CEE"/>
    <w:rsid w:val="00900CE9"/>
    <w:rsid w:val="009016CE"/>
    <w:rsid w:val="0091044C"/>
    <w:rsid w:val="00910F12"/>
    <w:rsid w:val="00916C6E"/>
    <w:rsid w:val="00926503"/>
    <w:rsid w:val="00930ECF"/>
    <w:rsid w:val="0095266C"/>
    <w:rsid w:val="009838BC"/>
    <w:rsid w:val="009858DB"/>
    <w:rsid w:val="009864F5"/>
    <w:rsid w:val="009A3BE2"/>
    <w:rsid w:val="009B0FBE"/>
    <w:rsid w:val="009C4421"/>
    <w:rsid w:val="009E47DC"/>
    <w:rsid w:val="009F6313"/>
    <w:rsid w:val="00A02FB4"/>
    <w:rsid w:val="00A031F3"/>
    <w:rsid w:val="00A12804"/>
    <w:rsid w:val="00A12A0F"/>
    <w:rsid w:val="00A355E4"/>
    <w:rsid w:val="00A431BB"/>
    <w:rsid w:val="00A45F4F"/>
    <w:rsid w:val="00A51BEF"/>
    <w:rsid w:val="00A53136"/>
    <w:rsid w:val="00A53F2F"/>
    <w:rsid w:val="00A600A9"/>
    <w:rsid w:val="00A62560"/>
    <w:rsid w:val="00A63F8B"/>
    <w:rsid w:val="00A6411F"/>
    <w:rsid w:val="00A83365"/>
    <w:rsid w:val="00A866AC"/>
    <w:rsid w:val="00A86E87"/>
    <w:rsid w:val="00A94F1D"/>
    <w:rsid w:val="00AA55B7"/>
    <w:rsid w:val="00AA5B9E"/>
    <w:rsid w:val="00AB2407"/>
    <w:rsid w:val="00AB5386"/>
    <w:rsid w:val="00AB53DF"/>
    <w:rsid w:val="00AB7452"/>
    <w:rsid w:val="00AC419B"/>
    <w:rsid w:val="00AD7084"/>
    <w:rsid w:val="00AE010A"/>
    <w:rsid w:val="00B07E5C"/>
    <w:rsid w:val="00B21E41"/>
    <w:rsid w:val="00B326E3"/>
    <w:rsid w:val="00B42E9E"/>
    <w:rsid w:val="00B50289"/>
    <w:rsid w:val="00B51E5E"/>
    <w:rsid w:val="00B56F77"/>
    <w:rsid w:val="00B73811"/>
    <w:rsid w:val="00B757AE"/>
    <w:rsid w:val="00B811F7"/>
    <w:rsid w:val="00BA04AF"/>
    <w:rsid w:val="00BA5DC6"/>
    <w:rsid w:val="00BA6196"/>
    <w:rsid w:val="00BC05C4"/>
    <w:rsid w:val="00BC0C14"/>
    <w:rsid w:val="00BC6D8C"/>
    <w:rsid w:val="00BD715C"/>
    <w:rsid w:val="00BE28CE"/>
    <w:rsid w:val="00C018F0"/>
    <w:rsid w:val="00C01BF4"/>
    <w:rsid w:val="00C118FA"/>
    <w:rsid w:val="00C13CEB"/>
    <w:rsid w:val="00C16AF2"/>
    <w:rsid w:val="00C34006"/>
    <w:rsid w:val="00C426B1"/>
    <w:rsid w:val="00C47224"/>
    <w:rsid w:val="00C7019B"/>
    <w:rsid w:val="00C82B6B"/>
    <w:rsid w:val="00C903B7"/>
    <w:rsid w:val="00C90D6A"/>
    <w:rsid w:val="00C91532"/>
    <w:rsid w:val="00C95234"/>
    <w:rsid w:val="00CA3424"/>
    <w:rsid w:val="00CB0968"/>
    <w:rsid w:val="00CB4E4A"/>
    <w:rsid w:val="00CB7870"/>
    <w:rsid w:val="00CC2D9E"/>
    <w:rsid w:val="00CC72B6"/>
    <w:rsid w:val="00CE1F70"/>
    <w:rsid w:val="00D0218D"/>
    <w:rsid w:val="00D02588"/>
    <w:rsid w:val="00D05C42"/>
    <w:rsid w:val="00D13A38"/>
    <w:rsid w:val="00D13F48"/>
    <w:rsid w:val="00D216CD"/>
    <w:rsid w:val="00D32854"/>
    <w:rsid w:val="00D3399B"/>
    <w:rsid w:val="00D446C9"/>
    <w:rsid w:val="00D56437"/>
    <w:rsid w:val="00D807BA"/>
    <w:rsid w:val="00D856BF"/>
    <w:rsid w:val="00D87A83"/>
    <w:rsid w:val="00DA24F8"/>
    <w:rsid w:val="00DA2529"/>
    <w:rsid w:val="00DB130A"/>
    <w:rsid w:val="00DB1DDB"/>
    <w:rsid w:val="00DC10A1"/>
    <w:rsid w:val="00DC655F"/>
    <w:rsid w:val="00DD37CD"/>
    <w:rsid w:val="00DD7EBD"/>
    <w:rsid w:val="00DF013B"/>
    <w:rsid w:val="00DF2ED2"/>
    <w:rsid w:val="00DF62B6"/>
    <w:rsid w:val="00E05B1C"/>
    <w:rsid w:val="00E05BDE"/>
    <w:rsid w:val="00E07225"/>
    <w:rsid w:val="00E07E0F"/>
    <w:rsid w:val="00E155B7"/>
    <w:rsid w:val="00E206E9"/>
    <w:rsid w:val="00E5409F"/>
    <w:rsid w:val="00E67D6F"/>
    <w:rsid w:val="00E70771"/>
    <w:rsid w:val="00E72254"/>
    <w:rsid w:val="00EB393F"/>
    <w:rsid w:val="00EC0185"/>
    <w:rsid w:val="00ED2051"/>
    <w:rsid w:val="00EF4377"/>
    <w:rsid w:val="00F021FA"/>
    <w:rsid w:val="00F116F5"/>
    <w:rsid w:val="00F13706"/>
    <w:rsid w:val="00F16DA0"/>
    <w:rsid w:val="00F53EA6"/>
    <w:rsid w:val="00F57ACA"/>
    <w:rsid w:val="00F62E97"/>
    <w:rsid w:val="00F64209"/>
    <w:rsid w:val="00F75570"/>
    <w:rsid w:val="00F802D2"/>
    <w:rsid w:val="00F82DA1"/>
    <w:rsid w:val="00F913B1"/>
    <w:rsid w:val="00F93BF5"/>
    <w:rsid w:val="00F96F63"/>
    <w:rsid w:val="00FC4BF7"/>
    <w:rsid w:val="00FE6097"/>
    <w:rsid w:val="00FF46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E77C7D-8A53-42BF-8052-004D25CE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D8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n Char2"/>
    <w:link w:val="FootnoteText"/>
    <w:locked/>
    <w:rsid w:val="0014303E"/>
  </w:style>
  <w:style w:type="character" w:customStyle="1" w:styleId="ParaNumChar">
    <w:name w:val="ParaNum Char"/>
    <w:link w:val="ParaNum"/>
    <w:locked/>
    <w:rsid w:val="0014303E"/>
    <w:rPr>
      <w:snapToGrid w:val="0"/>
      <w:kern w:val="28"/>
      <w:sz w:val="22"/>
    </w:rPr>
  </w:style>
  <w:style w:type="character" w:customStyle="1" w:styleId="normaltextrun">
    <w:name w:val="normaltextrun"/>
    <w:rsid w:val="0014303E"/>
  </w:style>
  <w:style w:type="paragraph" w:styleId="BalloonText">
    <w:name w:val="Balloon Text"/>
    <w:basedOn w:val="Normal"/>
    <w:link w:val="BalloonTextChar"/>
    <w:uiPriority w:val="99"/>
    <w:semiHidden/>
    <w:unhideWhenUsed/>
    <w:rsid w:val="00B42E9E"/>
    <w:rPr>
      <w:rFonts w:ascii="Segoe UI" w:hAnsi="Segoe UI" w:cs="Segoe UI"/>
      <w:sz w:val="18"/>
      <w:szCs w:val="18"/>
    </w:rPr>
  </w:style>
  <w:style w:type="character" w:customStyle="1" w:styleId="BalloonTextChar">
    <w:name w:val="Balloon Text Char"/>
    <w:link w:val="BalloonText"/>
    <w:uiPriority w:val="99"/>
    <w:semiHidden/>
    <w:rsid w:val="00B42E9E"/>
    <w:rPr>
      <w:rFonts w:ascii="Segoe UI" w:hAnsi="Segoe UI" w:cs="Segoe UI"/>
      <w:snapToGrid w:val="0"/>
      <w:kern w:val="28"/>
      <w:sz w:val="18"/>
      <w:szCs w:val="18"/>
    </w:rPr>
  </w:style>
  <w:style w:type="character" w:styleId="CommentReference">
    <w:name w:val="annotation reference"/>
    <w:uiPriority w:val="99"/>
    <w:semiHidden/>
    <w:unhideWhenUsed/>
    <w:rsid w:val="00F53EA6"/>
    <w:rPr>
      <w:sz w:val="16"/>
      <w:szCs w:val="16"/>
    </w:rPr>
  </w:style>
  <w:style w:type="paragraph" w:styleId="CommentText">
    <w:name w:val="annotation text"/>
    <w:basedOn w:val="Normal"/>
    <w:link w:val="CommentTextChar"/>
    <w:uiPriority w:val="99"/>
    <w:semiHidden/>
    <w:unhideWhenUsed/>
    <w:rsid w:val="00F53EA6"/>
    <w:rPr>
      <w:sz w:val="20"/>
    </w:rPr>
  </w:style>
  <w:style w:type="character" w:customStyle="1" w:styleId="CommentTextChar">
    <w:name w:val="Comment Text Char"/>
    <w:link w:val="CommentText"/>
    <w:uiPriority w:val="99"/>
    <w:semiHidden/>
    <w:rsid w:val="00F53EA6"/>
    <w:rPr>
      <w:snapToGrid w:val="0"/>
      <w:kern w:val="28"/>
    </w:rPr>
  </w:style>
  <w:style w:type="paragraph" w:styleId="CommentSubject">
    <w:name w:val="annotation subject"/>
    <w:basedOn w:val="CommentText"/>
    <w:next w:val="CommentText"/>
    <w:link w:val="CommentSubjectChar"/>
    <w:uiPriority w:val="99"/>
    <w:semiHidden/>
    <w:unhideWhenUsed/>
    <w:rsid w:val="00F53EA6"/>
    <w:rPr>
      <w:b/>
      <w:bCs/>
    </w:rPr>
  </w:style>
  <w:style w:type="character" w:customStyle="1" w:styleId="CommentSubjectChar">
    <w:name w:val="Comment Subject Char"/>
    <w:link w:val="CommentSubject"/>
    <w:uiPriority w:val="99"/>
    <w:semiHidden/>
    <w:rsid w:val="00F53EA6"/>
    <w:rPr>
      <w:b/>
      <w:bCs/>
      <w:snapToGrid w:val="0"/>
      <w:kern w:val="28"/>
    </w:rPr>
  </w:style>
  <w:style w:type="paragraph" w:styleId="Revision">
    <w:name w:val="Revision"/>
    <w:hidden/>
    <w:uiPriority w:val="99"/>
    <w:semiHidden/>
    <w:rsid w:val="001F5B6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Jackie.Ellington@fcc.gov" TargetMode="External" /><Relationship Id="rId7" Type="http://schemas.openxmlformats.org/officeDocument/2006/relationships/hyperlink" Target="mailto:Rosaline.Crawford@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A-19-543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