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013A8B" w:rsidRPr="00077C97" w:rsidP="00013A8B" w14:paraId="661FF46D" w14:textId="50F30102">
      <w:pPr>
        <w:jc w:val="right"/>
        <w:rPr>
          <w:b/>
          <w:sz w:val="24"/>
          <w:lang w:val="es-CL"/>
        </w:rPr>
      </w:pPr>
      <w:bookmarkStart w:id="0" w:name="_GoBack"/>
      <w:bookmarkEnd w:id="0"/>
      <w:r w:rsidRPr="00077C97">
        <w:rPr>
          <w:b/>
          <w:sz w:val="24"/>
          <w:lang w:val="es-CL"/>
        </w:rPr>
        <w:t>DA 19-</w:t>
      </w:r>
      <w:r w:rsidRPr="00077C97" w:rsidR="00564DCC">
        <w:rPr>
          <w:b/>
          <w:sz w:val="24"/>
          <w:lang w:val="es-CL"/>
        </w:rPr>
        <w:t>807</w:t>
      </w:r>
    </w:p>
    <w:p w:rsidR="00013A8B" w:rsidRPr="00077C97" w:rsidP="00013A8B" w14:paraId="72F0E711" w14:textId="21311AFA">
      <w:pPr>
        <w:spacing w:before="60"/>
        <w:jc w:val="right"/>
        <w:rPr>
          <w:b/>
          <w:sz w:val="24"/>
          <w:lang w:val="es-CL"/>
        </w:rPr>
      </w:pPr>
      <w:r w:rsidRPr="00077C97">
        <w:rPr>
          <w:b/>
          <w:sz w:val="24"/>
          <w:lang w:val="es-CL"/>
        </w:rPr>
        <w:t>22</w:t>
      </w:r>
      <w:r w:rsidRPr="00077C97" w:rsidR="00077C97">
        <w:rPr>
          <w:b/>
          <w:sz w:val="24"/>
          <w:lang w:val="es-CL"/>
        </w:rPr>
        <w:t xml:space="preserve"> de agosto</w:t>
      </w:r>
      <w:r w:rsidRPr="00077C97">
        <w:rPr>
          <w:b/>
          <w:sz w:val="24"/>
          <w:lang w:val="es-CL"/>
        </w:rPr>
        <w:t>, 2019</w:t>
      </w:r>
    </w:p>
    <w:p w:rsidR="004C1534" w:rsidRPr="00077C97" w:rsidP="00013A8B" w14:paraId="1EDD5F7A" w14:textId="10471D97">
      <w:pPr>
        <w:spacing w:before="60"/>
        <w:jc w:val="right"/>
        <w:rPr>
          <w:b/>
          <w:sz w:val="24"/>
          <w:lang w:val="es-CL"/>
        </w:rPr>
      </w:pPr>
      <w:r w:rsidRPr="00077C97">
        <w:rPr>
          <w:b/>
          <w:sz w:val="24"/>
          <w:lang w:val="es-CL"/>
        </w:rPr>
        <w:t xml:space="preserve">Aviso de </w:t>
      </w:r>
      <w:r w:rsidR="00D02D28">
        <w:rPr>
          <w:b/>
          <w:sz w:val="24"/>
          <w:lang w:val="es-CL"/>
        </w:rPr>
        <w:t>a</w:t>
      </w:r>
      <w:r w:rsidRPr="00077C97">
        <w:rPr>
          <w:b/>
          <w:sz w:val="24"/>
          <w:lang w:val="es-CL"/>
        </w:rPr>
        <w:t xml:space="preserve">plicación de </w:t>
      </w:r>
      <w:r w:rsidR="00D02D28">
        <w:rPr>
          <w:b/>
          <w:sz w:val="24"/>
          <w:lang w:val="es-CL"/>
        </w:rPr>
        <w:t>n</w:t>
      </w:r>
      <w:r w:rsidRPr="00077C97">
        <w:rPr>
          <w:b/>
          <w:sz w:val="24"/>
          <w:lang w:val="es-CL"/>
        </w:rPr>
        <w:t>ormas</w:t>
      </w:r>
      <w:r w:rsidRPr="00077C97" w:rsidR="00F6458D">
        <w:rPr>
          <w:b/>
          <w:sz w:val="24"/>
          <w:lang w:val="es-CL"/>
        </w:rPr>
        <w:t xml:space="preserve"> No. 2019-</w:t>
      </w:r>
      <w:r w:rsidRPr="00077C97" w:rsidR="00160460">
        <w:rPr>
          <w:b/>
          <w:sz w:val="24"/>
          <w:lang w:val="es-CL"/>
        </w:rPr>
        <w:t>0</w:t>
      </w:r>
      <w:r w:rsidRPr="00077C97" w:rsidR="005C73BA">
        <w:rPr>
          <w:b/>
          <w:sz w:val="24"/>
          <w:lang w:val="es-CL"/>
        </w:rPr>
        <w:t>6</w:t>
      </w:r>
    </w:p>
    <w:p w:rsidR="00013A8B" w:rsidRPr="00077C97" w:rsidP="00013A8B" w14:paraId="2DA49F2B" w14:textId="28F1319A">
      <w:pPr>
        <w:jc w:val="right"/>
        <w:rPr>
          <w:sz w:val="24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1239520</wp:posOffset>
                </wp:positionH>
                <wp:positionV relativeFrom="page">
                  <wp:posOffset>2533650</wp:posOffset>
                </wp:positionV>
                <wp:extent cx="5270500" cy="444500"/>
                <wp:effectExtent l="20320" t="19050" r="33655" b="50800"/>
                <wp:wrapNone/>
                <wp:docPr id="6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5270500" cy="444500"/>
                        </a:xfrm>
                        <a:prstGeom prst="rect">
                          <a:avLst/>
                        </a:prstGeom>
                        <a:solidFill>
                          <a:srgbClr val="17365D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28398" dir="3806097" sx="100000" sy="100000" kx="0" ky="0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1534" w:rsidRPr="00077C97" w:rsidP="004C1534" w14:textId="48BDB9BF">
                            <w:pPr>
                              <w:spacing w:before="60"/>
                              <w:jc w:val="center"/>
                              <w:rPr>
                                <w:rFonts w:ascii="Gill Sans MT" w:hAnsi="Gill Sans MT"/>
                                <w:b/>
                                <w:color w:val="FEFFFE"/>
                                <w:sz w:val="44"/>
                                <w:lang w:val="es-CL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FEFFFE"/>
                                <w:sz w:val="36"/>
                                <w:szCs w:val="36"/>
                                <w:lang w:val="es-CL"/>
                              </w:rPr>
                              <w:t>FCC - A</w:t>
                            </w:r>
                            <w:r w:rsidRPr="00077C97">
                              <w:rPr>
                                <w:rFonts w:ascii="Gill Sans MT" w:hAnsi="Gill Sans MT"/>
                                <w:b/>
                                <w:color w:val="FEFFFE"/>
                                <w:sz w:val="36"/>
                                <w:szCs w:val="36"/>
                                <w:lang w:val="es-CL"/>
                              </w:rPr>
                              <w:t>VISO DE APLICACIÓN DE NORMAS</w:t>
                            </w:r>
                          </w:p>
                          <w:p w:rsidR="004C1534" w:rsidRPr="00077C97" w:rsidP="004C1534" w14:textId="77777777">
                            <w:pPr>
                              <w:rPr>
                                <w:sz w:val="20"/>
                                <w:lang w:val="es-CL"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5" style="width:415pt;height:35pt;margin-top:199.5pt;margin-left:97.6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59264" fillcolor="#17365d" strokecolor="red" strokeweight="3pt">
                <v:stroke joinstyle="round"/>
                <v:shadow on="t" color="#622423" opacity="0.5" offset="1pt"/>
                <v:path arrowok="t"/>
                <v:textbox inset="3pt,3pt,3pt,3pt">
                  <w:txbxContent>
                    <w:p w:rsidR="004C1534" w:rsidRPr="00077C97" w:rsidP="004C1534" w14:paraId="1A788007" w14:textId="48BDB9BF">
                      <w:pPr>
                        <w:spacing w:before="60"/>
                        <w:jc w:val="center"/>
                        <w:rPr>
                          <w:rFonts w:ascii="Gill Sans MT" w:hAnsi="Gill Sans MT"/>
                          <w:b/>
                          <w:color w:val="FEFFFE"/>
                          <w:sz w:val="44"/>
                          <w:lang w:val="es-CL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FEFFFE"/>
                          <w:sz w:val="36"/>
                          <w:szCs w:val="36"/>
                          <w:lang w:val="es-CL"/>
                        </w:rPr>
                        <w:t>FCC - A</w:t>
                      </w:r>
                      <w:r w:rsidRPr="00077C97">
                        <w:rPr>
                          <w:rFonts w:ascii="Gill Sans MT" w:hAnsi="Gill Sans MT"/>
                          <w:b/>
                          <w:color w:val="FEFFFE"/>
                          <w:sz w:val="36"/>
                          <w:szCs w:val="36"/>
                          <w:lang w:val="es-CL"/>
                        </w:rPr>
                        <w:t>VISO DE APLICACIÓN DE NORMAS</w:t>
                      </w:r>
                    </w:p>
                    <w:p w:rsidR="004C1534" w:rsidRPr="00077C97" w:rsidP="004C1534" w14:paraId="1BD43C93" w14:textId="77777777">
                      <w:pPr>
                        <w:rPr>
                          <w:sz w:val="20"/>
                          <w:lang w:val="es-CL" w:bidi="x-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C1534" w:rsidRPr="00077C97" w:rsidP="00013A8B" w14:paraId="1F7AF1EA" w14:textId="6EABD1CB">
      <w:pPr>
        <w:spacing w:after="240"/>
        <w:jc w:val="center"/>
        <w:rPr>
          <w:rFonts w:ascii="Times New Roman Bold" w:hAnsi="Times New Roman Bold"/>
          <w:b/>
          <w:caps/>
          <w:sz w:val="24"/>
          <w:lang w:val="es-CL"/>
        </w:rPr>
      </w:pPr>
    </w:p>
    <w:p w:rsidR="004C1534" w:rsidRPr="00077C97" w:rsidP="00013A8B" w14:paraId="4A9F67D0" w14:textId="77777777">
      <w:pPr>
        <w:spacing w:after="240"/>
        <w:jc w:val="center"/>
        <w:rPr>
          <w:rFonts w:ascii="Times New Roman Bold" w:hAnsi="Times New Roman Bold"/>
          <w:b/>
          <w:caps/>
          <w:sz w:val="24"/>
          <w:lang w:val="es-CL"/>
        </w:rPr>
      </w:pPr>
    </w:p>
    <w:p w:rsidR="003740E7" w:rsidRPr="00736DD1" w:rsidP="003740E7" w14:paraId="14EF6BFA" w14:textId="7D96A373">
      <w:pPr>
        <w:spacing w:after="240"/>
        <w:jc w:val="center"/>
        <w:rPr>
          <w:rFonts w:ascii="Times New Roman Bold" w:hAnsi="Times New Roman Bold"/>
          <w:b/>
          <w:caps/>
          <w:sz w:val="24"/>
          <w:lang w:val="es-CL"/>
        </w:rPr>
      </w:pPr>
      <w:r>
        <w:rPr>
          <w:rFonts w:ascii="Times New Roman Bold" w:hAnsi="Times New Roman Bold"/>
          <w:b/>
          <w:caps/>
          <w:sz w:val="24"/>
          <w:lang w:val="es-CL"/>
        </w:rPr>
        <w:t xml:space="preserve">LA OFICINA DE APLICACIÓN DE NORMAS ADOPTA ACCIONES </w:t>
      </w:r>
      <w:r w:rsidR="00FD5D37">
        <w:rPr>
          <w:rFonts w:ascii="Times New Roman Bold" w:hAnsi="Times New Roman Bold"/>
          <w:b/>
          <w:caps/>
          <w:sz w:val="24"/>
          <w:lang w:val="es-CL"/>
        </w:rPr>
        <w:t xml:space="preserve">CONTRA </w:t>
      </w:r>
      <w:r>
        <w:rPr>
          <w:rFonts w:ascii="Times New Roman Bold" w:hAnsi="Times New Roman Bold"/>
          <w:b/>
          <w:caps/>
          <w:sz w:val="24"/>
          <w:lang w:val="es-CL"/>
        </w:rPr>
        <w:t>INTERFERENCIA EN</w:t>
      </w:r>
      <w:r w:rsidR="002257A3">
        <w:rPr>
          <w:rFonts w:ascii="Times New Roman Bold" w:hAnsi="Times New Roman Bold"/>
          <w:b/>
          <w:caps/>
          <w:sz w:val="24"/>
          <w:lang w:val="es-CL"/>
        </w:rPr>
        <w:t xml:space="preserve"> estación</w:t>
      </w:r>
      <w:r w:rsidR="00D02D28">
        <w:rPr>
          <w:rFonts w:ascii="Times New Roman Bold" w:hAnsi="Times New Roman Bold"/>
          <w:b/>
          <w:caps/>
          <w:sz w:val="24"/>
          <w:lang w:val="es-CL"/>
        </w:rPr>
        <w:t xml:space="preserve"> DE RADAR</w:t>
      </w:r>
      <w:r w:rsidRPr="00D02D28" w:rsidR="00895191">
        <w:rPr>
          <w:rFonts w:ascii="Times New Roman Bold" w:hAnsi="Times New Roman Bold"/>
          <w:b/>
          <w:caps/>
          <w:sz w:val="24"/>
          <w:lang w:val="es-CL"/>
        </w:rPr>
        <w:t xml:space="preserve"> METEOROLÓGICO </w:t>
      </w:r>
      <w:r w:rsidR="00736DD1">
        <w:rPr>
          <w:rFonts w:ascii="Times New Roman Bold" w:hAnsi="Times New Roman Bold"/>
          <w:b/>
          <w:caps/>
          <w:sz w:val="24"/>
          <w:lang w:val="es-CL"/>
        </w:rPr>
        <w:t xml:space="preserve">DOPPLER </w:t>
      </w:r>
      <w:r w:rsidR="00396C46">
        <w:rPr>
          <w:rFonts w:ascii="Times New Roman Bold" w:hAnsi="Times New Roman Bold"/>
          <w:b/>
          <w:caps/>
          <w:sz w:val="24"/>
          <w:lang w:val="es-CL"/>
        </w:rPr>
        <w:t xml:space="preserve">de terminal </w:t>
      </w:r>
      <w:r w:rsidRPr="00D02D28" w:rsidR="00895191">
        <w:rPr>
          <w:rFonts w:ascii="Times New Roman Bold" w:hAnsi="Times New Roman Bold"/>
          <w:b/>
          <w:caps/>
          <w:sz w:val="24"/>
          <w:lang w:val="es-CL"/>
        </w:rPr>
        <w:t xml:space="preserve">DE LA </w:t>
      </w:r>
      <w:r w:rsidRPr="00D02D28" w:rsidR="00967640">
        <w:rPr>
          <w:rFonts w:ascii="Times New Roman Bold" w:hAnsi="Times New Roman Bold"/>
          <w:b/>
          <w:caps/>
          <w:sz w:val="24"/>
          <w:lang w:val="es-CL"/>
        </w:rPr>
        <w:t>FAA</w:t>
      </w:r>
    </w:p>
    <w:p w:rsidR="004830BA" w:rsidRPr="00B82DF2" w:rsidP="003740E7" w14:paraId="218F56A7" w14:textId="69A20FD8">
      <w:pPr>
        <w:spacing w:after="240"/>
        <w:jc w:val="center"/>
        <w:rPr>
          <w:sz w:val="24"/>
          <w:lang w:val="es-CL"/>
        </w:rPr>
      </w:pPr>
      <w:r>
        <w:rPr>
          <w:sz w:val="24"/>
          <w:lang w:val="es-CL"/>
        </w:rPr>
        <w:t xml:space="preserve">La </w:t>
      </w:r>
      <w:r w:rsidR="00D02D28">
        <w:rPr>
          <w:sz w:val="24"/>
          <w:lang w:val="es-CL"/>
        </w:rPr>
        <w:t>o</w:t>
      </w:r>
      <w:r>
        <w:rPr>
          <w:sz w:val="24"/>
          <w:lang w:val="es-CL"/>
        </w:rPr>
        <w:t xml:space="preserve">ficina de </w:t>
      </w:r>
      <w:r w:rsidR="00D02D28">
        <w:rPr>
          <w:sz w:val="24"/>
          <w:lang w:val="es-CL"/>
        </w:rPr>
        <w:t>a</w:t>
      </w:r>
      <w:r>
        <w:rPr>
          <w:sz w:val="24"/>
          <w:lang w:val="es-CL"/>
        </w:rPr>
        <w:t xml:space="preserve">plicación de </w:t>
      </w:r>
      <w:r w:rsidR="00D02D28">
        <w:rPr>
          <w:sz w:val="24"/>
          <w:lang w:val="es-CL"/>
        </w:rPr>
        <w:t>n</w:t>
      </w:r>
      <w:r>
        <w:rPr>
          <w:sz w:val="24"/>
          <w:lang w:val="es-CL"/>
        </w:rPr>
        <w:t xml:space="preserve">ormas </w:t>
      </w:r>
      <w:r w:rsidR="00665DDB">
        <w:rPr>
          <w:sz w:val="24"/>
          <w:lang w:val="es-CL"/>
        </w:rPr>
        <w:t xml:space="preserve">de la Comisión Federal de Comunicaciones </w:t>
      </w:r>
      <w:r>
        <w:rPr>
          <w:sz w:val="24"/>
          <w:lang w:val="es-CL"/>
        </w:rPr>
        <w:t>(</w:t>
      </w:r>
      <w:r w:rsidRPr="00665DDB" w:rsidR="00665DDB">
        <w:rPr>
          <w:i/>
          <w:iCs/>
          <w:sz w:val="24"/>
          <w:lang w:val="es-CL"/>
        </w:rPr>
        <w:t xml:space="preserve">Federal </w:t>
      </w:r>
      <w:r w:rsidRPr="00665DDB" w:rsidR="00665DDB">
        <w:rPr>
          <w:i/>
          <w:iCs/>
          <w:sz w:val="24"/>
          <w:lang w:val="es-CL"/>
        </w:rPr>
        <w:t>Communications</w:t>
      </w:r>
      <w:r w:rsidRPr="00665DDB" w:rsidR="00665DDB">
        <w:rPr>
          <w:i/>
          <w:iCs/>
          <w:sz w:val="24"/>
          <w:lang w:val="es-CL"/>
        </w:rPr>
        <w:t xml:space="preserve"> </w:t>
      </w:r>
      <w:r w:rsidRPr="00665DDB" w:rsidR="00665DDB">
        <w:rPr>
          <w:i/>
          <w:iCs/>
          <w:sz w:val="24"/>
          <w:lang w:val="es-CL"/>
        </w:rPr>
        <w:t>Commission’s</w:t>
      </w:r>
      <w:r w:rsidR="00665DDB">
        <w:rPr>
          <w:sz w:val="24"/>
          <w:lang w:val="es-CL"/>
        </w:rPr>
        <w:t xml:space="preserve"> </w:t>
      </w:r>
      <w:r w:rsidRPr="007B1FA9" w:rsidR="00F6458D">
        <w:rPr>
          <w:i/>
          <w:sz w:val="24"/>
          <w:lang w:val="es-CL"/>
        </w:rPr>
        <w:t>Enforcement</w:t>
      </w:r>
      <w:r w:rsidRPr="007B1FA9" w:rsidR="00F6458D">
        <w:rPr>
          <w:i/>
          <w:sz w:val="24"/>
          <w:lang w:val="es-CL"/>
        </w:rPr>
        <w:t xml:space="preserve"> Bureau</w:t>
      </w:r>
      <w:r>
        <w:rPr>
          <w:sz w:val="24"/>
          <w:lang w:val="es-CL"/>
        </w:rPr>
        <w:t xml:space="preserve">, en inglés) </w:t>
      </w:r>
      <w:r w:rsidR="00D02D28">
        <w:rPr>
          <w:sz w:val="24"/>
          <w:lang w:val="es-CL"/>
        </w:rPr>
        <w:t>adoptó</w:t>
      </w:r>
      <w:r w:rsidRPr="007B1FA9" w:rsidR="00F6458D">
        <w:rPr>
          <w:sz w:val="24"/>
          <w:lang w:val="es-CL"/>
        </w:rPr>
        <w:t xml:space="preserve"> rec</w:t>
      </w:r>
      <w:r>
        <w:rPr>
          <w:sz w:val="24"/>
          <w:lang w:val="es-CL"/>
        </w:rPr>
        <w:t>ientemente varias acciones contra compañías</w:t>
      </w:r>
      <w:r w:rsidR="00472E71">
        <w:rPr>
          <w:sz w:val="24"/>
          <w:lang w:val="es-CL"/>
        </w:rPr>
        <w:t xml:space="preserve"> </w:t>
      </w:r>
      <w:r w:rsidR="00554ACC">
        <w:rPr>
          <w:sz w:val="24"/>
          <w:lang w:val="es-CL"/>
        </w:rPr>
        <w:t xml:space="preserve">por la operación de </w:t>
      </w:r>
      <w:r>
        <w:rPr>
          <w:sz w:val="24"/>
          <w:lang w:val="es-CL"/>
        </w:rPr>
        <w:t xml:space="preserve">equipos </w:t>
      </w:r>
      <w:r w:rsidR="00554ACC">
        <w:rPr>
          <w:sz w:val="24"/>
          <w:lang w:val="es-CL"/>
        </w:rPr>
        <w:t>que causaron</w:t>
      </w:r>
      <w:r>
        <w:rPr>
          <w:sz w:val="24"/>
          <w:lang w:val="es-CL"/>
        </w:rPr>
        <w:t xml:space="preserve"> interferencia </w:t>
      </w:r>
      <w:r w:rsidRPr="00A24C0C">
        <w:rPr>
          <w:sz w:val="24"/>
          <w:lang w:val="es-CL"/>
        </w:rPr>
        <w:t xml:space="preserve">en la </w:t>
      </w:r>
      <w:r w:rsidRPr="003C091B">
        <w:rPr>
          <w:sz w:val="24"/>
          <w:lang w:val="es-CL"/>
        </w:rPr>
        <w:t>estación</w:t>
      </w:r>
      <w:r w:rsidRPr="003C091B" w:rsidR="00004E7F">
        <w:rPr>
          <w:sz w:val="24"/>
          <w:lang w:val="es-CL"/>
        </w:rPr>
        <w:t xml:space="preserve"> </w:t>
      </w:r>
      <w:r w:rsidRPr="003C091B">
        <w:rPr>
          <w:sz w:val="24"/>
          <w:lang w:val="es-CL"/>
        </w:rPr>
        <w:t>de</w:t>
      </w:r>
      <w:r w:rsidR="00D520EA">
        <w:rPr>
          <w:sz w:val="24"/>
          <w:lang w:val="es-CL"/>
        </w:rPr>
        <w:t>l</w:t>
      </w:r>
      <w:r w:rsidRPr="003C091B">
        <w:rPr>
          <w:sz w:val="24"/>
          <w:lang w:val="es-CL"/>
        </w:rPr>
        <w:t xml:space="preserve"> </w:t>
      </w:r>
      <w:r w:rsidRPr="003C091B" w:rsidR="003740E7">
        <w:rPr>
          <w:sz w:val="24"/>
          <w:lang w:val="es-CL"/>
        </w:rPr>
        <w:t xml:space="preserve">radar meteorológico </w:t>
      </w:r>
      <w:r w:rsidRPr="003C091B" w:rsidR="00967640">
        <w:rPr>
          <w:sz w:val="24"/>
          <w:lang w:val="es-CL"/>
        </w:rPr>
        <w:t>d</w:t>
      </w:r>
      <w:r w:rsidRPr="003C091B" w:rsidR="00736DD1">
        <w:rPr>
          <w:sz w:val="24"/>
          <w:lang w:val="es-CL"/>
        </w:rPr>
        <w:t>oppler</w:t>
      </w:r>
      <w:r w:rsidRPr="003C091B" w:rsidR="00736DD1">
        <w:rPr>
          <w:sz w:val="24"/>
          <w:lang w:val="es-CL"/>
        </w:rPr>
        <w:t xml:space="preserve"> </w:t>
      </w:r>
      <w:r w:rsidRPr="003C091B" w:rsidR="001A1C64">
        <w:rPr>
          <w:sz w:val="24"/>
          <w:lang w:val="es-CL"/>
        </w:rPr>
        <w:t>de terminal</w:t>
      </w:r>
      <w:r w:rsidR="00736DD1">
        <w:rPr>
          <w:sz w:val="24"/>
          <w:lang w:val="es-CL"/>
        </w:rPr>
        <w:t xml:space="preserve"> </w:t>
      </w:r>
      <w:r w:rsidRPr="007B1FA9">
        <w:rPr>
          <w:lang w:val="es-CL"/>
        </w:rPr>
        <w:t>(</w:t>
      </w:r>
      <w:r w:rsidRPr="00895191">
        <w:rPr>
          <w:i/>
          <w:sz w:val="24"/>
          <w:lang w:val="es-CL"/>
        </w:rPr>
        <w:t xml:space="preserve">terminal </w:t>
      </w:r>
      <w:r w:rsidRPr="00895191">
        <w:rPr>
          <w:i/>
          <w:sz w:val="24"/>
          <w:lang w:val="es-CL"/>
        </w:rPr>
        <w:t>doppler</w:t>
      </w:r>
      <w:r w:rsidRPr="00895191">
        <w:rPr>
          <w:i/>
          <w:sz w:val="24"/>
          <w:lang w:val="es-CL"/>
        </w:rPr>
        <w:t xml:space="preserve"> </w:t>
      </w:r>
      <w:r w:rsidRPr="00895191">
        <w:rPr>
          <w:i/>
          <w:sz w:val="24"/>
          <w:lang w:val="es-CL"/>
        </w:rPr>
        <w:t>weather</w:t>
      </w:r>
      <w:r w:rsidRPr="00895191">
        <w:rPr>
          <w:i/>
          <w:sz w:val="24"/>
          <w:lang w:val="es-CL"/>
        </w:rPr>
        <w:t xml:space="preserve"> radar</w:t>
      </w:r>
      <w:r>
        <w:rPr>
          <w:sz w:val="24"/>
          <w:lang w:val="es-CL"/>
        </w:rPr>
        <w:t>, TDWR)</w:t>
      </w:r>
      <w:r w:rsidRPr="007B1FA9" w:rsidR="003740E7">
        <w:rPr>
          <w:sz w:val="24"/>
          <w:lang w:val="es-CL"/>
        </w:rPr>
        <w:t xml:space="preserve">, operado por la </w:t>
      </w:r>
      <w:r w:rsidRPr="007B1FA9">
        <w:rPr>
          <w:sz w:val="24"/>
          <w:lang w:val="es-CL"/>
        </w:rPr>
        <w:t>Administración Federal de Aviación (</w:t>
      </w:r>
      <w:r w:rsidRPr="005D3F80" w:rsidR="00F6458D">
        <w:rPr>
          <w:i/>
          <w:sz w:val="24"/>
          <w:lang w:val="es-CL"/>
        </w:rPr>
        <w:t xml:space="preserve">Federal </w:t>
      </w:r>
      <w:r w:rsidRPr="005D3F80" w:rsidR="00F6458D">
        <w:rPr>
          <w:i/>
          <w:sz w:val="24"/>
          <w:lang w:val="es-CL"/>
        </w:rPr>
        <w:t>Aviation</w:t>
      </w:r>
      <w:r w:rsidRPr="005D3F80" w:rsidR="00F6458D">
        <w:rPr>
          <w:i/>
          <w:sz w:val="24"/>
          <w:lang w:val="es-CL"/>
        </w:rPr>
        <w:t xml:space="preserve"> </w:t>
      </w:r>
      <w:r w:rsidRPr="005D3F80" w:rsidR="00F6458D">
        <w:rPr>
          <w:i/>
          <w:sz w:val="24"/>
          <w:lang w:val="es-CL"/>
        </w:rPr>
        <w:t>Administration</w:t>
      </w:r>
      <w:r w:rsidRPr="007B1FA9">
        <w:rPr>
          <w:sz w:val="24"/>
          <w:lang w:val="es-CL"/>
        </w:rPr>
        <w:t xml:space="preserve">, </w:t>
      </w:r>
      <w:r w:rsidRPr="007B1FA9" w:rsidR="00F6458D">
        <w:rPr>
          <w:sz w:val="24"/>
          <w:lang w:val="es-CL"/>
        </w:rPr>
        <w:t>FAA</w:t>
      </w:r>
      <w:r w:rsidRPr="007B1FA9">
        <w:rPr>
          <w:sz w:val="24"/>
          <w:lang w:val="es-CL"/>
        </w:rPr>
        <w:t>, por sus siglas en inglés)</w:t>
      </w:r>
      <w:r w:rsidRPr="007B1FA9" w:rsidR="00C76D78">
        <w:rPr>
          <w:sz w:val="24"/>
          <w:lang w:val="es-CL"/>
        </w:rPr>
        <w:t xml:space="preserve"> </w:t>
      </w:r>
      <w:r w:rsidRPr="007B1FA9">
        <w:rPr>
          <w:sz w:val="24"/>
          <w:lang w:val="es-CL"/>
        </w:rPr>
        <w:t xml:space="preserve">en San </w:t>
      </w:r>
      <w:r w:rsidRPr="007B1FA9" w:rsidR="00C76D78">
        <w:rPr>
          <w:sz w:val="24"/>
          <w:lang w:val="es-CL"/>
        </w:rPr>
        <w:t>Juan, Puerto Rico</w:t>
      </w:r>
      <w:r w:rsidRPr="007B1FA9" w:rsidR="009D7A3E">
        <w:rPr>
          <w:sz w:val="24"/>
          <w:lang w:val="es-CL"/>
        </w:rPr>
        <w:t xml:space="preserve">, </w:t>
      </w:r>
      <w:r>
        <w:rPr>
          <w:sz w:val="24"/>
          <w:lang w:val="es-CL"/>
        </w:rPr>
        <w:t xml:space="preserve">proponiendo en conjunto, casi </w:t>
      </w:r>
      <w:r w:rsidRPr="007B1FA9" w:rsidR="009D7A3E">
        <w:rPr>
          <w:sz w:val="24"/>
          <w:lang w:val="es-CL"/>
        </w:rPr>
        <w:t xml:space="preserve">$100,000 </w:t>
      </w:r>
      <w:r>
        <w:rPr>
          <w:sz w:val="24"/>
          <w:lang w:val="es-CL"/>
        </w:rPr>
        <w:t>en multas</w:t>
      </w:r>
      <w:r w:rsidRPr="007B1FA9" w:rsidR="00585BE5">
        <w:rPr>
          <w:sz w:val="24"/>
          <w:lang w:val="es-CL"/>
        </w:rPr>
        <w:t>.</w:t>
      </w:r>
      <w:r>
        <w:rPr>
          <w:rStyle w:val="FootnoteReference"/>
        </w:rPr>
        <w:footnoteReference w:id="3"/>
      </w:r>
      <w:r w:rsidRPr="007B1FA9" w:rsidR="00F6458D">
        <w:rPr>
          <w:sz w:val="24"/>
          <w:lang w:val="es-CL"/>
        </w:rPr>
        <w:t xml:space="preserve"> </w:t>
      </w:r>
      <w:r w:rsidRPr="007B1FA9" w:rsidR="00585BE5">
        <w:rPr>
          <w:sz w:val="24"/>
          <w:lang w:val="es-CL"/>
        </w:rPr>
        <w:t xml:space="preserve"> </w:t>
      </w:r>
      <w:r w:rsidRPr="00B82DF2" w:rsidR="00B82DF2">
        <w:rPr>
          <w:sz w:val="24"/>
          <w:lang w:val="es-CL"/>
        </w:rPr>
        <w:t>La</w:t>
      </w:r>
      <w:r w:rsidRPr="00B82DF2" w:rsidR="00F6458D">
        <w:rPr>
          <w:sz w:val="24"/>
          <w:lang w:val="es-CL"/>
        </w:rPr>
        <w:t xml:space="preserve"> FAA us</w:t>
      </w:r>
      <w:r w:rsidRPr="00B82DF2" w:rsidR="00B82DF2">
        <w:rPr>
          <w:sz w:val="24"/>
          <w:lang w:val="es-CL"/>
        </w:rPr>
        <w:t xml:space="preserve">a </w:t>
      </w:r>
      <w:r w:rsidRPr="00741B74" w:rsidR="00B82DF2">
        <w:rPr>
          <w:sz w:val="24"/>
          <w:lang w:val="es-CL"/>
        </w:rPr>
        <w:t xml:space="preserve">radar meteorológico </w:t>
      </w:r>
      <w:r w:rsidRPr="00741B74" w:rsidR="00967640">
        <w:rPr>
          <w:sz w:val="24"/>
          <w:lang w:val="es-CL"/>
        </w:rPr>
        <w:t>d</w:t>
      </w:r>
      <w:r w:rsidRPr="00741B74" w:rsidR="00736DD1">
        <w:rPr>
          <w:sz w:val="24"/>
          <w:lang w:val="es-CL"/>
        </w:rPr>
        <w:t>oppler</w:t>
      </w:r>
      <w:r w:rsidRPr="00741B74" w:rsidR="00736DD1">
        <w:rPr>
          <w:sz w:val="24"/>
          <w:lang w:val="es-CL"/>
        </w:rPr>
        <w:t xml:space="preserve"> </w:t>
      </w:r>
      <w:r w:rsidRPr="00741B74" w:rsidR="001A1C64">
        <w:rPr>
          <w:sz w:val="24"/>
          <w:lang w:val="es-CL"/>
        </w:rPr>
        <w:t>de terminal</w:t>
      </w:r>
      <w:r w:rsidRPr="00741B74" w:rsidR="00B82DF2">
        <w:rPr>
          <w:sz w:val="24"/>
          <w:lang w:val="es-CL"/>
        </w:rPr>
        <w:t>,</w:t>
      </w:r>
      <w:r w:rsidRPr="00B82DF2" w:rsidR="00B82DF2">
        <w:rPr>
          <w:sz w:val="24"/>
          <w:lang w:val="es-CL"/>
        </w:rPr>
        <w:t xml:space="preserve"> que opera en la banda de</w:t>
      </w:r>
      <w:r w:rsidRPr="00B82DF2" w:rsidR="00F6458D">
        <w:rPr>
          <w:sz w:val="24"/>
          <w:lang w:val="es-CL"/>
        </w:rPr>
        <w:t xml:space="preserve"> 5</w:t>
      </w:r>
      <w:r w:rsidRPr="00B82DF2" w:rsidR="00CE5089">
        <w:rPr>
          <w:sz w:val="24"/>
          <w:lang w:val="es-CL"/>
        </w:rPr>
        <w:t>.</w:t>
      </w:r>
      <w:r w:rsidRPr="00B82DF2" w:rsidR="00F6458D">
        <w:rPr>
          <w:sz w:val="24"/>
          <w:lang w:val="es-CL"/>
        </w:rPr>
        <w:t>60</w:t>
      </w:r>
      <w:r w:rsidRPr="00B82DF2" w:rsidR="00E61CA9">
        <w:rPr>
          <w:sz w:val="24"/>
          <w:lang w:val="es-CL"/>
        </w:rPr>
        <w:t xml:space="preserve"> </w:t>
      </w:r>
      <w:r w:rsidRPr="00B82DF2" w:rsidR="00F6458D">
        <w:rPr>
          <w:sz w:val="24"/>
          <w:lang w:val="es-CL"/>
        </w:rPr>
        <w:t>–</w:t>
      </w:r>
      <w:r w:rsidRPr="00B82DF2" w:rsidR="00E61CA9">
        <w:rPr>
          <w:sz w:val="24"/>
          <w:lang w:val="es-CL"/>
        </w:rPr>
        <w:t xml:space="preserve"> </w:t>
      </w:r>
      <w:r w:rsidRPr="00B82DF2" w:rsidR="00F6458D">
        <w:rPr>
          <w:sz w:val="24"/>
          <w:lang w:val="es-CL"/>
        </w:rPr>
        <w:t>5</w:t>
      </w:r>
      <w:r w:rsidRPr="00B82DF2" w:rsidR="00CE5089">
        <w:rPr>
          <w:sz w:val="24"/>
          <w:lang w:val="es-CL"/>
        </w:rPr>
        <w:t>.</w:t>
      </w:r>
      <w:r w:rsidRPr="00B82DF2" w:rsidR="00F6458D">
        <w:rPr>
          <w:sz w:val="24"/>
          <w:lang w:val="es-CL"/>
        </w:rPr>
        <w:t>65 </w:t>
      </w:r>
      <w:r w:rsidRPr="00B82DF2" w:rsidR="00CE5089">
        <w:rPr>
          <w:sz w:val="24"/>
          <w:lang w:val="es-CL"/>
        </w:rPr>
        <w:t>G</w:t>
      </w:r>
      <w:r w:rsidRPr="00B82DF2" w:rsidR="00F6458D">
        <w:rPr>
          <w:sz w:val="24"/>
          <w:lang w:val="es-CL"/>
        </w:rPr>
        <w:t>Hz</w:t>
      </w:r>
      <w:r w:rsidR="00C27C0B">
        <w:rPr>
          <w:sz w:val="24"/>
          <w:lang w:val="es-CL"/>
        </w:rPr>
        <w:t>,</w:t>
      </w:r>
      <w:r w:rsidRPr="00B82DF2" w:rsidR="00F6458D">
        <w:rPr>
          <w:sz w:val="24"/>
          <w:lang w:val="es-CL"/>
        </w:rPr>
        <w:t xml:space="preserve"> </w:t>
      </w:r>
      <w:r w:rsidRPr="00B82DF2" w:rsidR="00B82DF2">
        <w:rPr>
          <w:sz w:val="24"/>
          <w:lang w:val="es-CL"/>
        </w:rPr>
        <w:t xml:space="preserve">para advertir a los pilotos sobre condiciones </w:t>
      </w:r>
      <w:r w:rsidR="00467441">
        <w:rPr>
          <w:sz w:val="24"/>
          <w:lang w:val="es-CL"/>
        </w:rPr>
        <w:t>meteorológicas</w:t>
      </w:r>
      <w:r w:rsidR="00B82DF2">
        <w:rPr>
          <w:sz w:val="24"/>
          <w:lang w:val="es-CL"/>
        </w:rPr>
        <w:t xml:space="preserve"> peligrosas, las que podrían afectar </w:t>
      </w:r>
      <w:r w:rsidRPr="00B82DF2" w:rsidR="00EA677E">
        <w:rPr>
          <w:sz w:val="24"/>
          <w:lang w:val="es-CL"/>
        </w:rPr>
        <w:t>—o</w:t>
      </w:r>
      <w:r w:rsidR="00B82DF2">
        <w:rPr>
          <w:sz w:val="24"/>
          <w:lang w:val="es-CL"/>
        </w:rPr>
        <w:t xml:space="preserve"> incluso amenazar</w:t>
      </w:r>
      <w:r w:rsidRPr="00B82DF2" w:rsidR="00EA677E">
        <w:rPr>
          <w:sz w:val="24"/>
          <w:lang w:val="es-CL"/>
        </w:rPr>
        <w:t>—</w:t>
      </w:r>
      <w:r w:rsidR="00787AD6">
        <w:rPr>
          <w:sz w:val="24"/>
          <w:lang w:val="es-CL"/>
        </w:rPr>
        <w:t xml:space="preserve"> </w:t>
      </w:r>
      <w:r w:rsidR="00B82DF2">
        <w:rPr>
          <w:sz w:val="24"/>
          <w:lang w:val="es-CL"/>
        </w:rPr>
        <w:t>la llegada o partida de aeronaves</w:t>
      </w:r>
      <w:r w:rsidR="00C355B8">
        <w:rPr>
          <w:sz w:val="24"/>
          <w:lang w:val="es-CL"/>
        </w:rPr>
        <w:t xml:space="preserve">, </w:t>
      </w:r>
      <w:r w:rsidR="00B82DF2">
        <w:rPr>
          <w:sz w:val="24"/>
          <w:lang w:val="es-CL"/>
        </w:rPr>
        <w:t>de o a los aeropuertos</w:t>
      </w:r>
      <w:r w:rsidR="00C355B8">
        <w:rPr>
          <w:sz w:val="24"/>
          <w:lang w:val="es-CL"/>
        </w:rPr>
        <w:t xml:space="preserve">, </w:t>
      </w:r>
      <w:r w:rsidR="00B82DF2">
        <w:rPr>
          <w:sz w:val="24"/>
          <w:lang w:val="es-CL"/>
        </w:rPr>
        <w:t>en Estados Unidos continental y Puerto</w:t>
      </w:r>
      <w:r w:rsidR="00963668">
        <w:rPr>
          <w:sz w:val="24"/>
          <w:lang w:val="es-CL"/>
        </w:rPr>
        <w:t xml:space="preserve"> Rico</w:t>
      </w:r>
      <w:r w:rsidRPr="00B82DF2" w:rsidR="00F6458D">
        <w:rPr>
          <w:sz w:val="24"/>
          <w:lang w:val="es-CL"/>
        </w:rPr>
        <w:t>.</w:t>
      </w:r>
      <w:r>
        <w:rPr>
          <w:rStyle w:val="FootnoteReference"/>
        </w:rPr>
        <w:footnoteReference w:id="4"/>
      </w:r>
      <w:r w:rsidRPr="00B82DF2" w:rsidR="00F6458D">
        <w:rPr>
          <w:sz w:val="24"/>
          <w:lang w:val="es-CL"/>
        </w:rPr>
        <w:t xml:space="preserve">  </w:t>
      </w:r>
    </w:p>
    <w:p w:rsidR="00CE5089" w:rsidRPr="00DD6611" w:rsidP="00290BBF" w14:paraId="12FC0F73" w14:textId="0A30A43A">
      <w:pPr>
        <w:widowControl/>
        <w:spacing w:after="240"/>
        <w:rPr>
          <w:sz w:val="24"/>
          <w:lang w:val="es-CL"/>
        </w:rPr>
      </w:pPr>
      <w:r w:rsidRPr="00A97ADA">
        <w:rPr>
          <w:sz w:val="24"/>
          <w:lang w:val="es-CL"/>
        </w:rPr>
        <w:t xml:space="preserve">Las investigaciones de la </w:t>
      </w:r>
      <w:r w:rsidR="00D364A4">
        <w:rPr>
          <w:sz w:val="24"/>
          <w:lang w:val="es-CL"/>
        </w:rPr>
        <w:t>o</w:t>
      </w:r>
      <w:r w:rsidRPr="00A97ADA">
        <w:rPr>
          <w:sz w:val="24"/>
          <w:lang w:val="es-CL"/>
        </w:rPr>
        <w:t xml:space="preserve">ficina de </w:t>
      </w:r>
      <w:r w:rsidR="00D364A4">
        <w:rPr>
          <w:sz w:val="24"/>
          <w:lang w:val="es-CL"/>
        </w:rPr>
        <w:t>a</w:t>
      </w:r>
      <w:r w:rsidRPr="00A97ADA">
        <w:rPr>
          <w:sz w:val="24"/>
          <w:lang w:val="es-CL"/>
        </w:rPr>
        <w:t xml:space="preserve">plicación de </w:t>
      </w:r>
      <w:r w:rsidR="00D364A4">
        <w:rPr>
          <w:sz w:val="24"/>
          <w:lang w:val="es-CL"/>
        </w:rPr>
        <w:t>n</w:t>
      </w:r>
      <w:r w:rsidRPr="00A97ADA">
        <w:rPr>
          <w:sz w:val="24"/>
          <w:lang w:val="es-CL"/>
        </w:rPr>
        <w:t xml:space="preserve">ormas revelaron que equipos </w:t>
      </w:r>
      <w:r w:rsidRPr="00A97ADA" w:rsidR="00A97ADA">
        <w:rPr>
          <w:sz w:val="24"/>
          <w:lang w:val="es-CL"/>
        </w:rPr>
        <w:t xml:space="preserve">inalámbricos al aire libre </w:t>
      </w:r>
      <w:r w:rsidRPr="00A97ADA" w:rsidR="004613B2">
        <w:rPr>
          <w:sz w:val="24"/>
          <w:lang w:val="es-CL"/>
        </w:rPr>
        <w:t>—particular</w:t>
      </w:r>
      <w:r w:rsidR="00A97ADA">
        <w:rPr>
          <w:sz w:val="24"/>
          <w:lang w:val="es-CL"/>
        </w:rPr>
        <w:t xml:space="preserve">mente aquellos operados por proveedores de servicio de Internet </w:t>
      </w:r>
      <w:r w:rsidR="004049DB">
        <w:rPr>
          <w:sz w:val="24"/>
          <w:lang w:val="es-CL"/>
        </w:rPr>
        <w:t>I</w:t>
      </w:r>
      <w:r w:rsidR="00A97ADA">
        <w:rPr>
          <w:sz w:val="24"/>
          <w:lang w:val="es-CL"/>
        </w:rPr>
        <w:t>nalámbrico (</w:t>
      </w:r>
      <w:r w:rsidRPr="00A97ADA" w:rsidR="00C92BC6">
        <w:rPr>
          <w:sz w:val="24"/>
          <w:lang w:val="es-CL"/>
        </w:rPr>
        <w:t>“</w:t>
      </w:r>
      <w:r w:rsidRPr="00A97ADA" w:rsidR="00F80DC8">
        <w:rPr>
          <w:sz w:val="24"/>
          <w:lang w:val="es-CL"/>
        </w:rPr>
        <w:t>WISPs</w:t>
      </w:r>
      <w:r w:rsidRPr="00A97ADA" w:rsidR="00C92BC6">
        <w:rPr>
          <w:sz w:val="24"/>
          <w:lang w:val="es-CL"/>
        </w:rPr>
        <w:t>”</w:t>
      </w:r>
      <w:r w:rsidR="00A97ADA">
        <w:rPr>
          <w:sz w:val="24"/>
          <w:lang w:val="es-CL"/>
        </w:rPr>
        <w:t>, por sus siglas en inglés)</w:t>
      </w:r>
      <w:r w:rsidRPr="00A97ADA" w:rsidR="00F80DC8">
        <w:rPr>
          <w:sz w:val="24"/>
          <w:lang w:val="es-CL"/>
        </w:rPr>
        <w:t xml:space="preserve"> </w:t>
      </w:r>
      <w:r w:rsidR="00A97ADA">
        <w:rPr>
          <w:sz w:val="24"/>
          <w:lang w:val="es-CL"/>
        </w:rPr>
        <w:t xml:space="preserve">para proveer </w:t>
      </w:r>
      <w:r w:rsidR="00870712">
        <w:rPr>
          <w:sz w:val="24"/>
          <w:lang w:val="es-CL"/>
        </w:rPr>
        <w:t>conectividad de banda ancha punto-a-punto</w:t>
      </w:r>
      <w:r w:rsidRPr="00A97ADA" w:rsidR="004613B2">
        <w:rPr>
          <w:sz w:val="24"/>
          <w:lang w:val="es-CL"/>
        </w:rPr>
        <w:t>—</w:t>
      </w:r>
      <w:r w:rsidR="00870712">
        <w:rPr>
          <w:lang w:val="es-CL"/>
        </w:rPr>
        <w:t xml:space="preserve"> causaron gran parte de la interferencia</w:t>
      </w:r>
      <w:r w:rsidRPr="00A97ADA" w:rsidR="00F6458D">
        <w:rPr>
          <w:sz w:val="24"/>
          <w:lang w:val="es-CL"/>
        </w:rPr>
        <w:t xml:space="preserve">.  </w:t>
      </w:r>
      <w:r w:rsidRPr="00013724" w:rsidR="006356A2">
        <w:rPr>
          <w:sz w:val="24"/>
          <w:lang w:val="es-CL"/>
        </w:rPr>
        <w:t xml:space="preserve">Los equipos estaban instalados cerca o dentro de la línea </w:t>
      </w:r>
      <w:r w:rsidR="00C23033">
        <w:rPr>
          <w:sz w:val="24"/>
          <w:lang w:val="es-CL"/>
        </w:rPr>
        <w:t xml:space="preserve">de visión </w:t>
      </w:r>
      <w:r w:rsidRPr="00013724" w:rsidR="006356A2">
        <w:rPr>
          <w:sz w:val="24"/>
          <w:lang w:val="es-CL"/>
        </w:rPr>
        <w:t xml:space="preserve">de la </w:t>
      </w:r>
      <w:r w:rsidRPr="00C23033" w:rsidR="00B204AD">
        <w:rPr>
          <w:sz w:val="24"/>
          <w:lang w:val="es-CL"/>
        </w:rPr>
        <w:t>estación de</w:t>
      </w:r>
      <w:r w:rsidRPr="00C23033" w:rsidR="00967640">
        <w:rPr>
          <w:sz w:val="24"/>
          <w:lang w:val="es-CL"/>
        </w:rPr>
        <w:t xml:space="preserve"> </w:t>
      </w:r>
      <w:r w:rsidRPr="00C23033" w:rsidR="00B204AD">
        <w:rPr>
          <w:sz w:val="24"/>
          <w:lang w:val="es-CL"/>
        </w:rPr>
        <w:t xml:space="preserve">radar meteorológico </w:t>
      </w:r>
      <w:r w:rsidRPr="00C23033" w:rsidR="002B5663">
        <w:rPr>
          <w:sz w:val="24"/>
          <w:lang w:val="es-CL"/>
        </w:rPr>
        <w:t>d</w:t>
      </w:r>
      <w:r w:rsidRPr="00C23033" w:rsidR="00B204AD">
        <w:rPr>
          <w:sz w:val="24"/>
          <w:lang w:val="es-CL"/>
        </w:rPr>
        <w:t>oppler</w:t>
      </w:r>
      <w:r w:rsidRPr="00C23033" w:rsidR="00B204AD">
        <w:rPr>
          <w:sz w:val="24"/>
          <w:lang w:val="es-CL"/>
        </w:rPr>
        <w:t xml:space="preserve"> de terminal</w:t>
      </w:r>
      <w:r w:rsidRPr="00013724" w:rsidR="00B204AD">
        <w:rPr>
          <w:sz w:val="24"/>
          <w:lang w:val="es-CL"/>
        </w:rPr>
        <w:t xml:space="preserve"> de la FAA. </w:t>
      </w:r>
      <w:r w:rsidRPr="00AA3213" w:rsidR="00B204AD">
        <w:rPr>
          <w:sz w:val="24"/>
          <w:lang w:val="es-CL"/>
        </w:rPr>
        <w:t xml:space="preserve">En la mayoría de los casos, los equipos fueron configurados por el usuario o </w:t>
      </w:r>
      <w:r w:rsidR="00BC4D8D">
        <w:rPr>
          <w:sz w:val="24"/>
          <w:lang w:val="es-CL"/>
        </w:rPr>
        <w:t xml:space="preserve">por </w:t>
      </w:r>
      <w:r w:rsidRPr="00AA3213" w:rsidR="00B204AD">
        <w:rPr>
          <w:sz w:val="24"/>
          <w:lang w:val="es-CL"/>
        </w:rPr>
        <w:t xml:space="preserve">el instalador para operar de manera </w:t>
      </w:r>
      <w:r w:rsidR="00A252DB">
        <w:rPr>
          <w:sz w:val="24"/>
          <w:lang w:val="es-CL"/>
        </w:rPr>
        <w:t>in</w:t>
      </w:r>
      <w:r w:rsidRPr="00AA3213" w:rsidR="00B204AD">
        <w:rPr>
          <w:sz w:val="24"/>
          <w:lang w:val="es-CL"/>
        </w:rPr>
        <w:t>consistente con las disposiciones de la FCC contenidas en la sección “</w:t>
      </w:r>
      <w:r w:rsidRPr="00AA3213" w:rsidR="00B204AD">
        <w:rPr>
          <w:sz w:val="24"/>
          <w:lang w:val="es-CL"/>
        </w:rPr>
        <w:t>part</w:t>
      </w:r>
      <w:r w:rsidRPr="00AA3213" w:rsidR="00B204AD">
        <w:rPr>
          <w:sz w:val="24"/>
          <w:lang w:val="es-CL"/>
        </w:rPr>
        <w:t xml:space="preserve"> 15 rules”, que norma</w:t>
      </w:r>
      <w:r w:rsidRPr="00AA3213" w:rsidR="00AA3213">
        <w:rPr>
          <w:sz w:val="24"/>
          <w:lang w:val="es-CL"/>
        </w:rPr>
        <w:t xml:space="preserve"> los transmisores de radio, desde </w:t>
      </w:r>
      <w:r w:rsidR="00AA3213">
        <w:rPr>
          <w:sz w:val="24"/>
          <w:lang w:val="es-CL"/>
        </w:rPr>
        <w:t>los “</w:t>
      </w:r>
      <w:r w:rsidR="00AA3213">
        <w:rPr>
          <w:sz w:val="24"/>
          <w:lang w:val="es-CL"/>
        </w:rPr>
        <w:t>hotspots</w:t>
      </w:r>
      <w:r w:rsidR="00AA3213">
        <w:rPr>
          <w:sz w:val="24"/>
          <w:lang w:val="es-CL"/>
        </w:rPr>
        <w:t xml:space="preserve">” </w:t>
      </w:r>
      <w:r w:rsidRPr="00AA3213" w:rsidR="00C92BC6">
        <w:rPr>
          <w:sz w:val="24"/>
          <w:lang w:val="es-CL"/>
        </w:rPr>
        <w:t>WiFi</w:t>
      </w:r>
      <w:r w:rsidRPr="00AA3213" w:rsidR="00C92BC6">
        <w:rPr>
          <w:sz w:val="24"/>
          <w:lang w:val="es-CL"/>
        </w:rPr>
        <w:t xml:space="preserve"> </w:t>
      </w:r>
      <w:r w:rsidR="00AA3213">
        <w:rPr>
          <w:sz w:val="24"/>
          <w:lang w:val="es-CL"/>
        </w:rPr>
        <w:t xml:space="preserve">a los controles </w:t>
      </w:r>
      <w:r w:rsidR="00BB62E4">
        <w:rPr>
          <w:sz w:val="24"/>
          <w:lang w:val="es-CL"/>
        </w:rPr>
        <w:t xml:space="preserve">remotos para puertas de </w:t>
      </w:r>
      <w:r w:rsidR="000B220B">
        <w:rPr>
          <w:sz w:val="24"/>
          <w:lang w:val="es-CL"/>
        </w:rPr>
        <w:t>garajes</w:t>
      </w:r>
      <w:r w:rsidR="00BB62E4">
        <w:rPr>
          <w:sz w:val="24"/>
          <w:lang w:val="es-CL"/>
        </w:rPr>
        <w:t xml:space="preserve">, </w:t>
      </w:r>
      <w:r w:rsidRPr="00967640" w:rsidR="00BB62E4">
        <w:rPr>
          <w:sz w:val="24"/>
          <w:lang w:val="es-CL"/>
        </w:rPr>
        <w:t>cuya operación sin licencia individual</w:t>
      </w:r>
      <w:r w:rsidR="00BB62E4">
        <w:rPr>
          <w:sz w:val="24"/>
          <w:lang w:val="es-CL"/>
        </w:rPr>
        <w:t xml:space="preserve"> está autorizada por la FCC</w:t>
      </w:r>
      <w:r w:rsidRPr="00AA3213" w:rsidR="00F6458D">
        <w:rPr>
          <w:sz w:val="24"/>
          <w:lang w:val="es-CL"/>
        </w:rPr>
        <w:t>.</w:t>
      </w:r>
      <w:r>
        <w:rPr>
          <w:rStyle w:val="FootnoteReference"/>
        </w:rPr>
        <w:footnoteReference w:id="5"/>
      </w:r>
      <w:r w:rsidRPr="00AA3213" w:rsidR="00F6458D">
        <w:rPr>
          <w:sz w:val="24"/>
          <w:lang w:val="es-CL"/>
        </w:rPr>
        <w:t xml:space="preserve">  </w:t>
      </w:r>
      <w:r w:rsidRPr="00DD6611" w:rsidR="00DD6611">
        <w:rPr>
          <w:sz w:val="24"/>
          <w:lang w:val="es-CL"/>
        </w:rPr>
        <w:t xml:space="preserve">La </w:t>
      </w:r>
      <w:r w:rsidR="00736DD1">
        <w:rPr>
          <w:sz w:val="24"/>
          <w:lang w:val="es-CL"/>
        </w:rPr>
        <w:t>o</w:t>
      </w:r>
      <w:r w:rsidRPr="00DD6611" w:rsidR="00DD6611">
        <w:rPr>
          <w:sz w:val="24"/>
          <w:lang w:val="es-CL"/>
        </w:rPr>
        <w:t xml:space="preserve">ficina de </w:t>
      </w:r>
      <w:r w:rsidR="00736DD1">
        <w:rPr>
          <w:sz w:val="24"/>
          <w:lang w:val="es-CL"/>
        </w:rPr>
        <w:t>a</w:t>
      </w:r>
      <w:r w:rsidRPr="00DD6611" w:rsidR="00DD6611">
        <w:rPr>
          <w:sz w:val="24"/>
          <w:lang w:val="es-CL"/>
        </w:rPr>
        <w:t xml:space="preserve">plicación de </w:t>
      </w:r>
      <w:r w:rsidR="00736DD1">
        <w:rPr>
          <w:sz w:val="24"/>
          <w:lang w:val="es-CL"/>
        </w:rPr>
        <w:t>n</w:t>
      </w:r>
      <w:r w:rsidRPr="00DD6611" w:rsidR="00DD6611">
        <w:rPr>
          <w:sz w:val="24"/>
          <w:lang w:val="es-CL"/>
        </w:rPr>
        <w:t>ormas continúa investigando interferencias a estaci</w:t>
      </w:r>
      <w:r w:rsidR="00DD6611">
        <w:rPr>
          <w:sz w:val="24"/>
          <w:lang w:val="es-CL"/>
        </w:rPr>
        <w:t>ones</w:t>
      </w:r>
      <w:r w:rsidRPr="00DD6611" w:rsidR="00DD6611">
        <w:rPr>
          <w:sz w:val="24"/>
          <w:lang w:val="es-CL"/>
        </w:rPr>
        <w:t xml:space="preserve"> de radar meteorológico </w:t>
      </w:r>
      <w:r w:rsidR="00FC31AD">
        <w:rPr>
          <w:sz w:val="24"/>
          <w:lang w:val="es-CL"/>
        </w:rPr>
        <w:t>d</w:t>
      </w:r>
      <w:r w:rsidRPr="00DD6611" w:rsidR="00DD6611">
        <w:rPr>
          <w:sz w:val="24"/>
          <w:lang w:val="es-CL"/>
        </w:rPr>
        <w:t>oppler</w:t>
      </w:r>
      <w:r w:rsidRPr="00DD6611" w:rsidR="00DD6611">
        <w:rPr>
          <w:sz w:val="24"/>
          <w:lang w:val="es-CL"/>
        </w:rPr>
        <w:t xml:space="preserve"> de terminal</w:t>
      </w:r>
      <w:r w:rsidR="00DD6611">
        <w:rPr>
          <w:sz w:val="24"/>
          <w:lang w:val="es-CL"/>
        </w:rPr>
        <w:t xml:space="preserve"> y adoptará las medidas apropiadas que sean necesarias.</w:t>
      </w:r>
      <w:r w:rsidRPr="00DD6611" w:rsidR="00F6458D">
        <w:rPr>
          <w:sz w:val="24"/>
          <w:lang w:val="es-CL"/>
        </w:rPr>
        <w:t xml:space="preserve"> </w:t>
      </w:r>
    </w:p>
    <w:p w:rsidR="00CE5089" w:rsidRPr="00736DD1" w:rsidP="009B2A7A" w14:paraId="6AE96CE4" w14:textId="0F70C7F5">
      <w:pPr>
        <w:keepNext/>
        <w:spacing w:after="120"/>
        <w:rPr>
          <w:rFonts w:eastAsia="Calibri"/>
          <w:b/>
          <w:snapToGrid/>
          <w:color w:val="002060"/>
          <w:kern w:val="0"/>
          <w:sz w:val="24"/>
          <w:szCs w:val="24"/>
          <w:lang w:val="es-CL"/>
        </w:rPr>
      </w:pPr>
      <w:r w:rsidRPr="00736DD1">
        <w:rPr>
          <w:rFonts w:eastAsia="Calibri"/>
          <w:b/>
          <w:snapToGrid/>
          <w:color w:val="002060"/>
          <w:kern w:val="0"/>
          <w:sz w:val="24"/>
          <w:szCs w:val="24"/>
          <w:lang w:val="es-CL"/>
        </w:rPr>
        <w:t>¿Qué exigen las normas</w:t>
      </w:r>
      <w:r w:rsidRPr="00736DD1" w:rsidR="00F6458D">
        <w:rPr>
          <w:rFonts w:eastAsia="Calibri"/>
          <w:b/>
          <w:snapToGrid/>
          <w:color w:val="002060"/>
          <w:kern w:val="0"/>
          <w:sz w:val="24"/>
          <w:szCs w:val="24"/>
          <w:lang w:val="es-CL"/>
        </w:rPr>
        <w:t xml:space="preserve">? </w:t>
      </w:r>
    </w:p>
    <w:p w:rsidR="004613B2" w:rsidRPr="00771B88" w:rsidP="00EB2870" w14:paraId="180356EC" w14:textId="1894603B">
      <w:pPr>
        <w:spacing w:after="240"/>
        <w:rPr>
          <w:sz w:val="24"/>
          <w:lang w:val="es-CL"/>
        </w:rPr>
      </w:pPr>
      <w:r w:rsidRPr="0016444C">
        <w:rPr>
          <w:sz w:val="24"/>
          <w:lang w:val="es-CL"/>
        </w:rPr>
        <w:t>Se advier</w:t>
      </w:r>
      <w:r>
        <w:rPr>
          <w:sz w:val="24"/>
          <w:lang w:val="es-CL"/>
        </w:rPr>
        <w:t>te a l</w:t>
      </w:r>
      <w:r w:rsidRPr="0016444C">
        <w:rPr>
          <w:sz w:val="24"/>
          <w:lang w:val="es-CL"/>
        </w:rPr>
        <w:t xml:space="preserve">os operadores, fabricantes y vendedores de </w:t>
      </w:r>
      <w:r w:rsidRPr="0016444C" w:rsidR="007A7580">
        <w:rPr>
          <w:sz w:val="24"/>
          <w:lang w:val="es-CL"/>
        </w:rPr>
        <w:t>equipos de</w:t>
      </w:r>
      <w:r w:rsidRPr="0016444C">
        <w:rPr>
          <w:sz w:val="24"/>
          <w:lang w:val="es-CL"/>
        </w:rPr>
        <w:t xml:space="preserve"> infraestructura de información nacional sin licencia (</w:t>
      </w:r>
      <w:r w:rsidRPr="0016444C" w:rsidR="00CE5089">
        <w:rPr>
          <w:i/>
          <w:sz w:val="24"/>
          <w:lang w:val="es-CL"/>
        </w:rPr>
        <w:t>Unlicensed</w:t>
      </w:r>
      <w:r w:rsidRPr="0016444C" w:rsidR="00CE5089">
        <w:rPr>
          <w:i/>
          <w:sz w:val="24"/>
          <w:lang w:val="es-CL"/>
        </w:rPr>
        <w:t xml:space="preserve"> </w:t>
      </w:r>
      <w:r w:rsidRPr="0016444C" w:rsidR="00CE5089">
        <w:rPr>
          <w:i/>
          <w:sz w:val="24"/>
          <w:lang w:val="es-CL"/>
        </w:rPr>
        <w:t>National</w:t>
      </w:r>
      <w:r w:rsidRPr="0016444C" w:rsidR="00CE5089">
        <w:rPr>
          <w:i/>
          <w:sz w:val="24"/>
          <w:lang w:val="es-CL"/>
        </w:rPr>
        <w:t xml:space="preserve"> </w:t>
      </w:r>
      <w:r w:rsidRPr="0016444C" w:rsidR="00CE5089">
        <w:rPr>
          <w:i/>
          <w:sz w:val="24"/>
          <w:lang w:val="es-CL"/>
        </w:rPr>
        <w:t>Information</w:t>
      </w:r>
      <w:r w:rsidRPr="0016444C" w:rsidR="00CE5089">
        <w:rPr>
          <w:i/>
          <w:sz w:val="24"/>
          <w:lang w:val="es-CL"/>
        </w:rPr>
        <w:t xml:space="preserve"> </w:t>
      </w:r>
      <w:r w:rsidRPr="0016444C" w:rsidR="00CE5089">
        <w:rPr>
          <w:i/>
          <w:sz w:val="24"/>
          <w:lang w:val="es-CL"/>
        </w:rPr>
        <w:t>Infrastructure</w:t>
      </w:r>
      <w:r w:rsidRPr="0016444C">
        <w:rPr>
          <w:sz w:val="24"/>
          <w:lang w:val="es-CL"/>
        </w:rPr>
        <w:t xml:space="preserve">, </w:t>
      </w:r>
      <w:r w:rsidRPr="0016444C" w:rsidR="00CE5089">
        <w:rPr>
          <w:sz w:val="24"/>
          <w:lang w:val="es-CL"/>
        </w:rPr>
        <w:t>U-NII</w:t>
      </w:r>
      <w:r w:rsidRPr="0016444C">
        <w:rPr>
          <w:sz w:val="24"/>
          <w:lang w:val="es-CL"/>
        </w:rPr>
        <w:t>, en inglés)</w:t>
      </w:r>
      <w:r w:rsidRPr="0016444C" w:rsidR="00CE5089">
        <w:rPr>
          <w:sz w:val="24"/>
          <w:lang w:val="es-CL"/>
        </w:rPr>
        <w:t xml:space="preserve"> </w:t>
      </w:r>
      <w:r w:rsidR="00A43578">
        <w:rPr>
          <w:sz w:val="24"/>
          <w:lang w:val="es-CL"/>
        </w:rPr>
        <w:t>con capacidad de operación</w:t>
      </w:r>
      <w:r w:rsidR="007A7580">
        <w:rPr>
          <w:sz w:val="24"/>
          <w:lang w:val="es-CL"/>
        </w:rPr>
        <w:t xml:space="preserve"> </w:t>
      </w:r>
      <w:r w:rsidRPr="0016444C">
        <w:rPr>
          <w:sz w:val="24"/>
          <w:lang w:val="es-CL"/>
        </w:rPr>
        <w:t>en las bandas de</w:t>
      </w:r>
      <w:r w:rsidRPr="0016444C" w:rsidR="00EA677E">
        <w:rPr>
          <w:sz w:val="24"/>
          <w:lang w:val="es-CL"/>
        </w:rPr>
        <w:t xml:space="preserve"> 5.25 GHz – 5.35 GHz </w:t>
      </w:r>
      <w:r w:rsidRPr="0016444C">
        <w:rPr>
          <w:sz w:val="24"/>
          <w:lang w:val="es-CL"/>
        </w:rPr>
        <w:t xml:space="preserve">y de </w:t>
      </w:r>
      <w:r w:rsidRPr="0016444C" w:rsidR="00EA677E">
        <w:rPr>
          <w:sz w:val="24"/>
          <w:lang w:val="es-CL"/>
        </w:rPr>
        <w:t xml:space="preserve">5.47 GHz – 5.725 GHz </w:t>
      </w:r>
      <w:r w:rsidR="007A7580">
        <w:rPr>
          <w:sz w:val="24"/>
          <w:lang w:val="es-CL"/>
        </w:rPr>
        <w:t>que sólo los equipos certificad</w:t>
      </w:r>
      <w:r w:rsidR="00CE06D9">
        <w:rPr>
          <w:sz w:val="24"/>
          <w:lang w:val="es-CL"/>
        </w:rPr>
        <w:t>os</w:t>
      </w:r>
      <w:r w:rsidR="007A7580">
        <w:rPr>
          <w:sz w:val="24"/>
          <w:lang w:val="es-CL"/>
        </w:rPr>
        <w:t xml:space="preserve"> </w:t>
      </w:r>
      <w:r w:rsidR="007C0DFD">
        <w:rPr>
          <w:sz w:val="24"/>
          <w:lang w:val="es-CL"/>
        </w:rPr>
        <w:t xml:space="preserve">conforme a </w:t>
      </w:r>
      <w:r w:rsidR="007A7580">
        <w:rPr>
          <w:sz w:val="24"/>
          <w:lang w:val="es-CL"/>
        </w:rPr>
        <w:t>las disposiciones “</w:t>
      </w:r>
      <w:r w:rsidRPr="0016444C" w:rsidR="00CE5089">
        <w:rPr>
          <w:sz w:val="24"/>
          <w:lang w:val="es-CL"/>
        </w:rPr>
        <w:t>part</w:t>
      </w:r>
      <w:r w:rsidRPr="0016444C" w:rsidR="00CE5089">
        <w:rPr>
          <w:sz w:val="24"/>
          <w:lang w:val="es-CL"/>
        </w:rPr>
        <w:t xml:space="preserve"> 15, </w:t>
      </w:r>
      <w:r w:rsidRPr="0016444C" w:rsidR="00CE5089">
        <w:rPr>
          <w:sz w:val="24"/>
          <w:lang w:val="es-CL"/>
        </w:rPr>
        <w:t>subpart</w:t>
      </w:r>
      <w:r w:rsidRPr="0016444C" w:rsidR="00CE5089">
        <w:rPr>
          <w:sz w:val="24"/>
          <w:lang w:val="es-CL"/>
        </w:rPr>
        <w:t xml:space="preserve"> E</w:t>
      </w:r>
      <w:r w:rsidR="007A7580">
        <w:rPr>
          <w:sz w:val="24"/>
          <w:lang w:val="es-CL"/>
        </w:rPr>
        <w:t xml:space="preserve">” de las normas de la Comisión pueden operar como equipos </w:t>
      </w:r>
      <w:r w:rsidRPr="0016444C" w:rsidR="00CE5089">
        <w:rPr>
          <w:sz w:val="24"/>
          <w:lang w:val="es-CL"/>
        </w:rPr>
        <w:t>U-NII</w:t>
      </w:r>
      <w:r w:rsidR="007A7580">
        <w:rPr>
          <w:sz w:val="24"/>
          <w:lang w:val="es-CL"/>
        </w:rPr>
        <w:t>.</w:t>
      </w:r>
      <w:r w:rsidRPr="0016444C" w:rsidR="00CE5089">
        <w:rPr>
          <w:sz w:val="24"/>
          <w:lang w:val="es-CL"/>
        </w:rPr>
        <w:t xml:space="preserve">  </w:t>
      </w:r>
      <w:r w:rsidRPr="00771B88" w:rsidR="007A7580">
        <w:rPr>
          <w:sz w:val="24"/>
          <w:lang w:val="es-CL"/>
        </w:rPr>
        <w:t xml:space="preserve">Para </w:t>
      </w:r>
      <w:r w:rsidRPr="00771B88" w:rsidR="00771B88">
        <w:rPr>
          <w:sz w:val="24"/>
          <w:lang w:val="es-CL"/>
        </w:rPr>
        <w:t xml:space="preserve">los equipos </w:t>
      </w:r>
      <w:r w:rsidRPr="00771B88" w:rsidR="00CE5089">
        <w:rPr>
          <w:sz w:val="24"/>
          <w:lang w:val="es-CL"/>
        </w:rPr>
        <w:t xml:space="preserve">U-NII </w:t>
      </w:r>
      <w:r w:rsidRPr="00771B88" w:rsidR="00771B88">
        <w:rPr>
          <w:sz w:val="24"/>
          <w:lang w:val="es-CL"/>
        </w:rPr>
        <w:t>que operan como equipo “</w:t>
      </w:r>
      <w:r w:rsidRPr="00771B88" w:rsidR="00771B88">
        <w:rPr>
          <w:sz w:val="24"/>
          <w:lang w:val="es-CL"/>
        </w:rPr>
        <w:t>master</w:t>
      </w:r>
      <w:r w:rsidRPr="00771B88" w:rsidR="00771B88">
        <w:rPr>
          <w:sz w:val="24"/>
          <w:lang w:val="es-CL"/>
        </w:rPr>
        <w:t>” (por ejempl</w:t>
      </w:r>
      <w:r w:rsidR="00771B88">
        <w:rPr>
          <w:sz w:val="24"/>
          <w:lang w:val="es-CL"/>
        </w:rPr>
        <w:t xml:space="preserve">o, </w:t>
      </w:r>
      <w:r w:rsidRPr="00771B88" w:rsidR="00771B88">
        <w:rPr>
          <w:sz w:val="24"/>
          <w:lang w:val="es-CL"/>
        </w:rPr>
        <w:t xml:space="preserve">controlando la configuración </w:t>
      </w:r>
      <w:r w:rsidR="00771B88">
        <w:rPr>
          <w:sz w:val="24"/>
          <w:lang w:val="es-CL"/>
        </w:rPr>
        <w:t xml:space="preserve">de otros equipos </w:t>
      </w:r>
      <w:r w:rsidRPr="00771B88" w:rsidR="001F66DB">
        <w:rPr>
          <w:sz w:val="24"/>
          <w:lang w:val="es-CL"/>
        </w:rPr>
        <w:t>U-NII</w:t>
      </w:r>
      <w:r w:rsidR="00771B88">
        <w:rPr>
          <w:sz w:val="24"/>
          <w:lang w:val="es-CL"/>
        </w:rPr>
        <w:t>) y operando en la</w:t>
      </w:r>
      <w:r w:rsidR="006C4100">
        <w:rPr>
          <w:sz w:val="24"/>
          <w:lang w:val="es-CL"/>
        </w:rPr>
        <w:t>s</w:t>
      </w:r>
      <w:r w:rsidR="00771B88">
        <w:rPr>
          <w:sz w:val="24"/>
          <w:lang w:val="es-CL"/>
        </w:rPr>
        <w:t xml:space="preserve"> banda</w:t>
      </w:r>
      <w:r w:rsidR="006C4100">
        <w:rPr>
          <w:sz w:val="24"/>
          <w:lang w:val="es-CL"/>
        </w:rPr>
        <w:t>s</w:t>
      </w:r>
      <w:r w:rsidR="00771B88">
        <w:rPr>
          <w:sz w:val="24"/>
          <w:lang w:val="es-CL"/>
        </w:rPr>
        <w:t xml:space="preserve"> de </w:t>
      </w:r>
      <w:r w:rsidRPr="00771B88" w:rsidR="00CE5089">
        <w:rPr>
          <w:sz w:val="24"/>
          <w:lang w:val="es-CL"/>
        </w:rPr>
        <w:t xml:space="preserve">5.25 GHz – 5.35 GHz </w:t>
      </w:r>
      <w:r w:rsidR="00771B88">
        <w:rPr>
          <w:sz w:val="24"/>
          <w:lang w:val="es-CL"/>
        </w:rPr>
        <w:t>y</w:t>
      </w:r>
      <w:r w:rsidRPr="00771B88" w:rsidR="00CE5089">
        <w:rPr>
          <w:sz w:val="24"/>
          <w:lang w:val="es-CL"/>
        </w:rPr>
        <w:t xml:space="preserve"> 5.47 GHz – 5.725 GHz</w:t>
      </w:r>
      <w:r w:rsidR="006C4100">
        <w:rPr>
          <w:sz w:val="24"/>
          <w:lang w:val="es-CL"/>
        </w:rPr>
        <w:t>, se exige la activación de la</w:t>
      </w:r>
      <w:r w:rsidR="00886CBC">
        <w:rPr>
          <w:sz w:val="24"/>
          <w:lang w:val="es-CL"/>
        </w:rPr>
        <w:t xml:space="preserve"> función de </w:t>
      </w:r>
      <w:r w:rsidR="006C4100">
        <w:rPr>
          <w:sz w:val="24"/>
          <w:lang w:val="es-CL"/>
        </w:rPr>
        <w:t>detección de radar</w:t>
      </w:r>
      <w:r w:rsidRPr="00771B88" w:rsidR="00CE5089">
        <w:rPr>
          <w:sz w:val="24"/>
          <w:lang w:val="es-CL"/>
        </w:rPr>
        <w:t xml:space="preserve"> </w:t>
      </w:r>
      <w:r w:rsidRPr="00264834" w:rsidR="00264834">
        <w:rPr>
          <w:i/>
          <w:sz w:val="24"/>
          <w:lang w:val="es-CL"/>
        </w:rPr>
        <w:t>Selección dinámica de frecuencia</w:t>
      </w:r>
      <w:r w:rsidR="00264834">
        <w:rPr>
          <w:sz w:val="24"/>
          <w:lang w:val="es-CL"/>
        </w:rPr>
        <w:t xml:space="preserve"> </w:t>
      </w:r>
      <w:r w:rsidR="006C4100">
        <w:rPr>
          <w:sz w:val="24"/>
          <w:lang w:val="es-CL"/>
        </w:rPr>
        <w:t>(</w:t>
      </w:r>
      <w:r w:rsidRPr="00264834" w:rsidR="00CE5089">
        <w:rPr>
          <w:i/>
          <w:sz w:val="24"/>
          <w:lang w:val="es-CL"/>
        </w:rPr>
        <w:t xml:space="preserve">Dynamic </w:t>
      </w:r>
      <w:r w:rsidRPr="00264834" w:rsidR="00CE5089">
        <w:rPr>
          <w:i/>
          <w:sz w:val="24"/>
          <w:lang w:val="es-CL"/>
        </w:rPr>
        <w:t>Frequency</w:t>
      </w:r>
      <w:r w:rsidRPr="00264834" w:rsidR="00CE5089">
        <w:rPr>
          <w:i/>
          <w:sz w:val="24"/>
          <w:lang w:val="es-CL"/>
        </w:rPr>
        <w:t xml:space="preserve"> </w:t>
      </w:r>
      <w:r w:rsidRPr="00264834" w:rsidR="00CE5089">
        <w:rPr>
          <w:i/>
          <w:sz w:val="24"/>
          <w:lang w:val="es-CL"/>
        </w:rPr>
        <w:t>Selection</w:t>
      </w:r>
      <w:r w:rsidR="00264834">
        <w:rPr>
          <w:sz w:val="24"/>
          <w:lang w:val="es-CL"/>
        </w:rPr>
        <w:t>,</w:t>
      </w:r>
      <w:r w:rsidR="008B05F6">
        <w:rPr>
          <w:sz w:val="24"/>
          <w:lang w:val="es-CL"/>
        </w:rPr>
        <w:t xml:space="preserve"> </w:t>
      </w:r>
      <w:r w:rsidR="00264834">
        <w:rPr>
          <w:sz w:val="24"/>
          <w:lang w:val="es-CL"/>
        </w:rPr>
        <w:t>en inglés</w:t>
      </w:r>
      <w:r w:rsidR="006C4100">
        <w:rPr>
          <w:sz w:val="24"/>
          <w:lang w:val="es-CL"/>
        </w:rPr>
        <w:t>)</w:t>
      </w:r>
      <w:r w:rsidRPr="00771B88" w:rsidR="00CE5089">
        <w:rPr>
          <w:sz w:val="24"/>
          <w:lang w:val="es-CL"/>
        </w:rPr>
        <w:t>.</w:t>
      </w:r>
      <w:r>
        <w:rPr>
          <w:rStyle w:val="FootnoteReference"/>
        </w:rPr>
        <w:footnoteReference w:id="6"/>
      </w:r>
      <w:r w:rsidRPr="00771B88" w:rsidR="00CE5089">
        <w:rPr>
          <w:sz w:val="24"/>
          <w:lang w:val="es-CL"/>
        </w:rPr>
        <w:t xml:space="preserve">  </w:t>
      </w:r>
    </w:p>
    <w:p w:rsidR="004613B2" w:rsidRPr="00DD607B" w:rsidP="00EB2870" w14:paraId="532A6B62" w14:textId="4A8E450A">
      <w:pPr>
        <w:spacing w:after="240"/>
        <w:rPr>
          <w:sz w:val="24"/>
          <w:lang w:val="es-CL"/>
        </w:rPr>
      </w:pPr>
      <w:r w:rsidRPr="002513F3">
        <w:rPr>
          <w:sz w:val="24"/>
          <w:lang w:val="es-CL"/>
        </w:rPr>
        <w:t xml:space="preserve">La </w:t>
      </w:r>
      <w:r w:rsidRPr="002513F3">
        <w:rPr>
          <w:i/>
          <w:sz w:val="24"/>
          <w:lang w:val="es-CL"/>
        </w:rPr>
        <w:t>Selección dinámica de frecuencia</w:t>
      </w:r>
      <w:r w:rsidRPr="002513F3">
        <w:rPr>
          <w:sz w:val="24"/>
          <w:lang w:val="es-CL"/>
        </w:rPr>
        <w:t xml:space="preserve"> es una función que permite </w:t>
      </w:r>
      <w:r>
        <w:rPr>
          <w:sz w:val="24"/>
          <w:lang w:val="es-CL"/>
        </w:rPr>
        <w:t xml:space="preserve">a los equipos </w:t>
      </w:r>
      <w:r w:rsidRPr="002513F3" w:rsidR="00F6458D">
        <w:rPr>
          <w:sz w:val="24"/>
          <w:lang w:val="es-CL"/>
        </w:rPr>
        <w:t xml:space="preserve">U-NII </w:t>
      </w:r>
      <w:r>
        <w:rPr>
          <w:sz w:val="24"/>
          <w:lang w:val="es-CL"/>
        </w:rPr>
        <w:t xml:space="preserve">y a las estaciones de radar gubernamentales compartir el mismo espectro. </w:t>
      </w:r>
      <w:r w:rsidRPr="002513F3">
        <w:rPr>
          <w:sz w:val="24"/>
          <w:lang w:val="es-CL"/>
        </w:rPr>
        <w:t>Cuando un equipo</w:t>
      </w:r>
      <w:r w:rsidRPr="002513F3" w:rsidR="00F6458D">
        <w:rPr>
          <w:sz w:val="24"/>
          <w:lang w:val="es-CL"/>
        </w:rPr>
        <w:t xml:space="preserve"> </w:t>
      </w:r>
      <w:r w:rsidRPr="002513F3" w:rsidR="00056989">
        <w:rPr>
          <w:sz w:val="24"/>
          <w:lang w:val="es-CL"/>
        </w:rPr>
        <w:t xml:space="preserve">U-NII </w:t>
      </w:r>
      <w:r w:rsidRPr="002513F3">
        <w:rPr>
          <w:sz w:val="24"/>
          <w:lang w:val="es-CL"/>
        </w:rPr>
        <w:t>tiene activada la</w:t>
      </w:r>
      <w:r>
        <w:rPr>
          <w:sz w:val="24"/>
          <w:lang w:val="es-CL"/>
        </w:rPr>
        <w:t xml:space="preserve"> función</w:t>
      </w:r>
      <w:r w:rsidR="00DA725A">
        <w:rPr>
          <w:sz w:val="24"/>
          <w:lang w:val="es-CL"/>
        </w:rPr>
        <w:t xml:space="preserve"> de </w:t>
      </w:r>
      <w:r w:rsidRPr="00DA725A" w:rsidR="00DA725A">
        <w:rPr>
          <w:i/>
          <w:iCs/>
          <w:sz w:val="24"/>
          <w:lang w:val="es-CL"/>
        </w:rPr>
        <w:t>Selección dinámica de frecuencia</w:t>
      </w:r>
      <w:r w:rsidRPr="002513F3" w:rsidR="00056989">
        <w:rPr>
          <w:sz w:val="24"/>
          <w:lang w:val="es-CL"/>
        </w:rPr>
        <w:t>,</w:t>
      </w:r>
      <w:r w:rsidRPr="002513F3" w:rsidR="00F6458D">
        <w:rPr>
          <w:sz w:val="24"/>
          <w:lang w:val="es-CL"/>
        </w:rPr>
        <w:t xml:space="preserve"> </w:t>
      </w:r>
      <w:r>
        <w:rPr>
          <w:sz w:val="24"/>
          <w:lang w:val="es-CL"/>
        </w:rPr>
        <w:t>el equipo busca inicialmente espectro disponible para señales de radar.</w:t>
      </w:r>
      <w:r w:rsidRPr="002513F3" w:rsidR="00FE4FDB">
        <w:rPr>
          <w:sz w:val="24"/>
          <w:lang w:val="es-CL"/>
        </w:rPr>
        <w:t xml:space="preserve"> </w:t>
      </w:r>
      <w:r w:rsidRPr="002513F3">
        <w:rPr>
          <w:sz w:val="24"/>
          <w:lang w:val="es-CL"/>
        </w:rPr>
        <w:t>Luego, si el equipo detecta señales de radar, selecciona un nuevo canal</w:t>
      </w:r>
      <w:r>
        <w:rPr>
          <w:sz w:val="24"/>
          <w:lang w:val="es-CL"/>
        </w:rPr>
        <w:t xml:space="preserve"> y/</w:t>
      </w:r>
      <w:r w:rsidR="0040371F">
        <w:rPr>
          <w:sz w:val="24"/>
          <w:lang w:val="es-CL"/>
        </w:rPr>
        <w:t>o</w:t>
      </w:r>
      <w:r w:rsidR="006342F5">
        <w:rPr>
          <w:sz w:val="24"/>
          <w:lang w:val="es-CL"/>
        </w:rPr>
        <w:t xml:space="preserve"> marca</w:t>
      </w:r>
      <w:r w:rsidR="0040371F">
        <w:rPr>
          <w:sz w:val="24"/>
          <w:lang w:val="es-CL"/>
        </w:rPr>
        <w:t xml:space="preserve"> </w:t>
      </w:r>
      <w:r w:rsidR="006342F5">
        <w:rPr>
          <w:sz w:val="24"/>
          <w:lang w:val="es-CL"/>
        </w:rPr>
        <w:t>al canal en uso como no disponible</w:t>
      </w:r>
      <w:r w:rsidRPr="002513F3" w:rsidR="00FE4FDB">
        <w:rPr>
          <w:sz w:val="24"/>
          <w:lang w:val="es-CL"/>
        </w:rPr>
        <w:t>.</w:t>
      </w:r>
      <w:r>
        <w:rPr>
          <w:rStyle w:val="FootnoteReference"/>
        </w:rPr>
        <w:footnoteReference w:id="7"/>
      </w:r>
      <w:r w:rsidRPr="002513F3" w:rsidR="00FE4FDB">
        <w:rPr>
          <w:sz w:val="24"/>
          <w:lang w:val="es-CL"/>
        </w:rPr>
        <w:t xml:space="preserve">  </w:t>
      </w:r>
      <w:r w:rsidRPr="006F5198" w:rsidR="006342F5">
        <w:rPr>
          <w:sz w:val="24"/>
          <w:lang w:val="es-CL"/>
        </w:rPr>
        <w:t xml:space="preserve">Es así como, por ejemplo, </w:t>
      </w:r>
      <w:r w:rsidRPr="006F5198" w:rsidR="006F5198">
        <w:rPr>
          <w:sz w:val="24"/>
          <w:lang w:val="es-CL"/>
        </w:rPr>
        <w:t xml:space="preserve">cuando un equipo </w:t>
      </w:r>
      <w:r w:rsidRPr="006F5198" w:rsidR="00F80DC8">
        <w:rPr>
          <w:sz w:val="24"/>
          <w:lang w:val="es-CL"/>
        </w:rPr>
        <w:t>U-</w:t>
      </w:r>
      <w:r w:rsidRPr="006F5198" w:rsidR="00AA1283">
        <w:rPr>
          <w:sz w:val="24"/>
          <w:lang w:val="es-CL"/>
        </w:rPr>
        <w:t>NII con</w:t>
      </w:r>
      <w:r w:rsidRPr="006F5198" w:rsidR="006F5198">
        <w:rPr>
          <w:sz w:val="24"/>
          <w:lang w:val="es-CL"/>
        </w:rPr>
        <w:t xml:space="preserve"> la función </w:t>
      </w:r>
      <w:r w:rsidR="00FB116B">
        <w:rPr>
          <w:sz w:val="24"/>
          <w:lang w:val="es-CL"/>
        </w:rPr>
        <w:t xml:space="preserve">de </w:t>
      </w:r>
      <w:r w:rsidRPr="00FB116B" w:rsidR="00FB116B">
        <w:rPr>
          <w:i/>
          <w:iCs/>
          <w:sz w:val="24"/>
          <w:lang w:val="es-CL"/>
        </w:rPr>
        <w:t>Selección dinámica de frecuencia</w:t>
      </w:r>
      <w:r w:rsidR="00FB116B">
        <w:rPr>
          <w:sz w:val="24"/>
          <w:lang w:val="es-CL"/>
        </w:rPr>
        <w:t xml:space="preserve"> </w:t>
      </w:r>
      <w:r w:rsidRPr="006F5198" w:rsidR="006F5198">
        <w:rPr>
          <w:sz w:val="24"/>
          <w:lang w:val="es-CL"/>
        </w:rPr>
        <w:t>activada detecta</w:t>
      </w:r>
      <w:r w:rsidR="006F5198">
        <w:rPr>
          <w:sz w:val="24"/>
          <w:lang w:val="es-CL"/>
        </w:rPr>
        <w:t xml:space="preserve"> </w:t>
      </w:r>
      <w:r w:rsidR="00FB116B">
        <w:rPr>
          <w:sz w:val="24"/>
          <w:lang w:val="es-CL"/>
        </w:rPr>
        <w:t xml:space="preserve">a la </w:t>
      </w:r>
      <w:r w:rsidRPr="00DA725A" w:rsidR="006F5198">
        <w:rPr>
          <w:sz w:val="24"/>
          <w:lang w:val="es-CL"/>
        </w:rPr>
        <w:t xml:space="preserve">estación </w:t>
      </w:r>
      <w:r w:rsidRPr="00DA725A" w:rsidR="006C6DBB">
        <w:rPr>
          <w:sz w:val="24"/>
          <w:lang w:val="es-CL"/>
        </w:rPr>
        <w:t xml:space="preserve">de </w:t>
      </w:r>
      <w:r w:rsidRPr="00DA725A" w:rsidR="00090D82">
        <w:rPr>
          <w:sz w:val="24"/>
          <w:lang w:val="es-CL"/>
        </w:rPr>
        <w:t xml:space="preserve">radar meteorológico </w:t>
      </w:r>
      <w:r w:rsidRPr="00DA725A" w:rsidR="00F20E54">
        <w:rPr>
          <w:sz w:val="24"/>
          <w:lang w:val="es-CL"/>
        </w:rPr>
        <w:t>d</w:t>
      </w:r>
      <w:r w:rsidRPr="00DA725A" w:rsidR="00090D82">
        <w:rPr>
          <w:sz w:val="24"/>
          <w:lang w:val="es-CL"/>
        </w:rPr>
        <w:t>oppler</w:t>
      </w:r>
      <w:r w:rsidRPr="00DA725A" w:rsidR="00090D82">
        <w:rPr>
          <w:sz w:val="24"/>
          <w:lang w:val="es-CL"/>
        </w:rPr>
        <w:t xml:space="preserve"> de termina</w:t>
      </w:r>
      <w:r w:rsidRPr="00DA725A" w:rsidR="00F16E2D">
        <w:rPr>
          <w:sz w:val="24"/>
          <w:lang w:val="es-CL"/>
        </w:rPr>
        <w:t>l</w:t>
      </w:r>
      <w:r w:rsidR="00F16E2D">
        <w:rPr>
          <w:sz w:val="24"/>
          <w:lang w:val="es-CL"/>
        </w:rPr>
        <w:t xml:space="preserve"> </w:t>
      </w:r>
      <w:r w:rsidR="00180102">
        <w:rPr>
          <w:sz w:val="24"/>
          <w:lang w:val="es-CL"/>
        </w:rPr>
        <w:t xml:space="preserve">de la FAA, </w:t>
      </w:r>
      <w:r w:rsidR="00F16E2D">
        <w:rPr>
          <w:sz w:val="24"/>
          <w:lang w:val="es-CL"/>
        </w:rPr>
        <w:t>en San Juan, Puerto Rico</w:t>
      </w:r>
      <w:r w:rsidR="00DA725A">
        <w:rPr>
          <w:sz w:val="24"/>
          <w:lang w:val="es-CL"/>
        </w:rPr>
        <w:t>,</w:t>
      </w:r>
      <w:r w:rsidR="00F16E2D">
        <w:rPr>
          <w:sz w:val="24"/>
          <w:lang w:val="es-CL"/>
        </w:rPr>
        <w:t xml:space="preserve"> operando en los</w:t>
      </w:r>
      <w:r w:rsidRPr="006F5198" w:rsidR="00C92BC6">
        <w:rPr>
          <w:sz w:val="24"/>
          <w:lang w:val="es-CL"/>
        </w:rPr>
        <w:t xml:space="preserve"> 5.610 GHz</w:t>
      </w:r>
      <w:r w:rsidRPr="006F5198" w:rsidR="00F80DC8">
        <w:rPr>
          <w:sz w:val="24"/>
          <w:lang w:val="es-CL"/>
        </w:rPr>
        <w:t xml:space="preserve">, </w:t>
      </w:r>
      <w:r w:rsidR="00F16E2D">
        <w:rPr>
          <w:sz w:val="24"/>
          <w:lang w:val="es-CL"/>
        </w:rPr>
        <w:t>el equipo</w:t>
      </w:r>
      <w:r w:rsidRPr="006F5198" w:rsidR="00F80DC8">
        <w:rPr>
          <w:sz w:val="24"/>
          <w:lang w:val="es-CL"/>
        </w:rPr>
        <w:t xml:space="preserve"> U-NII </w:t>
      </w:r>
      <w:r w:rsidR="00F16E2D">
        <w:rPr>
          <w:sz w:val="24"/>
          <w:lang w:val="es-CL"/>
        </w:rPr>
        <w:t xml:space="preserve">no usará los canales que se </w:t>
      </w:r>
      <w:r w:rsidRPr="00351A65" w:rsidR="00F16E2D">
        <w:rPr>
          <w:sz w:val="24"/>
          <w:lang w:val="es-CL"/>
        </w:rPr>
        <w:t>s</w:t>
      </w:r>
      <w:r w:rsidRPr="00351A65" w:rsidR="00AA1283">
        <w:rPr>
          <w:sz w:val="24"/>
          <w:lang w:val="es-CL"/>
        </w:rPr>
        <w:t>uperponen</w:t>
      </w:r>
      <w:r w:rsidR="00F16E2D">
        <w:rPr>
          <w:sz w:val="24"/>
          <w:lang w:val="es-CL"/>
        </w:rPr>
        <w:t xml:space="preserve"> con esa frecuencia. </w:t>
      </w:r>
      <w:r w:rsidRPr="00DD607B" w:rsidR="00A774E2">
        <w:rPr>
          <w:sz w:val="24"/>
          <w:lang w:val="es-CL"/>
        </w:rPr>
        <w:t xml:space="preserve">Sin embargo, en cambio, cuando los operadores adoptan medidas para desactivar la función </w:t>
      </w:r>
      <w:r w:rsidR="00351A65">
        <w:rPr>
          <w:sz w:val="24"/>
          <w:lang w:val="es-CL"/>
        </w:rPr>
        <w:t xml:space="preserve">de </w:t>
      </w:r>
      <w:r w:rsidRPr="00351A65" w:rsidR="00351A65">
        <w:rPr>
          <w:i/>
          <w:iCs/>
          <w:sz w:val="24"/>
          <w:lang w:val="es-CL"/>
        </w:rPr>
        <w:t>Selección dinámica de frecuencia</w:t>
      </w:r>
      <w:r w:rsidR="00351A65">
        <w:rPr>
          <w:sz w:val="24"/>
          <w:lang w:val="es-CL"/>
        </w:rPr>
        <w:t xml:space="preserve"> </w:t>
      </w:r>
      <w:r w:rsidRPr="00DD607B" w:rsidR="00351A65">
        <w:rPr>
          <w:sz w:val="24"/>
          <w:lang w:val="es-CL"/>
        </w:rPr>
        <w:t>(</w:t>
      </w:r>
      <w:r w:rsidRPr="00DD607B" w:rsidR="000C707B">
        <w:rPr>
          <w:sz w:val="24"/>
          <w:lang w:val="es-CL"/>
        </w:rPr>
        <w:t>como,</w:t>
      </w:r>
      <w:r w:rsidRPr="00DD607B" w:rsidR="00A774E2">
        <w:rPr>
          <w:sz w:val="24"/>
          <w:lang w:val="es-CL"/>
        </w:rPr>
        <w:t xml:space="preserve"> por ejemplo, </w:t>
      </w:r>
      <w:r w:rsidRPr="00DD607B" w:rsidR="00DD607B">
        <w:rPr>
          <w:sz w:val="24"/>
          <w:lang w:val="es-CL"/>
        </w:rPr>
        <w:t xml:space="preserve">configurando el equipo para operar con un </w:t>
      </w:r>
      <w:r w:rsidR="00DD607B">
        <w:rPr>
          <w:sz w:val="24"/>
          <w:lang w:val="es-CL"/>
        </w:rPr>
        <w:t>c</w:t>
      </w:r>
      <w:r w:rsidRPr="00DD607B" w:rsidR="00DD607B">
        <w:rPr>
          <w:sz w:val="24"/>
          <w:lang w:val="es-CL"/>
        </w:rPr>
        <w:t xml:space="preserve">ódigo </w:t>
      </w:r>
      <w:r w:rsidR="00DD607B">
        <w:rPr>
          <w:sz w:val="24"/>
          <w:lang w:val="es-CL"/>
        </w:rPr>
        <w:t>país que no corresponde a Estados Unidos</w:t>
      </w:r>
      <w:r w:rsidRPr="00DD607B" w:rsidR="00FE4FDB">
        <w:rPr>
          <w:sz w:val="24"/>
          <w:lang w:val="es-CL"/>
        </w:rPr>
        <w:t>),</w:t>
      </w:r>
      <w:r>
        <w:rPr>
          <w:rStyle w:val="FootnoteReference"/>
        </w:rPr>
        <w:footnoteReference w:id="8"/>
      </w:r>
      <w:r w:rsidRPr="00DD607B" w:rsidR="00FE4FDB">
        <w:rPr>
          <w:sz w:val="24"/>
          <w:lang w:val="es-CL"/>
        </w:rPr>
        <w:t xml:space="preserve"> </w:t>
      </w:r>
      <w:r w:rsidR="00DD607B">
        <w:rPr>
          <w:sz w:val="24"/>
          <w:lang w:val="es-CL"/>
        </w:rPr>
        <w:t>el equipo</w:t>
      </w:r>
      <w:r w:rsidRPr="00DD607B" w:rsidR="00FE4FDB">
        <w:rPr>
          <w:sz w:val="24"/>
          <w:lang w:val="es-CL"/>
        </w:rPr>
        <w:t xml:space="preserve"> U-NII </w:t>
      </w:r>
      <w:r w:rsidR="00DD607B">
        <w:rPr>
          <w:sz w:val="24"/>
          <w:lang w:val="es-CL"/>
        </w:rPr>
        <w:t xml:space="preserve">no efectúa la revisión previa para detectar señales de radar y en consecuencia podría operar causando interferencia a las estaciones de radar de </w:t>
      </w:r>
      <w:r w:rsidR="00D862A7">
        <w:rPr>
          <w:sz w:val="24"/>
          <w:lang w:val="es-CL"/>
        </w:rPr>
        <w:t xml:space="preserve">la </w:t>
      </w:r>
      <w:r w:rsidR="00DD607B">
        <w:rPr>
          <w:sz w:val="24"/>
          <w:lang w:val="es-CL"/>
        </w:rPr>
        <w:t>FAA ubicadas en las cercanías.</w:t>
      </w:r>
      <w:r w:rsidRPr="00DD607B" w:rsidR="00FE4FDB">
        <w:rPr>
          <w:sz w:val="24"/>
          <w:lang w:val="es-CL"/>
        </w:rPr>
        <w:t xml:space="preserve"> </w:t>
      </w:r>
    </w:p>
    <w:p w:rsidR="00EB2870" w:rsidRPr="00431220" w:rsidP="00EB2870" w14:paraId="7D3D2328" w14:textId="0BE92657">
      <w:pPr>
        <w:spacing w:after="240"/>
        <w:rPr>
          <w:sz w:val="24"/>
          <w:lang w:val="es-CL"/>
        </w:rPr>
      </w:pPr>
      <w:r w:rsidRPr="006541F5">
        <w:rPr>
          <w:sz w:val="24"/>
          <w:lang w:val="es-CL"/>
        </w:rPr>
        <w:t xml:space="preserve">Se advierte a los operadores </w:t>
      </w:r>
      <w:r w:rsidRPr="006541F5" w:rsidR="000A204A">
        <w:rPr>
          <w:sz w:val="24"/>
          <w:lang w:val="es-CL"/>
        </w:rPr>
        <w:t xml:space="preserve">que el uso de equipos </w:t>
      </w:r>
      <w:r w:rsidRPr="006541F5" w:rsidR="00CE5089">
        <w:rPr>
          <w:sz w:val="24"/>
          <w:lang w:val="es-CL"/>
        </w:rPr>
        <w:t xml:space="preserve">U-NII </w:t>
      </w:r>
      <w:r w:rsidRPr="006541F5" w:rsidR="000A204A">
        <w:rPr>
          <w:sz w:val="24"/>
          <w:lang w:val="es-CL"/>
        </w:rPr>
        <w:t>no certificados</w:t>
      </w:r>
      <w:r w:rsidR="00ED7DC9">
        <w:rPr>
          <w:sz w:val="24"/>
          <w:lang w:val="es-CL"/>
        </w:rPr>
        <w:t>,</w:t>
      </w:r>
      <w:r w:rsidRPr="006541F5" w:rsidR="000A204A">
        <w:rPr>
          <w:sz w:val="24"/>
          <w:lang w:val="es-CL"/>
        </w:rPr>
        <w:t xml:space="preserve"> </w:t>
      </w:r>
      <w:r w:rsidRPr="006541F5" w:rsidR="006541F5">
        <w:rPr>
          <w:sz w:val="24"/>
          <w:lang w:val="es-CL"/>
        </w:rPr>
        <w:t>o el uso de</w:t>
      </w:r>
      <w:r w:rsidR="006541F5">
        <w:rPr>
          <w:sz w:val="24"/>
          <w:lang w:val="es-CL"/>
        </w:rPr>
        <w:t xml:space="preserve"> un</w:t>
      </w:r>
      <w:r w:rsidRPr="006541F5" w:rsidR="006541F5">
        <w:rPr>
          <w:sz w:val="24"/>
          <w:lang w:val="es-CL"/>
        </w:rPr>
        <w:t xml:space="preserve"> equipo</w:t>
      </w:r>
      <w:r w:rsidR="006541F5">
        <w:rPr>
          <w:sz w:val="24"/>
          <w:lang w:val="es-CL"/>
        </w:rPr>
        <w:t xml:space="preserve"> </w:t>
      </w:r>
      <w:r w:rsidRPr="006541F5" w:rsidR="00CE5089">
        <w:rPr>
          <w:sz w:val="24"/>
          <w:lang w:val="es-CL"/>
        </w:rPr>
        <w:t xml:space="preserve">U-NII </w:t>
      </w:r>
      <w:r w:rsidR="00843062">
        <w:rPr>
          <w:sz w:val="24"/>
          <w:lang w:val="es-CL"/>
        </w:rPr>
        <w:t xml:space="preserve">certificado </w:t>
      </w:r>
      <w:r w:rsidR="006541F5">
        <w:rPr>
          <w:sz w:val="24"/>
          <w:lang w:val="es-CL"/>
        </w:rPr>
        <w:t>de m</w:t>
      </w:r>
      <w:r w:rsidR="006C6DBB">
        <w:rPr>
          <w:sz w:val="24"/>
          <w:lang w:val="es-CL"/>
        </w:rPr>
        <w:t>anera</w:t>
      </w:r>
      <w:r w:rsidR="006541F5">
        <w:rPr>
          <w:sz w:val="24"/>
          <w:lang w:val="es-CL"/>
        </w:rPr>
        <w:t xml:space="preserve"> no consistente con la certificación de dicho equipo, transgrede las disposiciones</w:t>
      </w:r>
      <w:r w:rsidRPr="006541F5" w:rsidR="00CE5089">
        <w:rPr>
          <w:sz w:val="24"/>
          <w:lang w:val="es-CL"/>
        </w:rPr>
        <w:t xml:space="preserve"> </w:t>
      </w:r>
      <w:r w:rsidR="006541F5">
        <w:rPr>
          <w:sz w:val="24"/>
          <w:lang w:val="es-CL"/>
        </w:rPr>
        <w:t>“</w:t>
      </w:r>
      <w:r w:rsidRPr="006541F5" w:rsidR="00CE5089">
        <w:rPr>
          <w:sz w:val="24"/>
          <w:lang w:val="es-CL"/>
        </w:rPr>
        <w:t>part</w:t>
      </w:r>
      <w:r w:rsidRPr="006541F5" w:rsidR="00CE5089">
        <w:rPr>
          <w:sz w:val="24"/>
          <w:lang w:val="es-CL"/>
        </w:rPr>
        <w:t xml:space="preserve"> 15</w:t>
      </w:r>
      <w:r w:rsidR="006541F5">
        <w:rPr>
          <w:sz w:val="24"/>
          <w:lang w:val="es-CL"/>
        </w:rPr>
        <w:t>” de la Comisión y podría</w:t>
      </w:r>
      <w:r w:rsidR="00FB116B">
        <w:rPr>
          <w:sz w:val="24"/>
          <w:lang w:val="es-CL"/>
        </w:rPr>
        <w:t xml:space="preserve"> generar</w:t>
      </w:r>
      <w:r w:rsidR="006541F5">
        <w:rPr>
          <w:sz w:val="24"/>
          <w:lang w:val="es-CL"/>
        </w:rPr>
        <w:t xml:space="preserve"> interferencia en </w:t>
      </w:r>
      <w:r w:rsidR="004235D0">
        <w:rPr>
          <w:sz w:val="24"/>
          <w:lang w:val="es-CL"/>
        </w:rPr>
        <w:t xml:space="preserve">los </w:t>
      </w:r>
      <w:r w:rsidR="006541F5">
        <w:rPr>
          <w:sz w:val="24"/>
          <w:lang w:val="es-CL"/>
        </w:rPr>
        <w:t>servicios de comunicaciones de radio</w:t>
      </w:r>
      <w:r w:rsidR="004235D0">
        <w:rPr>
          <w:sz w:val="24"/>
          <w:lang w:val="es-CL"/>
        </w:rPr>
        <w:t xml:space="preserve"> que son </w:t>
      </w:r>
      <w:r w:rsidR="006541F5">
        <w:rPr>
          <w:sz w:val="24"/>
          <w:lang w:val="es-CL"/>
        </w:rPr>
        <w:t xml:space="preserve">fundamentales para la seguridad pública. </w:t>
      </w:r>
      <w:r w:rsidRPr="00431220" w:rsidR="006541F5">
        <w:rPr>
          <w:sz w:val="24"/>
          <w:lang w:val="es-CL"/>
        </w:rPr>
        <w:t xml:space="preserve">Se prohíbe a los operadores modificar las capacidades de radiofrecuencia de un equipo para </w:t>
      </w:r>
      <w:r w:rsidRPr="00431220" w:rsidR="00F6458D">
        <w:rPr>
          <w:sz w:val="24"/>
          <w:lang w:val="es-CL"/>
        </w:rPr>
        <w:t xml:space="preserve">(i) </w:t>
      </w:r>
      <w:r w:rsidR="008F2E71">
        <w:rPr>
          <w:sz w:val="24"/>
          <w:lang w:val="es-CL"/>
        </w:rPr>
        <w:t>evadir</w:t>
      </w:r>
      <w:r w:rsidR="00431220">
        <w:rPr>
          <w:sz w:val="24"/>
          <w:lang w:val="es-CL"/>
        </w:rPr>
        <w:t xml:space="preserve"> o desactivar la función</w:t>
      </w:r>
      <w:r w:rsidR="006D459F">
        <w:rPr>
          <w:sz w:val="24"/>
          <w:lang w:val="es-CL"/>
        </w:rPr>
        <w:t xml:space="preserve"> de </w:t>
      </w:r>
      <w:r w:rsidRPr="006D459F" w:rsidR="006D459F">
        <w:rPr>
          <w:i/>
          <w:iCs/>
          <w:sz w:val="24"/>
          <w:lang w:val="es-CL"/>
        </w:rPr>
        <w:t>Selección dinámica de frecuencia</w:t>
      </w:r>
      <w:r w:rsidRPr="00431220" w:rsidR="00F6458D">
        <w:rPr>
          <w:sz w:val="24"/>
          <w:lang w:val="es-CL"/>
        </w:rPr>
        <w:t xml:space="preserve"> </w:t>
      </w:r>
      <w:r w:rsidR="00431220">
        <w:rPr>
          <w:sz w:val="24"/>
          <w:lang w:val="es-CL"/>
        </w:rPr>
        <w:t>(</w:t>
      </w:r>
      <w:r w:rsidRPr="006D459F" w:rsidR="00F6458D">
        <w:rPr>
          <w:i/>
          <w:iCs/>
          <w:sz w:val="24"/>
          <w:lang w:val="es-CL"/>
        </w:rPr>
        <w:t xml:space="preserve">Dynamic </w:t>
      </w:r>
      <w:r w:rsidRPr="006D459F" w:rsidR="00F6458D">
        <w:rPr>
          <w:i/>
          <w:iCs/>
          <w:sz w:val="24"/>
          <w:lang w:val="es-CL"/>
        </w:rPr>
        <w:t>Frequency</w:t>
      </w:r>
      <w:r w:rsidRPr="006D459F" w:rsidR="00F6458D">
        <w:rPr>
          <w:i/>
          <w:iCs/>
          <w:sz w:val="24"/>
          <w:lang w:val="es-CL"/>
        </w:rPr>
        <w:t xml:space="preserve"> </w:t>
      </w:r>
      <w:r w:rsidRPr="006D459F" w:rsidR="00F6458D">
        <w:rPr>
          <w:i/>
          <w:iCs/>
          <w:sz w:val="24"/>
          <w:lang w:val="es-CL"/>
        </w:rPr>
        <w:t>Selection</w:t>
      </w:r>
      <w:r w:rsidR="00431220">
        <w:rPr>
          <w:sz w:val="24"/>
          <w:lang w:val="es-CL"/>
        </w:rPr>
        <w:t>)</w:t>
      </w:r>
      <w:r w:rsidRPr="00431220" w:rsidR="00F6458D">
        <w:rPr>
          <w:sz w:val="24"/>
          <w:lang w:val="es-CL"/>
        </w:rPr>
        <w:t xml:space="preserve">, </w:t>
      </w:r>
      <w:r w:rsidRPr="00431220" w:rsidR="0042228E">
        <w:rPr>
          <w:sz w:val="24"/>
          <w:lang w:val="es-CL"/>
        </w:rPr>
        <w:t>o</w:t>
      </w:r>
      <w:r w:rsidR="00431220">
        <w:rPr>
          <w:sz w:val="24"/>
          <w:lang w:val="es-CL"/>
        </w:rPr>
        <w:t xml:space="preserve"> </w:t>
      </w:r>
      <w:r w:rsidRPr="00431220" w:rsidR="00F6458D">
        <w:rPr>
          <w:sz w:val="24"/>
          <w:lang w:val="es-CL"/>
        </w:rPr>
        <w:t>(</w:t>
      </w:r>
      <w:r w:rsidRPr="00431220" w:rsidR="00F6458D">
        <w:rPr>
          <w:sz w:val="24"/>
          <w:lang w:val="es-CL"/>
        </w:rPr>
        <w:t>ii</w:t>
      </w:r>
      <w:r w:rsidRPr="00431220" w:rsidR="00F6458D">
        <w:rPr>
          <w:sz w:val="24"/>
          <w:lang w:val="es-CL"/>
        </w:rPr>
        <w:t xml:space="preserve">) </w:t>
      </w:r>
      <w:r w:rsidR="00431220">
        <w:rPr>
          <w:sz w:val="24"/>
          <w:lang w:val="es-CL"/>
        </w:rPr>
        <w:t>activar el equipo para que opere de manera no consistente con los parámetros de radiofrecuencia incluidos en su certificación.</w:t>
      </w:r>
      <w:r w:rsidRPr="00431220" w:rsidR="00070E6B">
        <w:rPr>
          <w:sz w:val="24"/>
          <w:lang w:val="es-CL"/>
        </w:rPr>
        <w:t xml:space="preserve"> </w:t>
      </w:r>
    </w:p>
    <w:p w:rsidR="00C92BC6" w:rsidRPr="00301E93" w:rsidP="007E5C83" w14:paraId="2D7AC3E5" w14:textId="78E84398">
      <w:pPr>
        <w:widowControl/>
        <w:spacing w:after="240"/>
        <w:rPr>
          <w:sz w:val="24"/>
          <w:lang w:val="es-CL"/>
        </w:rPr>
      </w:pPr>
      <w:r w:rsidRPr="003F209C">
        <w:rPr>
          <w:sz w:val="24"/>
          <w:lang w:val="es-CL"/>
        </w:rPr>
        <w:t xml:space="preserve">También se </w:t>
      </w:r>
      <w:r w:rsidRPr="003F209C" w:rsidR="007F0F9B">
        <w:rPr>
          <w:sz w:val="24"/>
          <w:lang w:val="es-CL"/>
        </w:rPr>
        <w:t>advierte</w:t>
      </w:r>
      <w:r w:rsidRPr="003F209C">
        <w:rPr>
          <w:sz w:val="24"/>
          <w:lang w:val="es-CL"/>
        </w:rPr>
        <w:t xml:space="preserve"> a los operadores </w:t>
      </w:r>
      <w:r w:rsidRPr="003F209C" w:rsidR="003F209C">
        <w:rPr>
          <w:sz w:val="24"/>
          <w:lang w:val="es-CL"/>
        </w:rPr>
        <w:t xml:space="preserve">que la ley federal prohíbe la interferencia </w:t>
      </w:r>
      <w:r w:rsidR="007F0F9B">
        <w:rPr>
          <w:sz w:val="24"/>
          <w:lang w:val="es-CL"/>
        </w:rPr>
        <w:t>premeditada o maliciosa a las comunicaciones de radio autorizadas</w:t>
      </w:r>
      <w:r w:rsidRPr="008D2BA5" w:rsidR="00E34F30">
        <w:rPr>
          <w:sz w:val="24"/>
          <w:lang w:val="es-CL"/>
        </w:rPr>
        <w:t>.</w:t>
      </w:r>
      <w:r>
        <w:rPr>
          <w:rStyle w:val="FootnoteReference"/>
        </w:rPr>
        <w:footnoteReference w:id="9"/>
      </w:r>
      <w:r w:rsidRPr="008D2BA5" w:rsidR="00E34F30">
        <w:rPr>
          <w:sz w:val="24"/>
          <w:lang w:val="es-CL"/>
        </w:rPr>
        <w:t xml:space="preserve">  </w:t>
      </w:r>
      <w:r w:rsidR="00D9364E">
        <w:rPr>
          <w:sz w:val="24"/>
          <w:lang w:val="es-CL"/>
        </w:rPr>
        <w:t xml:space="preserve">Ninguna </w:t>
      </w:r>
      <w:r w:rsidRPr="00301E93" w:rsidR="00301E93">
        <w:rPr>
          <w:sz w:val="24"/>
          <w:lang w:val="es-CL"/>
        </w:rPr>
        <w:t>operación de equipo</w:t>
      </w:r>
      <w:r w:rsidR="00E07A42">
        <w:rPr>
          <w:sz w:val="24"/>
          <w:lang w:val="es-CL"/>
        </w:rPr>
        <w:t>s</w:t>
      </w:r>
      <w:r w:rsidRPr="00301E93" w:rsidR="00CE5089">
        <w:rPr>
          <w:sz w:val="24"/>
          <w:lang w:val="es-CL"/>
        </w:rPr>
        <w:t xml:space="preserve"> U-NII </w:t>
      </w:r>
      <w:r w:rsidRPr="00301E93" w:rsidR="00301E93">
        <w:rPr>
          <w:sz w:val="24"/>
          <w:lang w:val="es-CL"/>
        </w:rPr>
        <w:t>debe causar int</w:t>
      </w:r>
      <w:r w:rsidR="00301E93">
        <w:rPr>
          <w:sz w:val="24"/>
          <w:lang w:val="es-CL"/>
        </w:rPr>
        <w:t>er</w:t>
      </w:r>
      <w:r w:rsidRPr="00301E93" w:rsidR="00301E93">
        <w:rPr>
          <w:sz w:val="24"/>
          <w:lang w:val="es-CL"/>
        </w:rPr>
        <w:t xml:space="preserve">ferencia </w:t>
      </w:r>
      <w:r w:rsidR="00903C47">
        <w:rPr>
          <w:sz w:val="24"/>
          <w:lang w:val="es-CL"/>
        </w:rPr>
        <w:t>perjudicial</w:t>
      </w:r>
      <w:r w:rsidRPr="00301E93" w:rsidR="00301E93">
        <w:rPr>
          <w:sz w:val="24"/>
          <w:lang w:val="es-CL"/>
        </w:rPr>
        <w:t xml:space="preserve"> a las comunicaciones de radio autorizadas y si ocurre interferencia </w:t>
      </w:r>
      <w:r w:rsidR="00B91687">
        <w:rPr>
          <w:sz w:val="24"/>
          <w:lang w:val="es-CL"/>
        </w:rPr>
        <w:t xml:space="preserve">perjudicial </w:t>
      </w:r>
      <w:r w:rsidRPr="00301E93" w:rsidR="001F66DB">
        <w:rPr>
          <w:sz w:val="24"/>
          <w:lang w:val="es-CL"/>
        </w:rPr>
        <w:t>—</w:t>
      </w:r>
      <w:r w:rsidRPr="00301E93" w:rsidR="00301E93">
        <w:rPr>
          <w:sz w:val="24"/>
          <w:lang w:val="es-CL"/>
        </w:rPr>
        <w:t>aunque el</w:t>
      </w:r>
      <w:r w:rsidR="00301E93">
        <w:rPr>
          <w:sz w:val="24"/>
          <w:lang w:val="es-CL"/>
        </w:rPr>
        <w:t xml:space="preserve"> equipo en uso haya sido certificado y configurado</w:t>
      </w:r>
      <w:r w:rsidR="00B91687">
        <w:rPr>
          <w:sz w:val="24"/>
          <w:lang w:val="es-CL"/>
        </w:rPr>
        <w:t xml:space="preserve"> apropiadamente</w:t>
      </w:r>
      <w:r w:rsidRPr="00301E93" w:rsidR="001F66DB">
        <w:rPr>
          <w:sz w:val="24"/>
          <w:lang w:val="es-CL"/>
        </w:rPr>
        <w:t>—</w:t>
      </w:r>
      <w:r w:rsidR="00301E93">
        <w:rPr>
          <w:sz w:val="24"/>
          <w:lang w:val="es-CL"/>
        </w:rPr>
        <w:t xml:space="preserve"> la operación del equipo</w:t>
      </w:r>
      <w:r w:rsidRPr="00301E93" w:rsidR="00CE5089">
        <w:rPr>
          <w:sz w:val="24"/>
          <w:lang w:val="es-CL"/>
        </w:rPr>
        <w:t xml:space="preserve"> </w:t>
      </w:r>
      <w:r w:rsidRPr="00301E93" w:rsidR="00E34F30">
        <w:rPr>
          <w:sz w:val="24"/>
          <w:lang w:val="es-CL"/>
        </w:rPr>
        <w:t xml:space="preserve">U-NII </w:t>
      </w:r>
      <w:r w:rsidR="00301E93">
        <w:rPr>
          <w:sz w:val="24"/>
          <w:lang w:val="es-CL"/>
        </w:rPr>
        <w:t>debe cesar inmediatamente y no puede reanudarse hasta que la condición que causó la interferencia sea corregida</w:t>
      </w:r>
      <w:r w:rsidRPr="00301E93" w:rsidR="00CE5089">
        <w:rPr>
          <w:sz w:val="24"/>
          <w:lang w:val="es-CL"/>
        </w:rPr>
        <w:t>.</w:t>
      </w:r>
      <w:r>
        <w:rPr>
          <w:rStyle w:val="FootnoteReference"/>
        </w:rPr>
        <w:footnoteReference w:id="10"/>
      </w:r>
      <w:r w:rsidRPr="00301E93" w:rsidR="00CE5089">
        <w:rPr>
          <w:sz w:val="24"/>
          <w:lang w:val="es-CL"/>
        </w:rPr>
        <w:t xml:space="preserve">  </w:t>
      </w:r>
    </w:p>
    <w:p w:rsidR="00CE5089" w:rsidRPr="002F7B35" w:rsidP="007E5C83" w14:paraId="59BA0686" w14:textId="2225CB72">
      <w:pPr>
        <w:widowControl/>
        <w:spacing w:after="240"/>
        <w:rPr>
          <w:sz w:val="24"/>
          <w:lang w:val="es-CL"/>
        </w:rPr>
      </w:pPr>
      <w:r w:rsidRPr="002F7B35">
        <w:rPr>
          <w:sz w:val="24"/>
          <w:lang w:val="es-CL"/>
        </w:rPr>
        <w:t xml:space="preserve">También se les recuerda a los fabricantes de equipos </w:t>
      </w:r>
      <w:r w:rsidRPr="002F7B35" w:rsidR="00F6458D">
        <w:rPr>
          <w:sz w:val="24"/>
          <w:lang w:val="es-CL"/>
        </w:rPr>
        <w:t xml:space="preserve">U-NII </w:t>
      </w:r>
      <w:r w:rsidRPr="002F7B35">
        <w:rPr>
          <w:sz w:val="24"/>
          <w:lang w:val="es-CL"/>
        </w:rPr>
        <w:t xml:space="preserve">para las bandas de </w:t>
      </w:r>
      <w:r w:rsidRPr="002F7B35" w:rsidR="00F6458D">
        <w:rPr>
          <w:sz w:val="24"/>
          <w:lang w:val="es-CL"/>
        </w:rPr>
        <w:t xml:space="preserve">5 GHz </w:t>
      </w:r>
      <w:r w:rsidRPr="002F7B35">
        <w:rPr>
          <w:sz w:val="24"/>
          <w:lang w:val="es-CL"/>
        </w:rPr>
        <w:t xml:space="preserve">que </w:t>
      </w:r>
      <w:r w:rsidR="00374317">
        <w:rPr>
          <w:sz w:val="24"/>
          <w:lang w:val="es-CL"/>
        </w:rPr>
        <w:t xml:space="preserve">ellos </w:t>
      </w:r>
      <w:r w:rsidRPr="002F7B35">
        <w:rPr>
          <w:sz w:val="24"/>
          <w:lang w:val="es-CL"/>
        </w:rPr>
        <w:t xml:space="preserve">tienen la obligación de implementar medidas </w:t>
      </w:r>
      <w:r w:rsidR="00D830DC">
        <w:rPr>
          <w:sz w:val="24"/>
          <w:lang w:val="es-CL"/>
        </w:rPr>
        <w:t xml:space="preserve">de resguardo </w:t>
      </w:r>
      <w:r w:rsidR="00F0741B">
        <w:rPr>
          <w:sz w:val="24"/>
          <w:lang w:val="es-CL"/>
        </w:rPr>
        <w:t>radial</w:t>
      </w:r>
      <w:r w:rsidR="00D830DC">
        <w:rPr>
          <w:sz w:val="24"/>
          <w:lang w:val="es-CL"/>
        </w:rPr>
        <w:t xml:space="preserve"> co</w:t>
      </w:r>
      <w:r w:rsidR="00ED7DC9">
        <w:rPr>
          <w:sz w:val="24"/>
          <w:lang w:val="es-CL"/>
        </w:rPr>
        <w:t>mo protección ante</w:t>
      </w:r>
      <w:r w:rsidRPr="002F7B35">
        <w:rPr>
          <w:sz w:val="24"/>
          <w:lang w:val="es-CL"/>
        </w:rPr>
        <w:t xml:space="preserve"> modificaciones de </w:t>
      </w:r>
      <w:r>
        <w:rPr>
          <w:sz w:val="24"/>
          <w:lang w:val="es-CL"/>
        </w:rPr>
        <w:t>software</w:t>
      </w:r>
      <w:r w:rsidR="004B0A0A">
        <w:rPr>
          <w:sz w:val="24"/>
          <w:lang w:val="es-CL"/>
        </w:rPr>
        <w:t xml:space="preserve"> </w:t>
      </w:r>
      <w:r w:rsidRPr="004B0A0A" w:rsidR="004B0A0A">
        <w:rPr>
          <w:sz w:val="24"/>
          <w:lang w:val="es-CL"/>
        </w:rPr>
        <w:t xml:space="preserve">efectuadas por terceras partes </w:t>
      </w:r>
      <w:r w:rsidR="004B0A0A">
        <w:rPr>
          <w:sz w:val="24"/>
          <w:lang w:val="es-CL"/>
        </w:rPr>
        <w:t>a los parámetros de radiofrecuencia</w:t>
      </w:r>
      <w:r w:rsidR="00AB74C6">
        <w:rPr>
          <w:sz w:val="24"/>
          <w:lang w:val="es-CL"/>
        </w:rPr>
        <w:t xml:space="preserve"> y </w:t>
      </w:r>
      <w:r w:rsidR="004B0A0A">
        <w:rPr>
          <w:sz w:val="24"/>
          <w:lang w:val="es-CL"/>
        </w:rPr>
        <w:t xml:space="preserve">que </w:t>
      </w:r>
      <w:r w:rsidR="00372125">
        <w:rPr>
          <w:sz w:val="24"/>
          <w:lang w:val="es-CL"/>
        </w:rPr>
        <w:t xml:space="preserve">puedan </w:t>
      </w:r>
      <w:r w:rsidR="00965EA0">
        <w:rPr>
          <w:sz w:val="24"/>
          <w:lang w:val="es-CL"/>
        </w:rPr>
        <w:t>resultar en</w:t>
      </w:r>
      <w:r w:rsidR="004B0A0A">
        <w:rPr>
          <w:sz w:val="24"/>
          <w:lang w:val="es-CL"/>
        </w:rPr>
        <w:t xml:space="preserve"> la operación del equipo de manera inconsistente con la autorización </w:t>
      </w:r>
      <w:r w:rsidR="00471042">
        <w:rPr>
          <w:sz w:val="24"/>
          <w:lang w:val="es-CL"/>
        </w:rPr>
        <w:t xml:space="preserve">para </w:t>
      </w:r>
      <w:r w:rsidR="002A6598">
        <w:rPr>
          <w:sz w:val="24"/>
          <w:lang w:val="es-CL"/>
        </w:rPr>
        <w:t>la operación</w:t>
      </w:r>
      <w:r w:rsidR="004B0A0A">
        <w:rPr>
          <w:sz w:val="24"/>
          <w:lang w:val="es-CL"/>
        </w:rPr>
        <w:t xml:space="preserve"> </w:t>
      </w:r>
      <w:r w:rsidR="004B0A0A">
        <w:rPr>
          <w:sz w:val="24"/>
          <w:lang w:val="es-CL"/>
        </w:rPr>
        <w:t>del mismo</w:t>
      </w:r>
      <w:r w:rsidR="004B0A0A">
        <w:rPr>
          <w:sz w:val="24"/>
          <w:lang w:val="es-CL"/>
        </w:rPr>
        <w:t xml:space="preserve"> o con las disposiciones de la Comisión</w:t>
      </w:r>
      <w:r w:rsidRPr="002F7B35" w:rsidR="00F6458D">
        <w:rPr>
          <w:sz w:val="24"/>
          <w:lang w:val="es-CL"/>
        </w:rPr>
        <w:t>.</w:t>
      </w:r>
      <w:bookmarkStart w:id="2" w:name="_Ref15552034"/>
      <w:r>
        <w:rPr>
          <w:rStyle w:val="FootnoteReference"/>
        </w:rPr>
        <w:footnoteReference w:id="11"/>
      </w:r>
      <w:bookmarkEnd w:id="2"/>
    </w:p>
    <w:p w:rsidR="00CE5089" w:rsidRPr="00ED59BD" w:rsidP="009B2A7A" w14:paraId="509936D1" w14:textId="562F4940">
      <w:pPr>
        <w:keepNext/>
        <w:spacing w:after="120"/>
        <w:rPr>
          <w:rFonts w:eastAsia="Calibri"/>
          <w:b/>
          <w:snapToGrid/>
          <w:color w:val="002060"/>
          <w:kern w:val="0"/>
          <w:sz w:val="24"/>
          <w:szCs w:val="24"/>
          <w:lang w:val="es-CL"/>
        </w:rPr>
      </w:pPr>
      <w:r w:rsidRPr="00ED59BD">
        <w:rPr>
          <w:rFonts w:eastAsia="Calibri"/>
          <w:b/>
          <w:snapToGrid/>
          <w:color w:val="002060"/>
          <w:kern w:val="0"/>
          <w:sz w:val="24"/>
          <w:szCs w:val="24"/>
          <w:lang w:val="es-CL"/>
        </w:rPr>
        <w:t>¿Qué deberían hacer los oper</w:t>
      </w:r>
      <w:r>
        <w:rPr>
          <w:rFonts w:eastAsia="Calibri"/>
          <w:b/>
          <w:snapToGrid/>
          <w:color w:val="002060"/>
          <w:kern w:val="0"/>
          <w:sz w:val="24"/>
          <w:szCs w:val="24"/>
          <w:lang w:val="es-CL"/>
        </w:rPr>
        <w:t xml:space="preserve">adores de </w:t>
      </w:r>
      <w:r w:rsidRPr="00ED59BD" w:rsidR="00F6458D">
        <w:rPr>
          <w:rFonts w:eastAsia="Calibri"/>
          <w:b/>
          <w:snapToGrid/>
          <w:color w:val="002060"/>
          <w:kern w:val="0"/>
          <w:sz w:val="24"/>
          <w:szCs w:val="24"/>
          <w:lang w:val="es-CL"/>
        </w:rPr>
        <w:t xml:space="preserve">U-NII </w:t>
      </w:r>
      <w:r>
        <w:rPr>
          <w:rFonts w:eastAsia="Calibri"/>
          <w:b/>
          <w:snapToGrid/>
          <w:color w:val="002060"/>
          <w:kern w:val="0"/>
          <w:sz w:val="24"/>
          <w:szCs w:val="24"/>
          <w:lang w:val="es-CL"/>
        </w:rPr>
        <w:t>para cumplir con las normas</w:t>
      </w:r>
      <w:r w:rsidRPr="00ED59BD" w:rsidR="00F6458D">
        <w:rPr>
          <w:rFonts w:eastAsia="Calibri"/>
          <w:b/>
          <w:snapToGrid/>
          <w:color w:val="002060"/>
          <w:kern w:val="0"/>
          <w:sz w:val="24"/>
          <w:szCs w:val="24"/>
          <w:lang w:val="es-CL"/>
        </w:rPr>
        <w:t>?</w:t>
      </w:r>
    </w:p>
    <w:p w:rsidR="00EB2870" w:rsidRPr="004F0FF3" w:rsidP="00F9186B" w14:paraId="20D8DE99" w14:textId="479DEC9D">
      <w:pPr>
        <w:widowControl/>
        <w:spacing w:after="240"/>
        <w:rPr>
          <w:sz w:val="24"/>
          <w:lang w:val="es-CL"/>
        </w:rPr>
      </w:pPr>
      <w:r w:rsidRPr="004F0FF3">
        <w:rPr>
          <w:sz w:val="24"/>
          <w:lang w:val="es-CL"/>
        </w:rPr>
        <w:t>Los operadores de</w:t>
      </w:r>
      <w:r w:rsidRPr="004F0FF3" w:rsidR="00F6458D">
        <w:rPr>
          <w:sz w:val="24"/>
          <w:lang w:val="es-CL"/>
        </w:rPr>
        <w:t xml:space="preserve"> </w:t>
      </w:r>
      <w:r w:rsidRPr="004F0FF3" w:rsidR="004F0FF3">
        <w:rPr>
          <w:sz w:val="24"/>
          <w:lang w:val="es-CL"/>
        </w:rPr>
        <w:t xml:space="preserve">equipos </w:t>
      </w:r>
      <w:r w:rsidRPr="004F0FF3" w:rsidR="00CE5089">
        <w:rPr>
          <w:sz w:val="24"/>
          <w:lang w:val="es-CL"/>
        </w:rPr>
        <w:t xml:space="preserve">U-NII </w:t>
      </w:r>
      <w:r w:rsidRPr="004F0FF3" w:rsidR="004F0FF3">
        <w:rPr>
          <w:sz w:val="24"/>
          <w:lang w:val="es-CL"/>
        </w:rPr>
        <w:t xml:space="preserve">deben asegurarse de que los </w:t>
      </w:r>
      <w:r w:rsidR="004F0FF3">
        <w:rPr>
          <w:sz w:val="24"/>
          <w:lang w:val="es-CL"/>
        </w:rPr>
        <w:t xml:space="preserve">equipos certificados sean instalados, configurados y operados </w:t>
      </w:r>
      <w:r w:rsidR="00A16176">
        <w:rPr>
          <w:sz w:val="24"/>
          <w:lang w:val="es-CL"/>
        </w:rPr>
        <w:t>conforme a</w:t>
      </w:r>
      <w:r w:rsidR="004F0FF3">
        <w:rPr>
          <w:sz w:val="24"/>
          <w:lang w:val="es-CL"/>
        </w:rPr>
        <w:t xml:space="preserve"> las disposiciones de la Comisión.</w:t>
      </w:r>
      <w:r w:rsidRPr="004F0FF3" w:rsidR="00070E6B">
        <w:rPr>
          <w:sz w:val="24"/>
          <w:lang w:val="es-CL"/>
        </w:rPr>
        <w:t xml:space="preserve">  </w:t>
      </w:r>
      <w:r w:rsidRPr="004F0FF3" w:rsidR="004F0FF3">
        <w:rPr>
          <w:sz w:val="24"/>
          <w:lang w:val="es-CL"/>
        </w:rPr>
        <w:t xml:space="preserve">La operación apropiada de los equipos </w:t>
      </w:r>
      <w:r w:rsidRPr="004F0FF3" w:rsidR="00070E6B">
        <w:rPr>
          <w:sz w:val="24"/>
          <w:lang w:val="es-CL"/>
        </w:rPr>
        <w:t xml:space="preserve">U-NII </w:t>
      </w:r>
      <w:r w:rsidRPr="004F0FF3" w:rsidR="004F0FF3">
        <w:rPr>
          <w:sz w:val="24"/>
          <w:lang w:val="es-CL"/>
        </w:rPr>
        <w:t xml:space="preserve">es particularmente importante cuando éstos están </w:t>
      </w:r>
      <w:r w:rsidR="004F0FF3">
        <w:rPr>
          <w:sz w:val="24"/>
          <w:lang w:val="es-CL"/>
        </w:rPr>
        <w:t>sit</w:t>
      </w:r>
      <w:r w:rsidR="003E7721">
        <w:rPr>
          <w:sz w:val="24"/>
          <w:lang w:val="es-CL"/>
        </w:rPr>
        <w:t>u</w:t>
      </w:r>
      <w:r w:rsidR="004F0FF3">
        <w:rPr>
          <w:sz w:val="24"/>
          <w:lang w:val="es-CL"/>
        </w:rPr>
        <w:t>ados cerca de</w:t>
      </w:r>
      <w:r w:rsidRPr="004F0FF3" w:rsidR="004830BA">
        <w:rPr>
          <w:sz w:val="24"/>
          <w:lang w:val="es-CL"/>
        </w:rPr>
        <w:t xml:space="preserve"> </w:t>
      </w:r>
      <w:r w:rsidRPr="00C2264E" w:rsidR="00967640">
        <w:rPr>
          <w:sz w:val="24"/>
          <w:lang w:val="es-CL"/>
        </w:rPr>
        <w:t xml:space="preserve">estaciones de radar meteorológico </w:t>
      </w:r>
      <w:r w:rsidRPr="00C2264E" w:rsidR="00494C9D">
        <w:rPr>
          <w:sz w:val="24"/>
          <w:lang w:val="es-CL"/>
        </w:rPr>
        <w:t>d</w:t>
      </w:r>
      <w:r w:rsidRPr="00C2264E" w:rsidR="00967640">
        <w:rPr>
          <w:sz w:val="24"/>
          <w:lang w:val="es-CL"/>
        </w:rPr>
        <w:t>oppler</w:t>
      </w:r>
      <w:r w:rsidRPr="00C2264E" w:rsidR="00967640">
        <w:rPr>
          <w:sz w:val="24"/>
          <w:lang w:val="es-CL"/>
        </w:rPr>
        <w:t xml:space="preserve"> de terminal</w:t>
      </w:r>
      <w:r w:rsidR="00967640">
        <w:rPr>
          <w:sz w:val="24"/>
          <w:lang w:val="es-CL"/>
        </w:rPr>
        <w:t xml:space="preserve"> </w:t>
      </w:r>
      <w:r w:rsidR="004F0FF3">
        <w:rPr>
          <w:sz w:val="24"/>
          <w:lang w:val="es-CL"/>
        </w:rPr>
        <w:t xml:space="preserve">y especialmente en el contexto de equipos </w:t>
      </w:r>
      <w:r w:rsidRPr="004F0FF3" w:rsidR="00CE4703">
        <w:rPr>
          <w:sz w:val="24"/>
          <w:lang w:val="es-CL"/>
        </w:rPr>
        <w:t xml:space="preserve">U-NII </w:t>
      </w:r>
      <w:r w:rsidR="004F0FF3">
        <w:rPr>
          <w:sz w:val="24"/>
          <w:lang w:val="es-CL"/>
        </w:rPr>
        <w:t xml:space="preserve">operados al aire libre por proveedores de servicio de Internet inalámbrico. </w:t>
      </w:r>
      <w:r w:rsidRPr="004F0FF3" w:rsidR="004F0FF3">
        <w:rPr>
          <w:sz w:val="24"/>
          <w:lang w:val="es-CL"/>
        </w:rPr>
        <w:t>Los operadores de equipos</w:t>
      </w:r>
      <w:r w:rsidRPr="004F0FF3" w:rsidR="004830BA">
        <w:rPr>
          <w:sz w:val="24"/>
          <w:lang w:val="es-CL"/>
        </w:rPr>
        <w:t xml:space="preserve"> </w:t>
      </w:r>
      <w:r w:rsidRPr="004F0FF3" w:rsidR="00F351FD">
        <w:rPr>
          <w:sz w:val="24"/>
          <w:lang w:val="es-CL"/>
        </w:rPr>
        <w:t xml:space="preserve">U-NII </w:t>
      </w:r>
      <w:r w:rsidRPr="004F0FF3" w:rsidR="004F0FF3">
        <w:rPr>
          <w:sz w:val="24"/>
          <w:lang w:val="es-CL"/>
        </w:rPr>
        <w:t xml:space="preserve">tienen la responsabilidad de seguir las </w:t>
      </w:r>
      <w:r w:rsidR="004F0FF3">
        <w:rPr>
          <w:sz w:val="24"/>
          <w:lang w:val="es-CL"/>
        </w:rPr>
        <w:t xml:space="preserve">instrucciones de configuración de los fabricantes, para asegurarse de activar la función </w:t>
      </w:r>
      <w:r w:rsidR="00DE1428">
        <w:rPr>
          <w:sz w:val="24"/>
          <w:lang w:val="es-CL"/>
        </w:rPr>
        <w:t xml:space="preserve">de </w:t>
      </w:r>
      <w:r w:rsidRPr="00DE1428" w:rsidR="00DE1428">
        <w:rPr>
          <w:i/>
          <w:iCs/>
          <w:sz w:val="24"/>
          <w:lang w:val="es-CL"/>
        </w:rPr>
        <w:t xml:space="preserve">Selección dinámica de frecuencia </w:t>
      </w:r>
      <w:r w:rsidRPr="004F0FF3" w:rsidR="004F0FF3">
        <w:rPr>
          <w:i/>
          <w:sz w:val="24"/>
          <w:lang w:val="es-CL"/>
        </w:rPr>
        <w:t>(</w:t>
      </w:r>
      <w:r w:rsidRPr="004F0FF3" w:rsidR="00F351FD">
        <w:rPr>
          <w:i/>
          <w:sz w:val="24"/>
          <w:lang w:val="es-CL"/>
        </w:rPr>
        <w:t xml:space="preserve">Dynamic </w:t>
      </w:r>
      <w:r w:rsidRPr="004F0FF3" w:rsidR="00F351FD">
        <w:rPr>
          <w:i/>
          <w:sz w:val="24"/>
          <w:lang w:val="es-CL"/>
        </w:rPr>
        <w:t>Frequency</w:t>
      </w:r>
      <w:r w:rsidRPr="004F0FF3" w:rsidR="00F351FD">
        <w:rPr>
          <w:i/>
          <w:sz w:val="24"/>
          <w:lang w:val="es-CL"/>
        </w:rPr>
        <w:t xml:space="preserve"> </w:t>
      </w:r>
      <w:r w:rsidRPr="004F0FF3" w:rsidR="00332C61">
        <w:rPr>
          <w:i/>
          <w:sz w:val="24"/>
          <w:lang w:val="es-CL"/>
        </w:rPr>
        <w:t>Selection</w:t>
      </w:r>
      <w:r w:rsidR="004F0FF3">
        <w:rPr>
          <w:sz w:val="24"/>
          <w:lang w:val="es-CL"/>
        </w:rPr>
        <w:t>)</w:t>
      </w:r>
      <w:r w:rsidRPr="004F0FF3" w:rsidR="00F351FD">
        <w:rPr>
          <w:sz w:val="24"/>
          <w:lang w:val="es-CL"/>
        </w:rPr>
        <w:t xml:space="preserve"> </w:t>
      </w:r>
      <w:r w:rsidR="004F0FF3">
        <w:rPr>
          <w:sz w:val="24"/>
          <w:lang w:val="es-CL"/>
        </w:rPr>
        <w:t xml:space="preserve">cuando sea necesario. </w:t>
      </w:r>
      <w:r w:rsidR="00DE1428">
        <w:rPr>
          <w:sz w:val="24"/>
          <w:lang w:val="es-CL"/>
        </w:rPr>
        <w:t>En</w:t>
      </w:r>
      <w:r w:rsidRPr="004F0FF3" w:rsidR="004F0FF3">
        <w:rPr>
          <w:sz w:val="24"/>
          <w:lang w:val="es-CL"/>
        </w:rPr>
        <w:t xml:space="preserve"> varios equipos, la </w:t>
      </w:r>
      <w:r w:rsidR="00DE1428">
        <w:rPr>
          <w:sz w:val="24"/>
          <w:lang w:val="es-CL"/>
        </w:rPr>
        <w:t>f</w:t>
      </w:r>
      <w:r w:rsidRPr="00DE1428" w:rsidR="004F0FF3">
        <w:rPr>
          <w:sz w:val="24"/>
          <w:lang w:val="es-CL"/>
        </w:rPr>
        <w:t xml:space="preserve">unción </w:t>
      </w:r>
      <w:r w:rsidRPr="00DE1428" w:rsidR="00DE1428">
        <w:rPr>
          <w:sz w:val="24"/>
          <w:lang w:val="es-CL"/>
        </w:rPr>
        <w:t>de</w:t>
      </w:r>
      <w:r w:rsidRPr="00DE1428" w:rsidR="00DE1428">
        <w:rPr>
          <w:i/>
          <w:iCs/>
          <w:sz w:val="24"/>
          <w:lang w:val="es-CL"/>
        </w:rPr>
        <w:t xml:space="preserve"> </w:t>
      </w:r>
      <w:r w:rsidR="00DE1428">
        <w:rPr>
          <w:i/>
          <w:iCs/>
          <w:sz w:val="24"/>
          <w:lang w:val="es-CL"/>
        </w:rPr>
        <w:t>S</w:t>
      </w:r>
      <w:r w:rsidRPr="00DE1428" w:rsidR="00DE1428">
        <w:rPr>
          <w:i/>
          <w:iCs/>
          <w:sz w:val="24"/>
          <w:lang w:val="es-CL"/>
        </w:rPr>
        <w:t>elección dinámica de frecuencia</w:t>
      </w:r>
      <w:r w:rsidRPr="004F0FF3" w:rsidR="004F0FF3">
        <w:rPr>
          <w:sz w:val="24"/>
          <w:lang w:val="es-CL"/>
        </w:rPr>
        <w:t xml:space="preserve"> es activada automáticamente cuando el operador</w:t>
      </w:r>
      <w:r w:rsidR="004F0FF3">
        <w:rPr>
          <w:sz w:val="24"/>
          <w:lang w:val="es-CL"/>
        </w:rPr>
        <w:t xml:space="preserve"> </w:t>
      </w:r>
      <w:r w:rsidR="00F6458D">
        <w:rPr>
          <w:sz w:val="24"/>
          <w:lang w:val="es-CL"/>
        </w:rPr>
        <w:t>fija el código país de Estados Unidos al iniciar la configuración del equipo.</w:t>
      </w:r>
      <w:r w:rsidRPr="004F0FF3" w:rsidR="00F351FD">
        <w:rPr>
          <w:sz w:val="24"/>
          <w:lang w:val="es-CL"/>
        </w:rPr>
        <w:t xml:space="preserve">  </w:t>
      </w:r>
    </w:p>
    <w:p w:rsidR="00CE5089" w:rsidRPr="003E7721" w:rsidP="00EB2870" w14:paraId="3AE051EC" w14:textId="727C079C">
      <w:pPr>
        <w:spacing w:after="240"/>
        <w:rPr>
          <w:sz w:val="24"/>
          <w:lang w:val="es-CL"/>
        </w:rPr>
      </w:pPr>
      <w:r w:rsidRPr="001441E5">
        <w:rPr>
          <w:sz w:val="24"/>
          <w:lang w:val="es-CL"/>
        </w:rPr>
        <w:t xml:space="preserve">De conformidad con las disposiciones de la Comisión contenidas en las normas </w:t>
      </w:r>
      <w:r>
        <w:rPr>
          <w:sz w:val="24"/>
          <w:lang w:val="es-CL"/>
        </w:rPr>
        <w:t>“</w:t>
      </w:r>
      <w:r>
        <w:rPr>
          <w:sz w:val="24"/>
          <w:lang w:val="es-CL"/>
        </w:rPr>
        <w:t>part</w:t>
      </w:r>
      <w:r>
        <w:rPr>
          <w:sz w:val="24"/>
          <w:lang w:val="es-CL"/>
        </w:rPr>
        <w:t xml:space="preserve"> 15”, l</w:t>
      </w:r>
      <w:r w:rsidRPr="001441E5">
        <w:rPr>
          <w:sz w:val="24"/>
          <w:lang w:val="es-CL"/>
        </w:rPr>
        <w:t>os operadores de equipos</w:t>
      </w:r>
      <w:r w:rsidRPr="001441E5" w:rsidR="00F6458D">
        <w:rPr>
          <w:sz w:val="24"/>
          <w:lang w:val="es-CL"/>
        </w:rPr>
        <w:t xml:space="preserve"> U-NII </w:t>
      </w:r>
      <w:r>
        <w:rPr>
          <w:sz w:val="24"/>
          <w:lang w:val="es-CL"/>
        </w:rPr>
        <w:t xml:space="preserve">no solo deben </w:t>
      </w:r>
      <w:r w:rsidR="003E7721">
        <w:rPr>
          <w:sz w:val="24"/>
          <w:lang w:val="es-CL"/>
        </w:rPr>
        <w:t xml:space="preserve">abstenerse de causar interferencia, sino también deben aceptar interferencia de los equipos que operan con licencia, incluyendo </w:t>
      </w:r>
      <w:r w:rsidRPr="000C6589" w:rsidR="003E7721">
        <w:rPr>
          <w:sz w:val="24"/>
          <w:lang w:val="es-CL"/>
        </w:rPr>
        <w:t>las</w:t>
      </w:r>
      <w:r w:rsidRPr="000C6589" w:rsidR="00B34458">
        <w:rPr>
          <w:sz w:val="24"/>
          <w:lang w:val="es-CL"/>
        </w:rPr>
        <w:t xml:space="preserve"> estaciones de radar meteorológico </w:t>
      </w:r>
      <w:r w:rsidRPr="000C6589" w:rsidR="00B34458">
        <w:rPr>
          <w:sz w:val="24"/>
          <w:lang w:val="es-CL"/>
        </w:rPr>
        <w:t>doppler</w:t>
      </w:r>
      <w:r w:rsidRPr="000C6589" w:rsidR="00B34458">
        <w:rPr>
          <w:sz w:val="24"/>
          <w:lang w:val="es-CL"/>
        </w:rPr>
        <w:t xml:space="preserve"> de termina</w:t>
      </w:r>
      <w:r w:rsidR="00B34458">
        <w:rPr>
          <w:sz w:val="24"/>
          <w:lang w:val="es-CL"/>
        </w:rPr>
        <w:t>l</w:t>
      </w:r>
      <w:r w:rsidR="003E7721">
        <w:rPr>
          <w:sz w:val="24"/>
          <w:lang w:val="es-CL"/>
        </w:rPr>
        <w:t xml:space="preserve">. </w:t>
      </w:r>
      <w:r w:rsidRPr="003E7721" w:rsidR="003E7721">
        <w:rPr>
          <w:sz w:val="24"/>
          <w:lang w:val="es-CL"/>
        </w:rPr>
        <w:t xml:space="preserve">Se advierte a los operadores de equipos U-NII que al </w:t>
      </w:r>
      <w:r w:rsidRPr="003E7721" w:rsidR="003E7721">
        <w:rPr>
          <w:sz w:val="24"/>
          <w:lang w:val="es-CL"/>
        </w:rPr>
        <w:t>prevenir o mitigar interferencia</w:t>
      </w:r>
      <w:r w:rsidR="00EA1E6B">
        <w:rPr>
          <w:sz w:val="24"/>
          <w:lang w:val="es-CL"/>
        </w:rPr>
        <w:t>s</w:t>
      </w:r>
      <w:r w:rsidRPr="003E7721" w:rsidR="003E7721">
        <w:rPr>
          <w:sz w:val="24"/>
          <w:lang w:val="es-CL"/>
        </w:rPr>
        <w:t xml:space="preserve"> con </w:t>
      </w:r>
      <w:r w:rsidR="003E7721">
        <w:rPr>
          <w:sz w:val="24"/>
          <w:lang w:val="es-CL"/>
        </w:rPr>
        <w:t>otras estaciones</w:t>
      </w:r>
      <w:r w:rsidRPr="003E7721" w:rsidR="003E7721">
        <w:rPr>
          <w:sz w:val="24"/>
          <w:lang w:val="es-CL"/>
        </w:rPr>
        <w:t xml:space="preserve">, los </w:t>
      </w:r>
      <w:r w:rsidR="003E7721">
        <w:rPr>
          <w:sz w:val="24"/>
          <w:lang w:val="es-CL"/>
        </w:rPr>
        <w:t>equipos</w:t>
      </w:r>
      <w:r w:rsidRPr="003E7721" w:rsidR="003E7721">
        <w:rPr>
          <w:sz w:val="24"/>
          <w:lang w:val="es-CL"/>
        </w:rPr>
        <w:t xml:space="preserve"> deben </w:t>
      </w:r>
      <w:r w:rsidR="003E7721">
        <w:rPr>
          <w:sz w:val="24"/>
          <w:lang w:val="es-CL"/>
        </w:rPr>
        <w:t>ser operados dentro de los parámetros técnicos aplicables, incluyendo</w:t>
      </w:r>
      <w:r w:rsidR="000844B2">
        <w:rPr>
          <w:sz w:val="24"/>
          <w:lang w:val="es-CL"/>
        </w:rPr>
        <w:t xml:space="preserve"> la frecuencia central </w:t>
      </w:r>
      <w:r w:rsidR="00EA1E6B">
        <w:rPr>
          <w:sz w:val="24"/>
          <w:lang w:val="es-CL"/>
        </w:rPr>
        <w:t>y las limitaciones de potencia</w:t>
      </w:r>
      <w:r w:rsidR="00FC66CE">
        <w:rPr>
          <w:sz w:val="24"/>
          <w:lang w:val="es-CL"/>
        </w:rPr>
        <w:t>.</w:t>
      </w:r>
    </w:p>
    <w:p w:rsidR="00CE5089" w:rsidRPr="00616CD9" w:rsidP="009B2A7A" w14:paraId="4AB3A95E" w14:textId="0A709CC5">
      <w:pPr>
        <w:keepNext/>
        <w:spacing w:after="120"/>
        <w:rPr>
          <w:rFonts w:eastAsia="Calibri"/>
          <w:b/>
          <w:snapToGrid/>
          <w:color w:val="002060"/>
          <w:kern w:val="0"/>
          <w:sz w:val="24"/>
          <w:szCs w:val="24"/>
          <w:lang w:val="es-CL"/>
        </w:rPr>
      </w:pPr>
      <w:r w:rsidRPr="00616CD9">
        <w:rPr>
          <w:rFonts w:eastAsia="Calibri"/>
          <w:b/>
          <w:snapToGrid/>
          <w:color w:val="002060"/>
          <w:kern w:val="0"/>
          <w:sz w:val="24"/>
          <w:szCs w:val="24"/>
          <w:lang w:val="es-CL"/>
        </w:rPr>
        <w:t xml:space="preserve">¿Qué deberían hacer los fabricantes y vendedores (tanto en </w:t>
      </w:r>
      <w:r w:rsidR="004F2FEF">
        <w:rPr>
          <w:rFonts w:eastAsia="Calibri"/>
          <w:b/>
          <w:snapToGrid/>
          <w:color w:val="002060"/>
          <w:kern w:val="0"/>
          <w:sz w:val="24"/>
          <w:szCs w:val="24"/>
          <w:lang w:val="es-CL"/>
        </w:rPr>
        <w:t>Internet</w:t>
      </w:r>
      <w:r w:rsidRPr="00616CD9">
        <w:rPr>
          <w:rFonts w:eastAsia="Calibri"/>
          <w:b/>
          <w:snapToGrid/>
          <w:color w:val="002060"/>
          <w:kern w:val="0"/>
          <w:sz w:val="24"/>
          <w:szCs w:val="24"/>
          <w:lang w:val="es-CL"/>
        </w:rPr>
        <w:t xml:space="preserve"> com</w:t>
      </w:r>
      <w:r>
        <w:rPr>
          <w:rFonts w:eastAsia="Calibri"/>
          <w:b/>
          <w:snapToGrid/>
          <w:color w:val="002060"/>
          <w:kern w:val="0"/>
          <w:sz w:val="24"/>
          <w:szCs w:val="24"/>
          <w:lang w:val="es-CL"/>
        </w:rPr>
        <w:t>o en comercios tradicionales) para cumplir con las normas?</w:t>
      </w:r>
    </w:p>
    <w:p w:rsidR="00CE5089" w:rsidRPr="008708D1" w:rsidP="0012110B" w14:paraId="697564CC" w14:textId="2C94C7C5">
      <w:pPr>
        <w:widowControl/>
        <w:spacing w:after="240"/>
        <w:rPr>
          <w:sz w:val="24"/>
          <w:lang w:val="es-CL"/>
        </w:rPr>
      </w:pPr>
      <w:r w:rsidRPr="00510688">
        <w:rPr>
          <w:sz w:val="24"/>
          <w:lang w:val="es-CL"/>
        </w:rPr>
        <w:t xml:space="preserve">Los fabricantes deben asegurarse de que los equipos </w:t>
      </w:r>
      <w:r w:rsidRPr="00510688" w:rsidR="00F6458D">
        <w:rPr>
          <w:sz w:val="24"/>
          <w:lang w:val="es-CL"/>
        </w:rPr>
        <w:t xml:space="preserve">U-NII </w:t>
      </w:r>
      <w:r w:rsidRPr="00510688">
        <w:rPr>
          <w:sz w:val="24"/>
          <w:lang w:val="es-CL"/>
        </w:rPr>
        <w:t>puedan opera</w:t>
      </w:r>
      <w:r w:rsidR="008552B8">
        <w:rPr>
          <w:sz w:val="24"/>
          <w:lang w:val="es-CL"/>
        </w:rPr>
        <w:t>r</w:t>
      </w:r>
      <w:r w:rsidRPr="00510688">
        <w:rPr>
          <w:sz w:val="24"/>
          <w:lang w:val="es-CL"/>
        </w:rPr>
        <w:t xml:space="preserve"> </w:t>
      </w:r>
      <w:r>
        <w:rPr>
          <w:sz w:val="24"/>
          <w:lang w:val="es-CL"/>
        </w:rPr>
        <w:t>en</w:t>
      </w:r>
      <w:r w:rsidRPr="00510688">
        <w:rPr>
          <w:sz w:val="24"/>
          <w:lang w:val="es-CL"/>
        </w:rPr>
        <w:t xml:space="preserve"> las bandas de</w:t>
      </w:r>
      <w:r w:rsidRPr="00510688" w:rsidR="00B637EB">
        <w:rPr>
          <w:sz w:val="24"/>
          <w:lang w:val="es-CL"/>
        </w:rPr>
        <w:t xml:space="preserve"> 5.25 GHz – 5.35 GHz </w:t>
      </w:r>
      <w:r>
        <w:rPr>
          <w:sz w:val="24"/>
          <w:lang w:val="es-CL"/>
        </w:rPr>
        <w:t>y de</w:t>
      </w:r>
      <w:r w:rsidRPr="00510688" w:rsidR="00B637EB">
        <w:rPr>
          <w:sz w:val="24"/>
          <w:lang w:val="es-CL"/>
        </w:rPr>
        <w:t xml:space="preserve"> 5.47 GHz – 5.725 GHz</w:t>
      </w:r>
      <w:r w:rsidRPr="00510688" w:rsidR="00391A5F">
        <w:rPr>
          <w:sz w:val="24"/>
          <w:lang w:val="es-CL"/>
        </w:rPr>
        <w:t xml:space="preserve"> </w:t>
      </w:r>
      <w:r>
        <w:rPr>
          <w:sz w:val="24"/>
          <w:lang w:val="es-CL"/>
        </w:rPr>
        <w:t>empleando la función de</w:t>
      </w:r>
      <w:r w:rsidRPr="00510688" w:rsidR="00A878E1">
        <w:rPr>
          <w:sz w:val="24"/>
          <w:lang w:val="es-CL"/>
        </w:rPr>
        <w:t xml:space="preserve"> </w:t>
      </w:r>
      <w:r w:rsidRPr="00264834">
        <w:rPr>
          <w:i/>
          <w:sz w:val="24"/>
          <w:lang w:val="es-CL"/>
        </w:rPr>
        <w:t>Selección dinámica de frecuencia</w:t>
      </w:r>
      <w:r>
        <w:rPr>
          <w:sz w:val="24"/>
          <w:lang w:val="es-CL"/>
        </w:rPr>
        <w:t xml:space="preserve"> (</w:t>
      </w:r>
      <w:r w:rsidRPr="00510688" w:rsidR="00A878E1">
        <w:rPr>
          <w:i/>
          <w:iCs/>
          <w:sz w:val="24"/>
          <w:lang w:val="es-CL"/>
        </w:rPr>
        <w:t xml:space="preserve">Dynamic </w:t>
      </w:r>
      <w:r w:rsidRPr="00510688" w:rsidR="00A878E1">
        <w:rPr>
          <w:i/>
          <w:iCs/>
          <w:sz w:val="24"/>
          <w:lang w:val="es-CL"/>
        </w:rPr>
        <w:t>Frequency</w:t>
      </w:r>
      <w:r w:rsidRPr="00510688" w:rsidR="00A878E1">
        <w:rPr>
          <w:i/>
          <w:iCs/>
          <w:sz w:val="24"/>
          <w:lang w:val="es-CL"/>
        </w:rPr>
        <w:t xml:space="preserve"> </w:t>
      </w:r>
      <w:r w:rsidRPr="00510688" w:rsidR="00A878E1">
        <w:rPr>
          <w:i/>
          <w:iCs/>
          <w:sz w:val="24"/>
          <w:lang w:val="es-CL"/>
        </w:rPr>
        <w:t>Selection</w:t>
      </w:r>
      <w:r w:rsidR="008552B8">
        <w:rPr>
          <w:sz w:val="24"/>
          <w:lang w:val="es-CL"/>
        </w:rPr>
        <w:t xml:space="preserve">) </w:t>
      </w:r>
      <w:r>
        <w:rPr>
          <w:sz w:val="24"/>
          <w:lang w:val="es-CL"/>
        </w:rPr>
        <w:t>y no deben configurar el software de formas que desactiven dicha función</w:t>
      </w:r>
      <w:r w:rsidRPr="00510688" w:rsidR="00F6458D">
        <w:rPr>
          <w:sz w:val="24"/>
          <w:lang w:val="es-CL"/>
        </w:rPr>
        <w:t>.</w:t>
      </w:r>
      <w:r>
        <w:rPr>
          <w:rStyle w:val="FootnoteReference"/>
        </w:rPr>
        <w:footnoteReference w:id="12"/>
      </w:r>
      <w:r w:rsidRPr="00510688" w:rsidR="00F6458D">
        <w:rPr>
          <w:sz w:val="24"/>
          <w:lang w:val="es-CL"/>
        </w:rPr>
        <w:t xml:space="preserve">  </w:t>
      </w:r>
      <w:r w:rsidRPr="00510688">
        <w:rPr>
          <w:sz w:val="24"/>
          <w:lang w:val="es-CL"/>
        </w:rPr>
        <w:t>Asimismo, la Comisión exige a los fabricantes de equipos “</w:t>
      </w:r>
      <w:r w:rsidRPr="00510688">
        <w:rPr>
          <w:sz w:val="24"/>
          <w:lang w:val="es-CL"/>
        </w:rPr>
        <w:t>part</w:t>
      </w:r>
      <w:r w:rsidRPr="00510688">
        <w:rPr>
          <w:sz w:val="24"/>
          <w:lang w:val="es-CL"/>
        </w:rPr>
        <w:t xml:space="preserve"> 15”</w:t>
      </w:r>
      <w:r w:rsidRPr="00510688" w:rsidR="00D81911">
        <w:rPr>
          <w:sz w:val="24"/>
          <w:lang w:val="es-CL"/>
        </w:rPr>
        <w:t xml:space="preserve"> (incl</w:t>
      </w:r>
      <w:r w:rsidRPr="00510688">
        <w:rPr>
          <w:sz w:val="24"/>
          <w:lang w:val="es-CL"/>
        </w:rPr>
        <w:t>uyendo equipos</w:t>
      </w:r>
      <w:r w:rsidRPr="00510688" w:rsidR="00D81911">
        <w:rPr>
          <w:sz w:val="24"/>
          <w:lang w:val="es-CL"/>
        </w:rPr>
        <w:t xml:space="preserve"> </w:t>
      </w:r>
      <w:r w:rsidRPr="00510688" w:rsidR="00F6458D">
        <w:rPr>
          <w:sz w:val="24"/>
          <w:lang w:val="es-CL"/>
        </w:rPr>
        <w:t>U-NII</w:t>
      </w:r>
      <w:r w:rsidRPr="00510688" w:rsidR="00D81911">
        <w:rPr>
          <w:sz w:val="24"/>
          <w:lang w:val="es-CL"/>
        </w:rPr>
        <w:t>)</w:t>
      </w:r>
      <w:r w:rsidRPr="00510688" w:rsidR="00F6458D">
        <w:rPr>
          <w:sz w:val="24"/>
          <w:lang w:val="es-CL"/>
        </w:rPr>
        <w:t xml:space="preserve"> </w:t>
      </w:r>
      <w:r w:rsidRPr="00510688">
        <w:rPr>
          <w:sz w:val="24"/>
          <w:lang w:val="es-CL"/>
        </w:rPr>
        <w:t>record</w:t>
      </w:r>
      <w:r>
        <w:rPr>
          <w:sz w:val="24"/>
          <w:lang w:val="es-CL"/>
        </w:rPr>
        <w:t>a</w:t>
      </w:r>
      <w:r w:rsidRPr="00510688">
        <w:rPr>
          <w:sz w:val="24"/>
          <w:lang w:val="es-CL"/>
        </w:rPr>
        <w:t xml:space="preserve">r a sus clientes que se aseguren de configurar </w:t>
      </w:r>
      <w:r>
        <w:rPr>
          <w:sz w:val="24"/>
          <w:lang w:val="es-CL"/>
        </w:rPr>
        <w:t xml:space="preserve">dichos equipos apropiadamente, de usarlos en </w:t>
      </w:r>
      <w:r w:rsidR="004D613B">
        <w:rPr>
          <w:sz w:val="24"/>
          <w:lang w:val="es-CL"/>
        </w:rPr>
        <w:t>conformidad con el modo</w:t>
      </w:r>
      <w:r>
        <w:rPr>
          <w:sz w:val="24"/>
          <w:lang w:val="es-CL"/>
        </w:rPr>
        <w:t xml:space="preserve"> autorizad</w:t>
      </w:r>
      <w:r w:rsidR="004D613B">
        <w:rPr>
          <w:sz w:val="24"/>
          <w:lang w:val="es-CL"/>
        </w:rPr>
        <w:t xml:space="preserve">o </w:t>
      </w:r>
      <w:r>
        <w:rPr>
          <w:sz w:val="24"/>
          <w:lang w:val="es-CL"/>
        </w:rPr>
        <w:t>y asegurándose de no causar interferencia</w:t>
      </w:r>
      <w:r w:rsidR="00A8526E">
        <w:rPr>
          <w:sz w:val="24"/>
          <w:lang w:val="es-CL"/>
        </w:rPr>
        <w:t xml:space="preserve"> perjudicial</w:t>
      </w:r>
      <w:r>
        <w:rPr>
          <w:sz w:val="24"/>
          <w:lang w:val="es-CL"/>
        </w:rPr>
        <w:t xml:space="preserve"> (</w:t>
      </w:r>
      <w:r w:rsidRPr="00C91453">
        <w:rPr>
          <w:i/>
          <w:iCs/>
          <w:sz w:val="24"/>
          <w:lang w:val="es-CL"/>
        </w:rPr>
        <w:t>harmful</w:t>
      </w:r>
      <w:r w:rsidRPr="00C91453">
        <w:rPr>
          <w:i/>
          <w:iCs/>
          <w:sz w:val="24"/>
          <w:lang w:val="es-CL"/>
        </w:rPr>
        <w:t xml:space="preserve"> </w:t>
      </w:r>
      <w:r w:rsidRPr="00C91453">
        <w:rPr>
          <w:i/>
          <w:iCs/>
          <w:sz w:val="24"/>
          <w:lang w:val="es-CL"/>
        </w:rPr>
        <w:t>interference</w:t>
      </w:r>
      <w:r>
        <w:rPr>
          <w:sz w:val="24"/>
          <w:lang w:val="es-CL"/>
        </w:rPr>
        <w:t>, en inglés)</w:t>
      </w:r>
      <w:r w:rsidRPr="00510688" w:rsidR="00EB2870">
        <w:rPr>
          <w:sz w:val="24"/>
          <w:lang w:val="es-CL"/>
        </w:rPr>
        <w:t>.</w:t>
      </w:r>
      <w:r>
        <w:rPr>
          <w:rStyle w:val="FootnoteReference"/>
        </w:rPr>
        <w:footnoteReference w:id="13"/>
      </w:r>
      <w:r w:rsidRPr="00510688" w:rsidR="00EB2870">
        <w:rPr>
          <w:sz w:val="24"/>
          <w:lang w:val="es-CL"/>
        </w:rPr>
        <w:t xml:space="preserve"> </w:t>
      </w:r>
      <w:r w:rsidRPr="00510688" w:rsidR="001D281F">
        <w:rPr>
          <w:sz w:val="24"/>
          <w:lang w:val="es-CL"/>
        </w:rPr>
        <w:t xml:space="preserve"> </w:t>
      </w:r>
      <w:r w:rsidRPr="008708D1" w:rsidR="00F6458D">
        <w:rPr>
          <w:sz w:val="24"/>
          <w:lang w:val="es-CL"/>
        </w:rPr>
        <w:t>M</w:t>
      </w:r>
      <w:r w:rsidRPr="008708D1" w:rsidR="00790981">
        <w:rPr>
          <w:sz w:val="24"/>
          <w:lang w:val="es-CL"/>
        </w:rPr>
        <w:t>ás aún</w:t>
      </w:r>
      <w:r w:rsidRPr="008708D1" w:rsidR="00F6458D">
        <w:rPr>
          <w:sz w:val="24"/>
          <w:lang w:val="es-CL"/>
        </w:rPr>
        <w:t xml:space="preserve">, </w:t>
      </w:r>
      <w:r w:rsidRPr="008708D1" w:rsidR="008708D1">
        <w:rPr>
          <w:sz w:val="24"/>
          <w:lang w:val="es-CL"/>
        </w:rPr>
        <w:t>los vendedores solo pueden comercializar equipos que cump</w:t>
      </w:r>
      <w:r w:rsidR="008708D1">
        <w:rPr>
          <w:sz w:val="24"/>
          <w:lang w:val="es-CL"/>
        </w:rPr>
        <w:t>l</w:t>
      </w:r>
      <w:r w:rsidR="009179CE">
        <w:rPr>
          <w:sz w:val="24"/>
          <w:lang w:val="es-CL"/>
        </w:rPr>
        <w:t>a</w:t>
      </w:r>
      <w:r w:rsidR="008708D1">
        <w:rPr>
          <w:sz w:val="24"/>
          <w:lang w:val="es-CL"/>
        </w:rPr>
        <w:t>n con las normas de la Comisión</w:t>
      </w:r>
      <w:r w:rsidRPr="008708D1" w:rsidR="00F6458D">
        <w:rPr>
          <w:sz w:val="24"/>
          <w:lang w:val="es-CL"/>
        </w:rPr>
        <w:t>.</w:t>
      </w:r>
      <w:r>
        <w:rPr>
          <w:rStyle w:val="FootnoteReference"/>
        </w:rPr>
        <w:footnoteReference w:id="14"/>
      </w:r>
      <w:r w:rsidRPr="008708D1" w:rsidR="00F6458D">
        <w:rPr>
          <w:sz w:val="24"/>
          <w:lang w:val="es-CL"/>
        </w:rPr>
        <w:t xml:space="preserve">  </w:t>
      </w:r>
    </w:p>
    <w:p w:rsidR="00727CD4" w:rsidRPr="003A7573" w:rsidP="009B2A7A" w14:paraId="57A8C44B" w14:textId="58202804">
      <w:pPr>
        <w:keepNext/>
        <w:spacing w:after="120"/>
        <w:rPr>
          <w:rFonts w:eastAsia="Calibri"/>
          <w:b/>
          <w:snapToGrid/>
          <w:color w:val="002060"/>
          <w:kern w:val="0"/>
          <w:sz w:val="24"/>
          <w:szCs w:val="24"/>
          <w:lang w:val="es-CL"/>
        </w:rPr>
      </w:pPr>
      <w:r w:rsidRPr="003A7573">
        <w:rPr>
          <w:rFonts w:eastAsia="Calibri"/>
          <w:b/>
          <w:snapToGrid/>
          <w:color w:val="002060"/>
          <w:kern w:val="0"/>
          <w:sz w:val="24"/>
          <w:szCs w:val="24"/>
          <w:lang w:val="es-CL"/>
        </w:rPr>
        <w:t>¿Qué</w:t>
      </w:r>
      <w:r w:rsidRPr="003A7573" w:rsidR="00F6458D">
        <w:rPr>
          <w:rFonts w:eastAsia="Calibri"/>
          <w:b/>
          <w:snapToGrid/>
          <w:color w:val="002060"/>
          <w:kern w:val="0"/>
          <w:sz w:val="24"/>
          <w:szCs w:val="24"/>
          <w:lang w:val="es-CL"/>
        </w:rPr>
        <w:t xml:space="preserve"> </w:t>
      </w:r>
      <w:r w:rsidRPr="003A7573">
        <w:rPr>
          <w:rFonts w:eastAsia="Calibri"/>
          <w:b/>
          <w:snapToGrid/>
          <w:color w:val="002060"/>
          <w:kern w:val="0"/>
          <w:sz w:val="24"/>
          <w:szCs w:val="24"/>
          <w:lang w:val="es-CL"/>
        </w:rPr>
        <w:t>sanciones son aplicables</w:t>
      </w:r>
      <w:r w:rsidRPr="003A7573" w:rsidR="009B2A7A">
        <w:rPr>
          <w:rFonts w:eastAsia="Calibri"/>
          <w:b/>
          <w:snapToGrid/>
          <w:color w:val="002060"/>
          <w:kern w:val="0"/>
          <w:sz w:val="24"/>
          <w:szCs w:val="24"/>
          <w:lang w:val="es-CL"/>
        </w:rPr>
        <w:t>?</w:t>
      </w:r>
    </w:p>
    <w:p w:rsidR="009B2A7A" w:rsidRPr="002678EC" w:rsidP="00EB2870" w14:paraId="007F5774" w14:textId="42990A0A">
      <w:pPr>
        <w:spacing w:after="240"/>
        <w:rPr>
          <w:sz w:val="24"/>
          <w:szCs w:val="24"/>
          <w:lang w:val="es-CL"/>
        </w:rPr>
      </w:pPr>
      <w:r w:rsidRPr="002678EC">
        <w:rPr>
          <w:sz w:val="24"/>
          <w:szCs w:val="24"/>
          <w:lang w:val="es-CL"/>
        </w:rPr>
        <w:t xml:space="preserve">Toda entidad o persona que </w:t>
      </w:r>
      <w:r w:rsidRPr="002678EC">
        <w:rPr>
          <w:sz w:val="24"/>
          <w:szCs w:val="24"/>
          <w:lang w:val="es-CL"/>
        </w:rPr>
        <w:t>opere,</w:t>
      </w:r>
      <w:r w:rsidRPr="002678EC">
        <w:rPr>
          <w:sz w:val="24"/>
          <w:szCs w:val="24"/>
          <w:lang w:val="es-CL"/>
        </w:rPr>
        <w:t xml:space="preserve"> fabrique o venda equipos </w:t>
      </w:r>
      <w:r w:rsidRPr="002678EC" w:rsidR="00F6458D">
        <w:rPr>
          <w:sz w:val="24"/>
          <w:szCs w:val="24"/>
          <w:lang w:val="es-CL"/>
        </w:rPr>
        <w:t xml:space="preserve">U-NII </w:t>
      </w:r>
      <w:r w:rsidRPr="002678EC">
        <w:rPr>
          <w:sz w:val="24"/>
          <w:szCs w:val="24"/>
          <w:lang w:val="es-CL"/>
        </w:rPr>
        <w:t>de modo inconsistente con la Ley de Comunicaciones (</w:t>
      </w:r>
      <w:r w:rsidRPr="002678EC" w:rsidR="00F6458D">
        <w:rPr>
          <w:i/>
          <w:iCs/>
          <w:sz w:val="24"/>
          <w:szCs w:val="24"/>
          <w:lang w:val="es-CL"/>
        </w:rPr>
        <w:t>Communications</w:t>
      </w:r>
      <w:r w:rsidRPr="002678EC" w:rsidR="00F6458D">
        <w:rPr>
          <w:i/>
          <w:iCs/>
          <w:sz w:val="24"/>
          <w:szCs w:val="24"/>
          <w:lang w:val="es-CL"/>
        </w:rPr>
        <w:t xml:space="preserve"> </w:t>
      </w:r>
      <w:r w:rsidRPr="002678EC" w:rsidR="00F6458D">
        <w:rPr>
          <w:i/>
          <w:iCs/>
          <w:sz w:val="24"/>
          <w:szCs w:val="24"/>
          <w:lang w:val="es-CL"/>
        </w:rPr>
        <w:t>Act</w:t>
      </w:r>
      <w:r w:rsidRPr="002678EC">
        <w:rPr>
          <w:sz w:val="24"/>
          <w:szCs w:val="24"/>
          <w:lang w:val="es-CL"/>
        </w:rPr>
        <w:t>, en inglés)</w:t>
      </w:r>
      <w:r w:rsidRPr="002678EC" w:rsidR="00F6458D">
        <w:rPr>
          <w:sz w:val="24"/>
          <w:szCs w:val="24"/>
          <w:lang w:val="es-CL"/>
        </w:rPr>
        <w:t xml:space="preserve"> </w:t>
      </w:r>
      <w:r w:rsidRPr="002678EC">
        <w:rPr>
          <w:sz w:val="24"/>
          <w:szCs w:val="24"/>
          <w:lang w:val="es-CL"/>
        </w:rPr>
        <w:t>o con las d</w:t>
      </w:r>
      <w:r>
        <w:rPr>
          <w:sz w:val="24"/>
          <w:szCs w:val="24"/>
          <w:lang w:val="es-CL"/>
        </w:rPr>
        <w:t>isposiciones contenidas en las normas “</w:t>
      </w:r>
      <w:r w:rsidRPr="002678EC" w:rsidR="00F6458D">
        <w:rPr>
          <w:sz w:val="24"/>
          <w:szCs w:val="24"/>
          <w:lang w:val="es-CL"/>
        </w:rPr>
        <w:t xml:space="preserve">15 </w:t>
      </w:r>
      <w:r w:rsidRPr="002678EC" w:rsidR="00EB2870">
        <w:rPr>
          <w:sz w:val="24"/>
          <w:szCs w:val="24"/>
          <w:lang w:val="es-CL"/>
        </w:rPr>
        <w:t>r</w:t>
      </w:r>
      <w:r w:rsidRPr="002678EC" w:rsidR="00F6458D">
        <w:rPr>
          <w:sz w:val="24"/>
          <w:szCs w:val="24"/>
          <w:lang w:val="es-CL"/>
        </w:rPr>
        <w:t>ules</w:t>
      </w:r>
      <w:r>
        <w:rPr>
          <w:sz w:val="24"/>
          <w:szCs w:val="24"/>
          <w:lang w:val="es-CL"/>
        </w:rPr>
        <w:t>” podría ser sometida a sanciones, incluyendo</w:t>
      </w:r>
      <w:r w:rsidR="009179CE">
        <w:rPr>
          <w:sz w:val="24"/>
          <w:szCs w:val="24"/>
          <w:lang w:val="es-CL"/>
        </w:rPr>
        <w:t>,</w:t>
      </w:r>
      <w:r>
        <w:rPr>
          <w:sz w:val="24"/>
          <w:szCs w:val="24"/>
          <w:lang w:val="es-CL"/>
        </w:rPr>
        <w:t xml:space="preserve"> entre otras, </w:t>
      </w:r>
      <w:r w:rsidR="00537B6F">
        <w:rPr>
          <w:sz w:val="24"/>
          <w:szCs w:val="24"/>
          <w:lang w:val="es-CL"/>
        </w:rPr>
        <w:t>penas monetarias</w:t>
      </w:r>
      <w:r w:rsidR="009179CE">
        <w:rPr>
          <w:sz w:val="24"/>
          <w:szCs w:val="24"/>
          <w:lang w:val="es-CL"/>
        </w:rPr>
        <w:t xml:space="preserve"> sustanciales</w:t>
      </w:r>
      <w:r w:rsidRPr="002678EC" w:rsidR="00D427D8">
        <w:rPr>
          <w:sz w:val="24"/>
          <w:szCs w:val="24"/>
          <w:lang w:val="es-CL"/>
        </w:rPr>
        <w:t>.</w:t>
      </w:r>
      <w:r w:rsidRPr="002678EC" w:rsidR="00F6458D">
        <w:rPr>
          <w:sz w:val="24"/>
          <w:szCs w:val="24"/>
          <w:lang w:val="es-CL"/>
        </w:rPr>
        <w:t xml:space="preserve"> </w:t>
      </w:r>
    </w:p>
    <w:p w:rsidR="009B2A7A" w:rsidRPr="003A7573" w:rsidP="009B2A7A" w14:paraId="304AA754" w14:textId="547A303B">
      <w:pPr>
        <w:keepNext/>
        <w:spacing w:after="120"/>
        <w:rPr>
          <w:rFonts w:eastAsia="Calibri"/>
          <w:b/>
          <w:snapToGrid/>
          <w:color w:val="002060"/>
          <w:kern w:val="0"/>
          <w:sz w:val="24"/>
          <w:szCs w:val="24"/>
          <w:lang w:val="es-CL"/>
        </w:rPr>
      </w:pPr>
      <w:r w:rsidRPr="003A7573">
        <w:rPr>
          <w:rFonts w:eastAsia="Calibri"/>
          <w:b/>
          <w:snapToGrid/>
          <w:color w:val="002060"/>
          <w:kern w:val="0"/>
          <w:sz w:val="24"/>
          <w:szCs w:val="24"/>
          <w:lang w:val="es-CL"/>
        </w:rPr>
        <w:t>¿Necesita más información</w:t>
      </w:r>
      <w:r w:rsidRPr="003A7573" w:rsidR="00F6458D">
        <w:rPr>
          <w:rFonts w:eastAsia="Calibri"/>
          <w:b/>
          <w:snapToGrid/>
          <w:color w:val="002060"/>
          <w:kern w:val="0"/>
          <w:sz w:val="24"/>
          <w:szCs w:val="24"/>
          <w:lang w:val="es-CL"/>
        </w:rPr>
        <w:t>?</w:t>
      </w:r>
    </w:p>
    <w:p w:rsidR="0012110B" w:rsidRPr="0072301B" w:rsidP="0012110B" w14:paraId="3B01FF1C" w14:textId="0A7F5C64">
      <w:pPr>
        <w:spacing w:after="240"/>
        <w:rPr>
          <w:sz w:val="24"/>
          <w:lang w:val="es-CL"/>
        </w:rPr>
      </w:pPr>
      <w:r w:rsidRPr="00E20E6C">
        <w:rPr>
          <w:sz w:val="24"/>
          <w:lang w:val="es-CL"/>
        </w:rPr>
        <w:t xml:space="preserve">Para consultas relacionadas con información </w:t>
      </w:r>
      <w:r w:rsidR="00635507">
        <w:rPr>
          <w:sz w:val="24"/>
          <w:lang w:val="es-CL"/>
        </w:rPr>
        <w:t>contenida en</w:t>
      </w:r>
      <w:r w:rsidRPr="00E20E6C">
        <w:rPr>
          <w:sz w:val="24"/>
          <w:lang w:val="es-CL"/>
        </w:rPr>
        <w:t xml:space="preserve"> est</w:t>
      </w:r>
      <w:r>
        <w:rPr>
          <w:sz w:val="24"/>
          <w:lang w:val="es-CL"/>
        </w:rPr>
        <w:t xml:space="preserve">a notificación, envíe un correo electrónico a </w:t>
      </w:r>
      <w:hyperlink r:id="rId5" w:history="1">
        <w:r w:rsidRPr="00E20E6C" w:rsidR="00F6458D">
          <w:rPr>
            <w:rStyle w:val="Hyperlink"/>
            <w:sz w:val="24"/>
            <w:lang w:val="es-CL"/>
          </w:rPr>
          <w:t>field@fcc.gov</w:t>
        </w:r>
      </w:hyperlink>
      <w:r w:rsidRPr="00E20E6C" w:rsidR="00F6458D">
        <w:rPr>
          <w:sz w:val="24"/>
          <w:lang w:val="es-CL"/>
        </w:rPr>
        <w:t xml:space="preserve">.  </w:t>
      </w:r>
      <w:r w:rsidRPr="00E20E6C">
        <w:rPr>
          <w:sz w:val="24"/>
          <w:lang w:val="es-CL"/>
        </w:rPr>
        <w:t>Para obtener informació</w:t>
      </w:r>
      <w:r>
        <w:rPr>
          <w:sz w:val="24"/>
          <w:lang w:val="es-CL"/>
        </w:rPr>
        <w:t xml:space="preserve">n general relacionada con los equipos </w:t>
      </w:r>
      <w:r w:rsidRPr="00E20E6C" w:rsidR="00F6458D">
        <w:rPr>
          <w:sz w:val="24"/>
          <w:lang w:val="es-CL"/>
        </w:rPr>
        <w:t xml:space="preserve">U-NII </w:t>
      </w:r>
      <w:r>
        <w:rPr>
          <w:sz w:val="24"/>
          <w:lang w:val="es-CL"/>
        </w:rPr>
        <w:t xml:space="preserve">y con los </w:t>
      </w:r>
      <w:r w:rsidRPr="000C6589">
        <w:rPr>
          <w:sz w:val="24"/>
          <w:lang w:val="es-CL"/>
        </w:rPr>
        <w:t xml:space="preserve">sistemas </w:t>
      </w:r>
      <w:r w:rsidRPr="000C6589" w:rsidR="00AA2A6F">
        <w:rPr>
          <w:sz w:val="24"/>
          <w:lang w:val="es-CL"/>
        </w:rPr>
        <w:t xml:space="preserve">de </w:t>
      </w:r>
      <w:r w:rsidRPr="000C6589" w:rsidR="00992D9A">
        <w:rPr>
          <w:sz w:val="24"/>
          <w:lang w:val="es-CL"/>
        </w:rPr>
        <w:t xml:space="preserve">radar meteorológico </w:t>
      </w:r>
      <w:r w:rsidRPr="000C6589" w:rsidR="00992D9A">
        <w:rPr>
          <w:sz w:val="24"/>
          <w:lang w:val="es-CL"/>
        </w:rPr>
        <w:t>doppler</w:t>
      </w:r>
      <w:r w:rsidRPr="000C6589" w:rsidR="00992D9A">
        <w:rPr>
          <w:sz w:val="24"/>
          <w:lang w:val="es-CL"/>
        </w:rPr>
        <w:t xml:space="preserve"> de terminal</w:t>
      </w:r>
      <w:r w:rsidRPr="000C6589">
        <w:rPr>
          <w:sz w:val="24"/>
          <w:lang w:val="es-CL"/>
        </w:rPr>
        <w:t>,</w:t>
      </w:r>
      <w:r>
        <w:rPr>
          <w:sz w:val="24"/>
          <w:lang w:val="es-CL"/>
        </w:rPr>
        <w:t xml:space="preserve"> </w:t>
      </w:r>
      <w:r w:rsidRPr="00E20E6C" w:rsidR="00F6458D">
        <w:rPr>
          <w:sz w:val="24"/>
          <w:lang w:val="es-CL"/>
        </w:rPr>
        <w:t>p</w:t>
      </w:r>
      <w:r>
        <w:rPr>
          <w:sz w:val="24"/>
          <w:lang w:val="es-CL"/>
        </w:rPr>
        <w:t>or favor, visite:</w:t>
      </w:r>
      <w:bookmarkStart w:id="3" w:name="_Hlk14269817"/>
      <w:r>
        <w:rPr>
          <w:sz w:val="24"/>
          <w:lang w:val="es-CL"/>
        </w:rPr>
        <w:t xml:space="preserve"> </w:t>
      </w:r>
      <w:hyperlink r:id="rId6" w:history="1">
        <w:r w:rsidRPr="00E20E6C" w:rsidR="00F6458D">
          <w:rPr>
            <w:rStyle w:val="Hyperlink"/>
            <w:sz w:val="24"/>
            <w:lang w:val="es-CL"/>
          </w:rPr>
          <w:t>https://www.fcc.gov/general/u-nii-and-tdwr-interference-enforcement</w:t>
        </w:r>
      </w:hyperlink>
      <w:bookmarkEnd w:id="3"/>
      <w:r w:rsidRPr="00E20E6C" w:rsidR="00F6458D">
        <w:rPr>
          <w:sz w:val="24"/>
          <w:lang w:val="es-CL"/>
        </w:rPr>
        <w:t xml:space="preserve">. </w:t>
      </w:r>
      <w:r>
        <w:rPr>
          <w:sz w:val="24"/>
          <w:lang w:val="es-CL"/>
        </w:rPr>
        <w:t xml:space="preserve"> </w:t>
      </w:r>
      <w:r w:rsidRPr="00E20E6C">
        <w:rPr>
          <w:sz w:val="24"/>
          <w:lang w:val="es-CL"/>
        </w:rPr>
        <w:t>Para información adicional relacionada con autorización de equipos, visite el sitio web de la FCC:</w:t>
      </w:r>
      <w:r w:rsidRPr="00E20E6C" w:rsidR="00F6458D">
        <w:rPr>
          <w:sz w:val="24"/>
          <w:lang w:val="es-CL"/>
        </w:rPr>
        <w:t xml:space="preserve"> </w:t>
      </w:r>
      <w:hyperlink r:id="rId7" w:history="1">
        <w:r w:rsidRPr="00E20E6C" w:rsidR="002921F4">
          <w:rPr>
            <w:rStyle w:val="Hyperlink"/>
            <w:sz w:val="24"/>
            <w:lang w:val="es-CL"/>
          </w:rPr>
          <w:t>https://www.fcc.gov/engineering-technology/laboratory-division/general/equipment-authorization</w:t>
        </w:r>
      </w:hyperlink>
      <w:r w:rsidRPr="00E20E6C" w:rsidR="00F6458D">
        <w:rPr>
          <w:sz w:val="24"/>
          <w:lang w:val="es-CL"/>
        </w:rPr>
        <w:t xml:space="preserve"> </w:t>
      </w:r>
      <w:r>
        <w:rPr>
          <w:sz w:val="24"/>
          <w:lang w:val="es-CL"/>
        </w:rPr>
        <w:t xml:space="preserve">o </w:t>
      </w:r>
      <w:r w:rsidR="00AA58B9">
        <w:rPr>
          <w:sz w:val="24"/>
          <w:lang w:val="es-CL"/>
        </w:rPr>
        <w:t>consulte</w:t>
      </w:r>
      <w:r>
        <w:rPr>
          <w:sz w:val="24"/>
          <w:lang w:val="es-CL"/>
        </w:rPr>
        <w:t xml:space="preserve"> la base de datos de </w:t>
      </w:r>
      <w:r w:rsidR="007E02AD">
        <w:rPr>
          <w:sz w:val="24"/>
          <w:lang w:val="es-CL"/>
        </w:rPr>
        <w:t xml:space="preserve">la </w:t>
      </w:r>
      <w:r>
        <w:rPr>
          <w:sz w:val="24"/>
          <w:lang w:val="es-CL"/>
        </w:rPr>
        <w:t>oficina de ingeniería y tecnología</w:t>
      </w:r>
      <w:r w:rsidR="007E02AD">
        <w:rPr>
          <w:sz w:val="24"/>
          <w:lang w:val="es-CL"/>
        </w:rPr>
        <w:t xml:space="preserve"> de la FCC</w:t>
      </w:r>
      <w:r>
        <w:rPr>
          <w:sz w:val="24"/>
          <w:lang w:val="es-CL"/>
        </w:rPr>
        <w:t xml:space="preserve"> (</w:t>
      </w:r>
      <w:r w:rsidRPr="00E20E6C" w:rsidR="00F6458D">
        <w:rPr>
          <w:i/>
          <w:iCs/>
          <w:sz w:val="24"/>
          <w:lang w:val="es-CL"/>
        </w:rPr>
        <w:t xml:space="preserve">Office </w:t>
      </w:r>
      <w:r w:rsidRPr="00E20E6C" w:rsidR="00F6458D">
        <w:rPr>
          <w:i/>
          <w:iCs/>
          <w:sz w:val="24"/>
          <w:lang w:val="es-CL"/>
        </w:rPr>
        <w:t>of</w:t>
      </w:r>
      <w:r w:rsidRPr="00E20E6C" w:rsidR="00F6458D">
        <w:rPr>
          <w:i/>
          <w:iCs/>
          <w:sz w:val="24"/>
          <w:lang w:val="es-CL"/>
        </w:rPr>
        <w:t xml:space="preserve"> </w:t>
      </w:r>
      <w:r w:rsidRPr="00E20E6C" w:rsidR="00F6458D">
        <w:rPr>
          <w:i/>
          <w:iCs/>
          <w:sz w:val="24"/>
          <w:lang w:val="es-CL"/>
        </w:rPr>
        <w:t>Engineering</w:t>
      </w:r>
      <w:r w:rsidRPr="00E20E6C" w:rsidR="00F6458D">
        <w:rPr>
          <w:i/>
          <w:iCs/>
          <w:sz w:val="24"/>
          <w:lang w:val="es-CL"/>
        </w:rPr>
        <w:t xml:space="preserve"> and </w:t>
      </w:r>
      <w:r w:rsidRPr="00E20E6C" w:rsidR="00F6458D">
        <w:rPr>
          <w:i/>
          <w:iCs/>
          <w:sz w:val="24"/>
          <w:lang w:val="es-CL"/>
        </w:rPr>
        <w:t>Technology’s</w:t>
      </w:r>
      <w:r w:rsidRPr="00E20E6C" w:rsidR="00F6458D">
        <w:rPr>
          <w:i/>
          <w:iCs/>
          <w:sz w:val="24"/>
          <w:lang w:val="es-CL"/>
        </w:rPr>
        <w:t xml:space="preserve"> </w:t>
      </w:r>
      <w:r w:rsidRPr="00E20E6C" w:rsidR="00F6458D">
        <w:rPr>
          <w:i/>
          <w:iCs/>
          <w:sz w:val="24"/>
          <w:lang w:val="es-CL"/>
        </w:rPr>
        <w:t>Knowledge</w:t>
      </w:r>
      <w:r w:rsidRPr="00E20E6C" w:rsidR="00F6458D">
        <w:rPr>
          <w:i/>
          <w:iCs/>
          <w:sz w:val="24"/>
          <w:lang w:val="es-CL"/>
        </w:rPr>
        <w:t xml:space="preserve"> </w:t>
      </w:r>
      <w:r w:rsidRPr="00E20E6C" w:rsidR="00F6458D">
        <w:rPr>
          <w:i/>
          <w:iCs/>
          <w:sz w:val="24"/>
          <w:lang w:val="es-CL"/>
        </w:rPr>
        <w:t>Database</w:t>
      </w:r>
      <w:r>
        <w:rPr>
          <w:sz w:val="24"/>
          <w:lang w:val="es-CL"/>
        </w:rPr>
        <w:t>) en:</w:t>
      </w:r>
      <w:r w:rsidRPr="00E20E6C" w:rsidR="00F6458D">
        <w:rPr>
          <w:sz w:val="24"/>
          <w:lang w:val="es-CL"/>
        </w:rPr>
        <w:t xml:space="preserve"> </w:t>
      </w:r>
      <w:hyperlink r:id="rId8" w:history="1">
        <w:r w:rsidRPr="00E20E6C" w:rsidR="00F6458D">
          <w:rPr>
            <w:rStyle w:val="Hyperlink"/>
            <w:sz w:val="24"/>
            <w:lang w:val="es-CL"/>
          </w:rPr>
          <w:t>https://apps.fcc.gov/oetcf/kdb/index.cfm</w:t>
        </w:r>
      </w:hyperlink>
      <w:r w:rsidRPr="00E20E6C" w:rsidR="00F6458D">
        <w:rPr>
          <w:sz w:val="24"/>
          <w:lang w:val="es-CL"/>
        </w:rPr>
        <w:t xml:space="preserve">.  </w:t>
      </w:r>
      <w:r w:rsidRPr="0072301B" w:rsidR="0072301B">
        <w:rPr>
          <w:sz w:val="24"/>
          <w:lang w:val="es-CL"/>
        </w:rPr>
        <w:t>Para present</w:t>
      </w:r>
      <w:r w:rsidR="0072301B">
        <w:rPr>
          <w:sz w:val="24"/>
          <w:lang w:val="es-CL"/>
        </w:rPr>
        <w:t>a</w:t>
      </w:r>
      <w:r w:rsidRPr="0072301B" w:rsidR="0072301B">
        <w:rPr>
          <w:sz w:val="24"/>
          <w:lang w:val="es-CL"/>
        </w:rPr>
        <w:t>r una queja relacionad</w:t>
      </w:r>
      <w:r w:rsidR="0072301B">
        <w:rPr>
          <w:sz w:val="24"/>
          <w:lang w:val="es-CL"/>
        </w:rPr>
        <w:t>a con equipos</w:t>
      </w:r>
      <w:r w:rsidRPr="0072301B" w:rsidR="00EB2870">
        <w:rPr>
          <w:sz w:val="24"/>
          <w:lang w:val="es-CL"/>
        </w:rPr>
        <w:t xml:space="preserve"> U-NII </w:t>
      </w:r>
      <w:r w:rsidR="0072301B">
        <w:rPr>
          <w:sz w:val="24"/>
          <w:lang w:val="es-CL"/>
        </w:rPr>
        <w:t xml:space="preserve">que no cumplen con las normas, visite: </w:t>
      </w:r>
      <w:hyperlink r:id="rId9" w:history="1">
        <w:r w:rsidRPr="0072301B" w:rsidR="001D281F">
          <w:rPr>
            <w:rStyle w:val="Hyperlink"/>
            <w:sz w:val="24"/>
            <w:lang w:val="es-CL"/>
          </w:rPr>
          <w:t>https://consumercomplaints.fcc.gov</w:t>
        </w:r>
      </w:hyperlink>
      <w:r w:rsidRPr="0072301B" w:rsidR="00EB2870">
        <w:rPr>
          <w:sz w:val="24"/>
          <w:lang w:val="es-CL"/>
        </w:rPr>
        <w:t xml:space="preserve">.  </w:t>
      </w:r>
      <w:r w:rsidRPr="0072301B" w:rsidR="0072301B">
        <w:rPr>
          <w:sz w:val="24"/>
          <w:lang w:val="es-CL"/>
        </w:rPr>
        <w:t>Las consultas de medios de dif</w:t>
      </w:r>
      <w:r w:rsidR="0072301B">
        <w:rPr>
          <w:sz w:val="24"/>
          <w:lang w:val="es-CL"/>
        </w:rPr>
        <w:t>usión</w:t>
      </w:r>
      <w:r w:rsidRPr="0072301B" w:rsidR="0072301B">
        <w:rPr>
          <w:sz w:val="24"/>
          <w:lang w:val="es-CL"/>
        </w:rPr>
        <w:t xml:space="preserve"> deben dirigirse </w:t>
      </w:r>
      <w:r w:rsidR="0072301B">
        <w:rPr>
          <w:sz w:val="24"/>
          <w:lang w:val="es-CL"/>
        </w:rPr>
        <w:t xml:space="preserve">a </w:t>
      </w:r>
      <w:r w:rsidRPr="0072301B" w:rsidR="00EB2870">
        <w:rPr>
          <w:sz w:val="24"/>
          <w:lang w:val="es-CL"/>
        </w:rPr>
        <w:t>Will Wiquist</w:t>
      </w:r>
      <w:r w:rsidR="00580C83">
        <w:rPr>
          <w:sz w:val="24"/>
          <w:lang w:val="es-CL"/>
        </w:rPr>
        <w:t>:</w:t>
      </w:r>
      <w:r w:rsidRPr="0072301B" w:rsidR="00EB2870">
        <w:rPr>
          <w:sz w:val="24"/>
          <w:lang w:val="es-CL"/>
        </w:rPr>
        <w:t xml:space="preserve"> (202) 418-0509 o</w:t>
      </w:r>
      <w:r w:rsidR="0072301B">
        <w:rPr>
          <w:sz w:val="24"/>
          <w:lang w:val="es-CL"/>
        </w:rPr>
        <w:t xml:space="preserve"> </w:t>
      </w:r>
      <w:hyperlink r:id="rId10" w:history="1">
        <w:r w:rsidRPr="000937D8" w:rsidR="006665CA">
          <w:rPr>
            <w:rStyle w:val="Hyperlink"/>
            <w:sz w:val="24"/>
            <w:lang w:val="es-CL"/>
          </w:rPr>
          <w:t>will.wiquist@fcc.gov</w:t>
        </w:r>
      </w:hyperlink>
      <w:r w:rsidRPr="0072301B" w:rsidR="00EB2870">
        <w:rPr>
          <w:sz w:val="24"/>
          <w:lang w:val="es-CL"/>
        </w:rPr>
        <w:t xml:space="preserve">. </w:t>
      </w:r>
    </w:p>
    <w:p w:rsidR="00EB2870" w:rsidRPr="00E579FC" w:rsidP="0012110B" w14:paraId="56A49FFD" w14:textId="6B2F8486">
      <w:pPr>
        <w:spacing w:after="240"/>
        <w:rPr>
          <w:sz w:val="24"/>
          <w:lang w:val="es-CL"/>
        </w:rPr>
      </w:pPr>
      <w:r w:rsidRPr="00AA2A6F">
        <w:rPr>
          <w:sz w:val="24"/>
          <w:lang w:val="es-CL"/>
        </w:rPr>
        <w:t>Para solicit</w:t>
      </w:r>
      <w:r w:rsidR="000C6589">
        <w:rPr>
          <w:sz w:val="24"/>
          <w:lang w:val="es-CL"/>
        </w:rPr>
        <w:t>a</w:t>
      </w:r>
      <w:r w:rsidRPr="00AA2A6F">
        <w:rPr>
          <w:sz w:val="24"/>
          <w:lang w:val="es-CL"/>
        </w:rPr>
        <w:t xml:space="preserve">r materiales en formato accesible para personas con discapacidades </w:t>
      </w:r>
      <w:r w:rsidRPr="00AA2A6F" w:rsidR="00F6458D">
        <w:rPr>
          <w:sz w:val="24"/>
          <w:lang w:val="es-CL"/>
        </w:rPr>
        <w:t>(Braille, l</w:t>
      </w:r>
      <w:r w:rsidRPr="00AA2A6F">
        <w:rPr>
          <w:sz w:val="24"/>
          <w:lang w:val="es-CL"/>
        </w:rPr>
        <w:t>etra</w:t>
      </w:r>
      <w:r w:rsidRPr="00AA2A6F" w:rsidR="00F6458D">
        <w:rPr>
          <w:sz w:val="24"/>
          <w:lang w:val="es-CL"/>
        </w:rPr>
        <w:t xml:space="preserve"> </w:t>
      </w:r>
      <w:r w:rsidRPr="00AA2A6F">
        <w:rPr>
          <w:sz w:val="24"/>
          <w:lang w:val="es-CL"/>
        </w:rPr>
        <w:t>grande</w:t>
      </w:r>
      <w:r w:rsidRPr="00AA2A6F" w:rsidR="00F6458D">
        <w:rPr>
          <w:sz w:val="24"/>
          <w:lang w:val="es-CL"/>
        </w:rPr>
        <w:t>,</w:t>
      </w:r>
      <w:r w:rsidRPr="00AA2A6F">
        <w:rPr>
          <w:sz w:val="24"/>
          <w:lang w:val="es-CL"/>
        </w:rPr>
        <w:t xml:space="preserve"> archivos electrónicos</w:t>
      </w:r>
      <w:r w:rsidR="00AA2A6F">
        <w:rPr>
          <w:sz w:val="24"/>
          <w:lang w:val="es-CL"/>
        </w:rPr>
        <w:t xml:space="preserve"> o</w:t>
      </w:r>
      <w:r w:rsidRPr="00AA2A6F">
        <w:rPr>
          <w:sz w:val="24"/>
          <w:lang w:val="es-CL"/>
        </w:rPr>
        <w:t xml:space="preserve"> formato de audio</w:t>
      </w:r>
      <w:r w:rsidRPr="00AA2A6F" w:rsidR="00F6458D">
        <w:rPr>
          <w:sz w:val="24"/>
          <w:lang w:val="es-CL"/>
        </w:rPr>
        <w:t xml:space="preserve">), </w:t>
      </w:r>
      <w:r w:rsidRPr="00AA2A6F" w:rsidR="00E579FC">
        <w:rPr>
          <w:sz w:val="24"/>
          <w:lang w:val="es-CL"/>
        </w:rPr>
        <w:t xml:space="preserve">envíe un correo electrónico a </w:t>
      </w:r>
      <w:hyperlink r:id="rId11" w:history="1">
        <w:r w:rsidRPr="00AA2A6F" w:rsidR="0012110B">
          <w:rPr>
            <w:rStyle w:val="Hyperlink"/>
            <w:sz w:val="24"/>
            <w:lang w:val="es-CL"/>
          </w:rPr>
          <w:t>fcc504@fcc.gov</w:t>
        </w:r>
      </w:hyperlink>
      <w:r w:rsidRPr="00AA2A6F" w:rsidR="00F6458D">
        <w:rPr>
          <w:sz w:val="24"/>
          <w:lang w:val="es-CL"/>
        </w:rPr>
        <w:t xml:space="preserve"> o</w:t>
      </w:r>
      <w:r w:rsidRPr="00AA2A6F" w:rsidR="00E579FC">
        <w:rPr>
          <w:sz w:val="24"/>
          <w:lang w:val="es-CL"/>
        </w:rPr>
        <w:t xml:space="preserve"> llame a la Oficina de Asuntos Gubernamentales y del Consumidor (</w:t>
      </w:r>
      <w:r w:rsidRPr="00AA2A6F" w:rsidR="00F6458D">
        <w:rPr>
          <w:i/>
          <w:iCs/>
          <w:sz w:val="24"/>
          <w:lang w:val="es-CL"/>
        </w:rPr>
        <w:t>Consumer</w:t>
      </w:r>
      <w:r w:rsidRPr="00AA2A6F" w:rsidR="00F6458D">
        <w:rPr>
          <w:i/>
          <w:iCs/>
          <w:sz w:val="24"/>
          <w:lang w:val="es-CL"/>
        </w:rPr>
        <w:t xml:space="preserve"> &amp; </w:t>
      </w:r>
      <w:r w:rsidRPr="00AA2A6F" w:rsidR="00F6458D">
        <w:rPr>
          <w:i/>
          <w:iCs/>
          <w:sz w:val="24"/>
          <w:lang w:val="es-CL"/>
        </w:rPr>
        <w:t>Governmental</w:t>
      </w:r>
      <w:r w:rsidRPr="00AA2A6F" w:rsidR="00F6458D">
        <w:rPr>
          <w:i/>
          <w:iCs/>
          <w:sz w:val="24"/>
          <w:lang w:val="es-CL"/>
        </w:rPr>
        <w:t xml:space="preserve"> </w:t>
      </w:r>
      <w:r w:rsidRPr="00AA2A6F" w:rsidR="00F6458D">
        <w:rPr>
          <w:i/>
          <w:iCs/>
          <w:sz w:val="24"/>
          <w:lang w:val="es-CL"/>
        </w:rPr>
        <w:t>Affairs</w:t>
      </w:r>
      <w:r w:rsidRPr="00AA2A6F" w:rsidR="00F6458D">
        <w:rPr>
          <w:i/>
          <w:iCs/>
          <w:sz w:val="24"/>
          <w:lang w:val="es-CL"/>
        </w:rPr>
        <w:t xml:space="preserve"> Bureau</w:t>
      </w:r>
      <w:r w:rsidRPr="00AA2A6F" w:rsidR="00E579FC">
        <w:rPr>
          <w:sz w:val="24"/>
          <w:lang w:val="es-CL"/>
        </w:rPr>
        <w:t>, en inglés)</w:t>
      </w:r>
      <w:r w:rsidRPr="00AA2A6F" w:rsidR="00F6458D">
        <w:rPr>
          <w:sz w:val="24"/>
          <w:lang w:val="es-CL"/>
        </w:rPr>
        <w:t xml:space="preserve"> a</w:t>
      </w:r>
      <w:r w:rsidRPr="00AA2A6F" w:rsidR="00E579FC">
        <w:rPr>
          <w:sz w:val="24"/>
          <w:lang w:val="es-CL"/>
        </w:rPr>
        <w:t>l</w:t>
      </w:r>
      <w:r w:rsidRPr="00AA2A6F" w:rsidR="00F6458D">
        <w:rPr>
          <w:sz w:val="24"/>
          <w:lang w:val="es-CL"/>
        </w:rPr>
        <w:t xml:space="preserve"> (202) 418-0530 (vo</w:t>
      </w:r>
      <w:r w:rsidRPr="00AA2A6F" w:rsidR="00E579FC">
        <w:rPr>
          <w:sz w:val="24"/>
          <w:lang w:val="es-CL"/>
        </w:rPr>
        <w:t>z</w:t>
      </w:r>
      <w:r w:rsidRPr="00AA2A6F" w:rsidR="00F6458D">
        <w:rPr>
          <w:sz w:val="24"/>
          <w:lang w:val="es-CL"/>
        </w:rPr>
        <w:t xml:space="preserve">), (202) 418-0432 (TTY). </w:t>
      </w:r>
      <w:r w:rsidRPr="00E579FC" w:rsidR="00E579FC">
        <w:rPr>
          <w:sz w:val="24"/>
          <w:lang w:val="es-CL"/>
        </w:rPr>
        <w:t>También puede contactarse con la oficina de aplicación de normas (</w:t>
      </w:r>
      <w:r w:rsidRPr="00E579FC" w:rsidR="00F6458D">
        <w:rPr>
          <w:i/>
          <w:iCs/>
          <w:sz w:val="24"/>
          <w:lang w:val="es-CL"/>
        </w:rPr>
        <w:t>Enforcement</w:t>
      </w:r>
      <w:r w:rsidRPr="00E579FC" w:rsidR="00F6458D">
        <w:rPr>
          <w:i/>
          <w:iCs/>
          <w:sz w:val="24"/>
          <w:lang w:val="es-CL"/>
        </w:rPr>
        <w:t xml:space="preserve"> Bureau</w:t>
      </w:r>
      <w:r w:rsidRPr="00E579FC" w:rsidR="00E579FC">
        <w:rPr>
          <w:sz w:val="24"/>
          <w:lang w:val="es-CL"/>
        </w:rPr>
        <w:t>, en inglés)</w:t>
      </w:r>
      <w:r w:rsidRPr="00E579FC" w:rsidR="00F6458D">
        <w:rPr>
          <w:sz w:val="24"/>
          <w:lang w:val="es-CL"/>
        </w:rPr>
        <w:t xml:space="preserve"> </w:t>
      </w:r>
      <w:r w:rsidRPr="00E579FC" w:rsidR="00E579FC">
        <w:rPr>
          <w:sz w:val="24"/>
          <w:lang w:val="es-CL"/>
        </w:rPr>
        <w:t>en su línea</w:t>
      </w:r>
      <w:r w:rsidRPr="00E579FC" w:rsidR="00F6458D">
        <w:rPr>
          <w:sz w:val="24"/>
          <w:lang w:val="es-CL"/>
        </w:rPr>
        <w:t xml:space="preserve"> TTY</w:t>
      </w:r>
      <w:r w:rsidRPr="00E579FC" w:rsidR="00E579FC">
        <w:rPr>
          <w:sz w:val="24"/>
          <w:lang w:val="es-CL"/>
        </w:rPr>
        <w:t>:</w:t>
      </w:r>
      <w:r w:rsidRPr="00E579FC" w:rsidR="00F6458D">
        <w:rPr>
          <w:sz w:val="24"/>
          <w:lang w:val="es-CL"/>
        </w:rPr>
        <w:t xml:space="preserve"> (202) 418-1148 </w:t>
      </w:r>
      <w:r w:rsidRPr="00E579FC" w:rsidR="00E579FC">
        <w:rPr>
          <w:sz w:val="24"/>
          <w:lang w:val="es-CL"/>
        </w:rPr>
        <w:t xml:space="preserve">para obtener más información sobre este aviso de cumplimiento de normas </w:t>
      </w:r>
      <w:r w:rsidR="00E579FC">
        <w:rPr>
          <w:sz w:val="24"/>
          <w:lang w:val="es-CL"/>
        </w:rPr>
        <w:t>(</w:t>
      </w:r>
      <w:r w:rsidRPr="00AA2A6F" w:rsidR="00F6458D">
        <w:rPr>
          <w:i/>
          <w:iCs/>
          <w:sz w:val="24"/>
          <w:lang w:val="es-CL"/>
        </w:rPr>
        <w:t>Enforcement</w:t>
      </w:r>
      <w:r w:rsidRPr="00AA2A6F" w:rsidR="00F6458D">
        <w:rPr>
          <w:i/>
          <w:iCs/>
          <w:sz w:val="24"/>
          <w:lang w:val="es-CL"/>
        </w:rPr>
        <w:t xml:space="preserve"> </w:t>
      </w:r>
      <w:r w:rsidRPr="00AA2A6F" w:rsidR="00F6458D">
        <w:rPr>
          <w:i/>
          <w:iCs/>
          <w:sz w:val="24"/>
          <w:lang w:val="es-CL"/>
        </w:rPr>
        <w:t>Advisory</w:t>
      </w:r>
      <w:r w:rsidR="00E579FC">
        <w:rPr>
          <w:sz w:val="24"/>
          <w:lang w:val="es-CL"/>
        </w:rPr>
        <w:t xml:space="preserve">, en inglés) o con la </w:t>
      </w:r>
      <w:r w:rsidRPr="00E579FC" w:rsidR="00F6458D">
        <w:rPr>
          <w:sz w:val="24"/>
          <w:lang w:val="es-CL"/>
        </w:rPr>
        <w:t xml:space="preserve">FCC </w:t>
      </w:r>
      <w:r w:rsidR="00E579FC">
        <w:rPr>
          <w:sz w:val="24"/>
          <w:lang w:val="es-CL"/>
        </w:rPr>
        <w:t xml:space="preserve">en su línea </w:t>
      </w:r>
      <w:r w:rsidRPr="00E579FC" w:rsidR="00F6458D">
        <w:rPr>
          <w:sz w:val="24"/>
          <w:lang w:val="es-CL"/>
        </w:rPr>
        <w:t>TTY</w:t>
      </w:r>
      <w:r w:rsidR="00E579FC">
        <w:rPr>
          <w:sz w:val="24"/>
          <w:lang w:val="es-CL"/>
        </w:rPr>
        <w:t>:</w:t>
      </w:r>
      <w:r w:rsidRPr="00E579FC" w:rsidR="00F6458D">
        <w:rPr>
          <w:sz w:val="24"/>
          <w:lang w:val="es-CL"/>
        </w:rPr>
        <w:t xml:space="preserve"> 1-888-TELL-FCC (1-888-835-5322) </w:t>
      </w:r>
      <w:r w:rsidR="00E579FC">
        <w:rPr>
          <w:sz w:val="24"/>
          <w:lang w:val="es-CL"/>
        </w:rPr>
        <w:t>para obtener más información sobre las normas relacionadas con venta de equipos.</w:t>
      </w:r>
    </w:p>
    <w:sectPr w:rsidSect="000E588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49DD3204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45D49DB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097FE71C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13B95B62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543E1" w14:paraId="551AC690" w14:textId="77777777">
      <w:r>
        <w:separator/>
      </w:r>
    </w:p>
  </w:footnote>
  <w:footnote w:type="continuationSeparator" w:id="1">
    <w:p w:rsidR="000543E1" w14:paraId="661B934F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0543E1" w:rsidP="00910F12" w14:paraId="532D065F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4C1534" w:rsidRPr="00585BE5" w14:paraId="6656CD37" w14:textId="40D435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76D78" w:rsidR="00C76D78">
        <w:rPr>
          <w:i/>
        </w:rPr>
        <w:t>Broadband Telecommunications Network, Corp.</w:t>
      </w:r>
      <w:r w:rsidR="00160460">
        <w:rPr>
          <w:i/>
        </w:rPr>
        <w:t xml:space="preserve"> (d/b/a Integra Wireless)</w:t>
      </w:r>
      <w:r w:rsidRPr="00C76D78" w:rsidR="00C76D78">
        <w:rPr>
          <w:i/>
        </w:rPr>
        <w:t>, San Juan, Puerto Rico</w:t>
      </w:r>
      <w:r w:rsidR="00C76D78">
        <w:t>, Notice of Apparent Liability for Forfeiture and Order, DA 19-</w:t>
      </w:r>
      <w:r w:rsidR="00160460">
        <w:t>802</w:t>
      </w:r>
      <w:r w:rsidR="00C76D78">
        <w:t xml:space="preserve"> (EB 2019)</w:t>
      </w:r>
      <w:r w:rsidR="00EA677E">
        <w:t xml:space="preserve"> (pr</w:t>
      </w:r>
      <w:r w:rsidR="00CF788E">
        <w:t xml:space="preserve">opone </w:t>
      </w:r>
      <w:r w:rsidR="00CF788E">
        <w:t>multa</w:t>
      </w:r>
      <w:r w:rsidR="00CF788E">
        <w:t xml:space="preserve"> por</w:t>
      </w:r>
      <w:r w:rsidR="00EA677E">
        <w:t xml:space="preserve"> $25,000)</w:t>
      </w:r>
      <w:r w:rsidR="00C76D78">
        <w:t xml:space="preserve">; </w:t>
      </w:r>
      <w:r w:rsidR="00C76D78">
        <w:rPr>
          <w:i/>
        </w:rPr>
        <w:t>CA Solutions, Inc.</w:t>
      </w:r>
      <w:r w:rsidR="00160460">
        <w:rPr>
          <w:i/>
        </w:rPr>
        <w:t>, Caguas, Puerto Rico (d/b/a Boom Net)</w:t>
      </w:r>
      <w:r w:rsidR="00C76D78">
        <w:rPr>
          <w:i/>
        </w:rPr>
        <w:t xml:space="preserve"> and Boom Net, LLC, Caguas, Puerto Rico</w:t>
      </w:r>
      <w:r w:rsidR="00160460">
        <w:rPr>
          <w:i/>
        </w:rPr>
        <w:t xml:space="preserve"> (d/b/a Boom Net)</w:t>
      </w:r>
      <w:r w:rsidR="00C76D78">
        <w:t>, Notice of Apparent Liability for Forfeiture and Order, DA 19-</w:t>
      </w:r>
      <w:r w:rsidR="00160460">
        <w:t xml:space="preserve">801 </w:t>
      </w:r>
      <w:r w:rsidR="00C76D78">
        <w:t>(EB 2019)</w:t>
      </w:r>
      <w:r w:rsidR="00EA677E">
        <w:t xml:space="preserve"> (pro</w:t>
      </w:r>
      <w:r w:rsidR="00CF788E">
        <w:t xml:space="preserve">pone </w:t>
      </w:r>
      <w:r w:rsidR="00CF788E">
        <w:t>multa</w:t>
      </w:r>
      <w:r w:rsidR="00CF788E">
        <w:t xml:space="preserve"> por</w:t>
      </w:r>
      <w:r w:rsidR="00EA677E">
        <w:t xml:space="preserve"> $25,000)</w:t>
      </w:r>
      <w:r w:rsidR="00C76D78">
        <w:t xml:space="preserve">; </w:t>
      </w:r>
      <w:r w:rsidRPr="00C76D78" w:rsidR="00C76D78">
        <w:rPr>
          <w:i/>
        </w:rPr>
        <w:t>Caribbean Network Solutions, Inc., Bayamon, Puerto Rico</w:t>
      </w:r>
      <w:r w:rsidR="00C76D78">
        <w:t>, Notice of Apparent Liability for Forfeiture and Order, DA 19-433 (EB 2019)</w:t>
      </w:r>
      <w:r w:rsidR="00EA677E">
        <w:t xml:space="preserve"> (propo</w:t>
      </w:r>
      <w:r w:rsidR="00CF788E">
        <w:t xml:space="preserve">ne </w:t>
      </w:r>
      <w:r w:rsidR="00CF788E">
        <w:t>multa</w:t>
      </w:r>
      <w:r w:rsidR="00CF788E">
        <w:t xml:space="preserve"> por</w:t>
      </w:r>
      <w:r w:rsidR="00EA677E">
        <w:t xml:space="preserve"> $20,000)</w:t>
      </w:r>
      <w:r w:rsidR="00C76D78">
        <w:t xml:space="preserve">; </w:t>
      </w:r>
      <w:r w:rsidRPr="00C76D78" w:rsidR="00C76D78">
        <w:rPr>
          <w:i/>
        </w:rPr>
        <w:t>WinPR</w:t>
      </w:r>
      <w:r w:rsidRPr="00C76D78" w:rsidR="00C76D78">
        <w:rPr>
          <w:i/>
        </w:rPr>
        <w:t>, Inc., San Juan, Puerto Rico</w:t>
      </w:r>
      <w:r w:rsidR="00C76D78">
        <w:t>, Notice of Apparent Liability for Forfeiture and Order, DA 19</w:t>
      </w:r>
      <w:r w:rsidR="00160460">
        <w:t>-803</w:t>
      </w:r>
      <w:r w:rsidR="00C76D78">
        <w:t xml:space="preserve"> (EB 2019)</w:t>
      </w:r>
      <w:r w:rsidR="00EA677E">
        <w:t xml:space="preserve"> (propo</w:t>
      </w:r>
      <w:r w:rsidR="00CF788E">
        <w:t xml:space="preserve">ne </w:t>
      </w:r>
      <w:r w:rsidR="00CF788E">
        <w:t>multa</w:t>
      </w:r>
      <w:r w:rsidR="00CF788E">
        <w:t xml:space="preserve"> por</w:t>
      </w:r>
      <w:r w:rsidR="00EA677E">
        <w:t xml:space="preserve"> $25,000)</w:t>
      </w:r>
      <w:r w:rsidR="00C76D78">
        <w:t xml:space="preserve">.  </w:t>
      </w:r>
    </w:p>
  </w:footnote>
  <w:footnote w:id="4">
    <w:p w:rsidR="00B5148F" w14:paraId="2B0BAF2B" w14:textId="3CDF5CD7">
      <w:pPr>
        <w:pStyle w:val="FootnoteText"/>
      </w:pPr>
      <w:r>
        <w:rPr>
          <w:rStyle w:val="FootnoteReference"/>
        </w:rPr>
        <w:footnoteRef/>
      </w:r>
      <w:r w:rsidRPr="00697FD6">
        <w:rPr>
          <w:lang w:val="es-CL"/>
        </w:rPr>
        <w:t xml:space="preserve"> A</w:t>
      </w:r>
      <w:r w:rsidRPr="00697FD6" w:rsidR="00697FD6">
        <w:rPr>
          <w:lang w:val="es-CL"/>
        </w:rPr>
        <w:t xml:space="preserve">unque las sanciones recientes se centran en la estación de radar meteorológico </w:t>
      </w:r>
      <w:r w:rsidRPr="00697FD6" w:rsidR="00697FD6">
        <w:rPr>
          <w:lang w:val="es-CL"/>
        </w:rPr>
        <w:t>doppler</w:t>
      </w:r>
      <w:r w:rsidRPr="00697FD6" w:rsidR="00697FD6">
        <w:rPr>
          <w:lang w:val="es-CL"/>
        </w:rPr>
        <w:t xml:space="preserve"> de terminal en San Juan Puerto Rico, la oficina de aplicación de normas (</w:t>
      </w:r>
      <w:r w:rsidRPr="00697FD6">
        <w:rPr>
          <w:i/>
          <w:iCs/>
          <w:lang w:val="es-CL"/>
        </w:rPr>
        <w:t>Enforcement</w:t>
      </w:r>
      <w:r w:rsidRPr="00697FD6">
        <w:rPr>
          <w:i/>
          <w:iCs/>
          <w:lang w:val="es-CL"/>
        </w:rPr>
        <w:t xml:space="preserve"> Bureau</w:t>
      </w:r>
      <w:r w:rsidRPr="00697FD6" w:rsidR="00697FD6">
        <w:rPr>
          <w:lang w:val="es-CL"/>
        </w:rPr>
        <w:t>, en ingl</w:t>
      </w:r>
      <w:r w:rsidR="00697FD6">
        <w:rPr>
          <w:lang w:val="es-CL"/>
        </w:rPr>
        <w:t>és)</w:t>
      </w:r>
      <w:r w:rsidRPr="00697FD6">
        <w:rPr>
          <w:lang w:val="es-CL"/>
        </w:rPr>
        <w:t xml:space="preserve"> </w:t>
      </w:r>
      <w:r w:rsidR="00697FD6">
        <w:rPr>
          <w:lang w:val="es-CL"/>
        </w:rPr>
        <w:t xml:space="preserve">ha sancionado </w:t>
      </w:r>
      <w:r w:rsidR="001223BA">
        <w:rPr>
          <w:lang w:val="es-CL"/>
        </w:rPr>
        <w:t xml:space="preserve">previamente </w:t>
      </w:r>
      <w:r w:rsidR="00697FD6">
        <w:rPr>
          <w:lang w:val="es-CL"/>
        </w:rPr>
        <w:t>a operadores de equipos que han causado interferencia a</w:t>
      </w:r>
      <w:r w:rsidRPr="00697FD6" w:rsidR="00697FD6">
        <w:rPr>
          <w:lang w:val="es-CL"/>
        </w:rPr>
        <w:t xml:space="preserve"> estaci</w:t>
      </w:r>
      <w:r w:rsidR="001223BA">
        <w:rPr>
          <w:lang w:val="es-CL"/>
        </w:rPr>
        <w:t>ones</w:t>
      </w:r>
      <w:r w:rsidRPr="00697FD6" w:rsidR="00697FD6">
        <w:rPr>
          <w:lang w:val="es-CL"/>
        </w:rPr>
        <w:t xml:space="preserve"> de radar meteorológico </w:t>
      </w:r>
      <w:r w:rsidRPr="00697FD6" w:rsidR="00697FD6">
        <w:rPr>
          <w:lang w:val="es-CL"/>
        </w:rPr>
        <w:t>doppler</w:t>
      </w:r>
      <w:r w:rsidRPr="00697FD6" w:rsidR="00697FD6">
        <w:rPr>
          <w:lang w:val="es-CL"/>
        </w:rPr>
        <w:t xml:space="preserve"> de terminal</w:t>
      </w:r>
      <w:r w:rsidR="00697FD6">
        <w:rPr>
          <w:lang w:val="es-CL"/>
        </w:rPr>
        <w:t xml:space="preserve"> </w:t>
      </w:r>
      <w:r w:rsidR="001223BA">
        <w:rPr>
          <w:lang w:val="es-CL"/>
        </w:rPr>
        <w:t>en otras partes del país</w:t>
      </w:r>
      <w:r w:rsidRPr="00697FD6">
        <w:rPr>
          <w:lang w:val="es-CL"/>
        </w:rPr>
        <w:t xml:space="preserve">.  </w:t>
      </w:r>
      <w:r w:rsidR="001223BA">
        <w:rPr>
          <w:i/>
        </w:rPr>
        <w:t>Vea</w:t>
      </w:r>
      <w:r>
        <w:t xml:space="preserve">, </w:t>
      </w:r>
      <w:r>
        <w:rPr>
          <w:i/>
        </w:rPr>
        <w:t>e.g.</w:t>
      </w:r>
      <w:r>
        <w:t xml:space="preserve">, </w:t>
      </w:r>
      <w:r>
        <w:rPr>
          <w:i/>
        </w:rPr>
        <w:t>Towerstream Corporation, Middletown, Rhode Island</w:t>
      </w:r>
      <w:r>
        <w:t xml:space="preserve">, Notice of Apparent Liability for Forfeiture and Order, 28 FCC </w:t>
      </w:r>
      <w:r>
        <w:t>Rcd</w:t>
      </w:r>
      <w:r>
        <w:t xml:space="preserve"> 11604 (2013), </w:t>
      </w:r>
      <w:r>
        <w:rPr>
          <w:i/>
        </w:rPr>
        <w:t>terminated in</w:t>
      </w:r>
      <w:r>
        <w:t xml:space="preserve"> Order,</w:t>
      </w:r>
      <w:r>
        <w:rPr>
          <w:i/>
        </w:rPr>
        <w:t xml:space="preserve"> </w:t>
      </w:r>
      <w:r>
        <w:t xml:space="preserve">31 FCC </w:t>
      </w:r>
      <w:r>
        <w:t>Rcd</w:t>
      </w:r>
      <w:r>
        <w:t xml:space="preserve"> 8530 (EB 2016); </w:t>
      </w:r>
      <w:r>
        <w:rPr>
          <w:i/>
        </w:rPr>
        <w:t>Directlink</w:t>
      </w:r>
      <w:r>
        <w:rPr>
          <w:i/>
        </w:rPr>
        <w:t>, LLC, Parker, Colorado</w:t>
      </w:r>
      <w:r>
        <w:t xml:space="preserve">, Notice of Apparent Liability for Forfeiture, 29 FCC </w:t>
      </w:r>
      <w:r>
        <w:t>Rcd</w:t>
      </w:r>
      <w:r>
        <w:t xml:space="preserve"> 1809 (EB 2014), </w:t>
      </w:r>
      <w:r>
        <w:rPr>
          <w:i/>
        </w:rPr>
        <w:t>forfeiture ordered</w:t>
      </w:r>
      <w:r>
        <w:t xml:space="preserve">, Forfeiture Order, 29 FCC </w:t>
      </w:r>
      <w:r>
        <w:t>Rcd</w:t>
      </w:r>
      <w:r>
        <w:t xml:space="preserve"> 1809 (EB 2014), </w:t>
      </w:r>
      <w:r>
        <w:rPr>
          <w:i/>
        </w:rPr>
        <w:t>recons granted in part</w:t>
      </w:r>
      <w:r>
        <w:t xml:space="preserve"> 30 FCC </w:t>
      </w:r>
      <w:r>
        <w:t>Rcd</w:t>
      </w:r>
      <w:r>
        <w:t xml:space="preserve"> 2222 (EB 2015); </w:t>
      </w:r>
      <w:r>
        <w:rPr>
          <w:i/>
        </w:rPr>
        <w:t>Rapidweave</w:t>
      </w:r>
      <w:r>
        <w:rPr>
          <w:i/>
        </w:rPr>
        <w:t>, LLC, Saratoga Springs, Utah</w:t>
      </w:r>
      <w:r>
        <w:t xml:space="preserve">, Notice of Apparent Liability for Forfeiture and Order, 26 FCC </w:t>
      </w:r>
      <w:r>
        <w:t>Rcd</w:t>
      </w:r>
      <w:r>
        <w:t xml:space="preserve"> 10678 (EB 2011), </w:t>
      </w:r>
      <w:r>
        <w:rPr>
          <w:i/>
        </w:rPr>
        <w:t>forfeiture ordered</w:t>
      </w:r>
      <w:r w:rsidR="00981F92">
        <w:t>, Forfeiture Order,</w:t>
      </w:r>
      <w:r>
        <w:rPr>
          <w:i/>
        </w:rPr>
        <w:t xml:space="preserve"> </w:t>
      </w:r>
      <w:r>
        <w:t xml:space="preserve">29 FCC </w:t>
      </w:r>
      <w:r>
        <w:t>Rcd</w:t>
      </w:r>
      <w:r>
        <w:t xml:space="preserve"> 1109 (EB 2014).</w:t>
      </w:r>
    </w:p>
  </w:footnote>
  <w:footnote w:id="5">
    <w:p w:rsidR="00CE5089" w14:paraId="7A4BC595" w14:textId="77777777">
      <w:pPr>
        <w:pStyle w:val="FootnoteText"/>
      </w:pPr>
      <w:r>
        <w:rPr>
          <w:rStyle w:val="FootnoteReference"/>
        </w:rPr>
        <w:footnoteRef/>
      </w:r>
      <w:r>
        <w:t xml:space="preserve"> 47 CFR §§ 15.1, </w:t>
      </w:r>
      <w:r w:rsidRPr="00CE5089">
        <w:rPr>
          <w:i/>
        </w:rPr>
        <w:t>et seq</w:t>
      </w:r>
      <w:r>
        <w:t>.</w:t>
      </w:r>
    </w:p>
  </w:footnote>
  <w:footnote w:id="6">
    <w:p w:rsidR="00CE5089" w:rsidRPr="00CE5089" w14:paraId="47E7D17A" w14:textId="3B0D8CB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40EE6">
        <w:rPr>
          <w:i/>
        </w:rPr>
        <w:t>Vea</w:t>
      </w:r>
      <w:r>
        <w:t xml:space="preserve"> 47 CFR </w:t>
      </w:r>
      <w:r w:rsidR="005A19E4">
        <w:t>§</w:t>
      </w:r>
      <w:r>
        <w:t xml:space="preserve">§ 15.401–15.407.  </w:t>
      </w:r>
    </w:p>
  </w:footnote>
  <w:footnote w:id="7">
    <w:p w:rsidR="00FE4FDB" w:rsidRPr="00FE4FDB" w14:paraId="235C01F9" w14:textId="653A93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40EE6">
        <w:rPr>
          <w:i/>
        </w:rPr>
        <w:t>Vea</w:t>
      </w:r>
      <w:r>
        <w:t xml:space="preserve"> </w:t>
      </w:r>
      <w:bookmarkStart w:id="1" w:name="_Hlk16064160"/>
      <w:r w:rsidRPr="00FE4FDB">
        <w:rPr>
          <w:i/>
        </w:rPr>
        <w:t xml:space="preserve">Revision of Parts 2 and 15 </w:t>
      </w:r>
      <w:r w:rsidR="007E5C83">
        <w:rPr>
          <w:i/>
        </w:rPr>
        <w:t>o</w:t>
      </w:r>
      <w:r w:rsidRPr="00FE4FDB">
        <w:rPr>
          <w:i/>
        </w:rPr>
        <w:t>f the Commission’s Rules to Permit Unlicensed National Information Infrastructure (U-NII) Devices in the 5 GHz Band</w:t>
      </w:r>
      <w:bookmarkEnd w:id="1"/>
      <w:r>
        <w:t xml:space="preserve">, Report and Order, 18 FCC </w:t>
      </w:r>
      <w:r>
        <w:t>Rcd</w:t>
      </w:r>
      <w:r>
        <w:t xml:space="preserve"> 24484, 24495 (2003)</w:t>
      </w:r>
      <w:r w:rsidR="00564DCC">
        <w:t>.</w:t>
      </w:r>
      <w:r>
        <w:t xml:space="preserve"> </w:t>
      </w:r>
    </w:p>
  </w:footnote>
  <w:footnote w:id="8">
    <w:p w:rsidR="00C92BC6" w:rsidRPr="00440EE6" w14:paraId="1BC48055" w14:textId="1E443351">
      <w:pPr>
        <w:pStyle w:val="FootnoteText"/>
        <w:rPr>
          <w:lang w:val="es-CL"/>
        </w:rPr>
      </w:pPr>
      <w:r>
        <w:rPr>
          <w:rStyle w:val="FootnoteReference"/>
        </w:rPr>
        <w:footnoteRef/>
      </w:r>
      <w:r w:rsidRPr="00440EE6">
        <w:rPr>
          <w:lang w:val="es-CL"/>
        </w:rPr>
        <w:t xml:space="preserve"> </w:t>
      </w:r>
      <w:r w:rsidRPr="00440EE6" w:rsidR="00440EE6">
        <w:rPr>
          <w:lang w:val="es-CL"/>
        </w:rPr>
        <w:t>Numerosos fabricantes de equipos</w:t>
      </w:r>
      <w:r w:rsidRPr="00440EE6">
        <w:rPr>
          <w:lang w:val="es-CL"/>
        </w:rPr>
        <w:t xml:space="preserve"> U-NII </w:t>
      </w:r>
      <w:r w:rsidRPr="00440EE6" w:rsidR="00440EE6">
        <w:rPr>
          <w:lang w:val="es-CL"/>
        </w:rPr>
        <w:t xml:space="preserve">usan el ajuste de código país, configurando automáticamente </w:t>
      </w:r>
      <w:r w:rsidR="00440EE6">
        <w:rPr>
          <w:lang w:val="es-CL"/>
        </w:rPr>
        <w:t xml:space="preserve">los </w:t>
      </w:r>
      <w:r w:rsidRPr="00440EE6" w:rsidR="00440EE6">
        <w:rPr>
          <w:lang w:val="es-CL"/>
        </w:rPr>
        <w:t>equipos para que operen dentro de los parámetros aplicables a dicho país. Es así como fija</w:t>
      </w:r>
      <w:r w:rsidR="00440EE6">
        <w:rPr>
          <w:lang w:val="es-CL"/>
        </w:rPr>
        <w:t>r</w:t>
      </w:r>
      <w:r w:rsidRPr="00440EE6" w:rsidR="00440EE6">
        <w:rPr>
          <w:lang w:val="es-CL"/>
        </w:rPr>
        <w:t xml:space="preserve"> el código país de Estados Unidos durante la configuración inicia</w:t>
      </w:r>
      <w:r w:rsidR="00440EE6">
        <w:rPr>
          <w:lang w:val="es-CL"/>
        </w:rPr>
        <w:t>l de un equipo</w:t>
      </w:r>
      <w:r w:rsidRPr="00440EE6">
        <w:rPr>
          <w:lang w:val="es-CL"/>
        </w:rPr>
        <w:t xml:space="preserve"> U-NII </w:t>
      </w:r>
      <w:r w:rsidRPr="00440EE6" w:rsidR="00440EE6">
        <w:rPr>
          <w:lang w:val="es-CL"/>
        </w:rPr>
        <w:t>e</w:t>
      </w:r>
      <w:r w:rsidR="00440EE6">
        <w:rPr>
          <w:lang w:val="es-CL"/>
        </w:rPr>
        <w:t xml:space="preserve">s a menudo una forma simple de activar la función de </w:t>
      </w:r>
      <w:r w:rsidRPr="00440EE6" w:rsidR="00440EE6">
        <w:rPr>
          <w:i/>
          <w:iCs/>
          <w:lang w:val="es-CL"/>
        </w:rPr>
        <w:t>Selección dinámica de frecuencia</w:t>
      </w:r>
      <w:r w:rsidR="00440EE6">
        <w:rPr>
          <w:lang w:val="es-CL"/>
        </w:rPr>
        <w:t xml:space="preserve"> (</w:t>
      </w:r>
      <w:r w:rsidRPr="00440EE6">
        <w:rPr>
          <w:i/>
          <w:iCs/>
          <w:lang w:val="es-CL"/>
        </w:rPr>
        <w:t xml:space="preserve">Dynamic </w:t>
      </w:r>
      <w:r w:rsidRPr="00440EE6">
        <w:rPr>
          <w:i/>
          <w:iCs/>
          <w:lang w:val="es-CL"/>
        </w:rPr>
        <w:t>Frequency</w:t>
      </w:r>
      <w:r w:rsidRPr="00440EE6">
        <w:rPr>
          <w:i/>
          <w:iCs/>
          <w:lang w:val="es-CL"/>
        </w:rPr>
        <w:t xml:space="preserve"> </w:t>
      </w:r>
      <w:r w:rsidRPr="00440EE6">
        <w:rPr>
          <w:i/>
          <w:iCs/>
          <w:lang w:val="es-CL"/>
        </w:rPr>
        <w:t>Selection</w:t>
      </w:r>
      <w:r w:rsidR="00440EE6">
        <w:rPr>
          <w:lang w:val="es-CL"/>
        </w:rPr>
        <w:t>, en inglés).</w:t>
      </w:r>
    </w:p>
  </w:footnote>
  <w:footnote w:id="9">
    <w:p w:rsidR="00E34F30" w:rsidRPr="000C15BE" w:rsidP="00E34F30" w14:paraId="19256BB7" w14:textId="574289CB">
      <w:pPr>
        <w:pStyle w:val="FootnoteText"/>
        <w:rPr>
          <w:lang w:val="es-CL"/>
        </w:rPr>
      </w:pPr>
      <w:r>
        <w:rPr>
          <w:rStyle w:val="FootnoteReference"/>
        </w:rPr>
        <w:footnoteRef/>
      </w:r>
      <w:r w:rsidRPr="000C15BE">
        <w:rPr>
          <w:lang w:val="es-CL"/>
        </w:rPr>
        <w:t xml:space="preserve"> </w:t>
      </w:r>
      <w:r w:rsidRPr="000C15BE" w:rsidR="000C15BE">
        <w:rPr>
          <w:i/>
          <w:lang w:val="es-CL"/>
        </w:rPr>
        <w:t xml:space="preserve">Vea </w:t>
      </w:r>
      <w:r w:rsidRPr="000C15BE">
        <w:rPr>
          <w:lang w:val="es-CL"/>
        </w:rPr>
        <w:t>47 U.S.C. § 333.</w:t>
      </w:r>
    </w:p>
  </w:footnote>
  <w:footnote w:id="10">
    <w:p w:rsidR="00CE5089" w:rsidRPr="003A7573" w:rsidP="00555EA8" w14:paraId="4BA21D3A" w14:textId="57834EB7">
      <w:pPr>
        <w:pStyle w:val="FootnoteText"/>
        <w:rPr>
          <w:lang w:val="es-CL"/>
        </w:rPr>
      </w:pPr>
      <w:r>
        <w:rPr>
          <w:rStyle w:val="FootnoteReference"/>
        </w:rPr>
        <w:footnoteRef/>
      </w:r>
      <w:r w:rsidRPr="000C15BE">
        <w:rPr>
          <w:lang w:val="es-CL"/>
        </w:rPr>
        <w:t xml:space="preserve"> </w:t>
      </w:r>
      <w:r w:rsidRPr="000C15BE" w:rsidR="000C15BE">
        <w:rPr>
          <w:i/>
          <w:lang w:val="es-CL"/>
        </w:rPr>
        <w:t>Vea</w:t>
      </w:r>
      <w:r w:rsidRPr="000C15BE">
        <w:rPr>
          <w:lang w:val="es-CL"/>
        </w:rPr>
        <w:t xml:space="preserve"> 47 CFR § 15.5.  </w:t>
      </w:r>
      <w:r w:rsidRPr="000C15BE" w:rsidR="000C15BE">
        <w:rPr>
          <w:lang w:val="es-CL"/>
        </w:rPr>
        <w:t>Interferencia p</w:t>
      </w:r>
      <w:r w:rsidR="006C0C8C">
        <w:rPr>
          <w:lang w:val="es-CL"/>
        </w:rPr>
        <w:t>erj</w:t>
      </w:r>
      <w:r w:rsidRPr="000C15BE" w:rsidR="000C15BE">
        <w:rPr>
          <w:lang w:val="es-CL"/>
        </w:rPr>
        <w:t>udicial es definida como</w:t>
      </w:r>
      <w:r w:rsidRPr="000C15BE" w:rsidR="00555EA8">
        <w:rPr>
          <w:lang w:val="es-CL"/>
        </w:rPr>
        <w:t xml:space="preserve"> “</w:t>
      </w:r>
      <w:r w:rsidRPr="000C15BE" w:rsidR="000C15BE">
        <w:rPr>
          <w:lang w:val="es-CL"/>
        </w:rPr>
        <w:t xml:space="preserve">toda emisión, radiación o inducción que pone en peligro el </w:t>
      </w:r>
      <w:r w:rsidR="000C15BE">
        <w:rPr>
          <w:lang w:val="es-CL"/>
        </w:rPr>
        <w:t>funcionamiento de</w:t>
      </w:r>
      <w:r w:rsidR="00714A89">
        <w:rPr>
          <w:lang w:val="es-CL"/>
        </w:rPr>
        <w:t xml:space="preserve"> un</w:t>
      </w:r>
      <w:r w:rsidR="000C15BE">
        <w:rPr>
          <w:lang w:val="es-CL"/>
        </w:rPr>
        <w:t xml:space="preserve"> servicio de radionavegación o de otros servicios de seguridad o que degrada seriamente, obstruye o interrumpe repetidamente un servicio de </w:t>
      </w:r>
      <w:r w:rsidR="00D67F70">
        <w:rPr>
          <w:lang w:val="es-CL"/>
        </w:rPr>
        <w:t>radiocomunicaciones.</w:t>
      </w:r>
      <w:r w:rsidR="000C15BE">
        <w:rPr>
          <w:lang w:val="es-CL"/>
        </w:rPr>
        <w:t xml:space="preserve"> ...”</w:t>
      </w:r>
      <w:r w:rsidRPr="000C15BE" w:rsidR="00555EA8">
        <w:rPr>
          <w:lang w:val="es-CL"/>
        </w:rPr>
        <w:t xml:space="preserve"> </w:t>
      </w:r>
      <w:r w:rsidRPr="000C15BE" w:rsidR="00555EA8">
        <w:rPr>
          <w:lang w:val="es-CL"/>
        </w:rPr>
        <w:t>. . . .</w:t>
      </w:r>
      <w:r w:rsidRPr="000C15BE" w:rsidR="00555EA8">
        <w:rPr>
          <w:lang w:val="es-CL"/>
        </w:rPr>
        <w:t xml:space="preserve">” </w:t>
      </w:r>
      <w:r w:rsidRPr="003A7573" w:rsidR="00555EA8">
        <w:rPr>
          <w:lang w:val="es-CL"/>
        </w:rPr>
        <w:t>47 CFR § 15.3(m).</w:t>
      </w:r>
    </w:p>
  </w:footnote>
  <w:footnote w:id="11">
    <w:p w:rsidR="000B05F2" w:rsidRPr="009C7301" w:rsidP="000B05F2" w14:paraId="05DF7FD3" w14:textId="17B3CD06">
      <w:pPr>
        <w:pStyle w:val="FootnoteText"/>
        <w:rPr>
          <w:lang w:val="es-CL"/>
        </w:rPr>
      </w:pPr>
      <w:r>
        <w:rPr>
          <w:rStyle w:val="FootnoteReference"/>
        </w:rPr>
        <w:footnoteRef/>
      </w:r>
      <w:r w:rsidRPr="003C40CB">
        <w:rPr>
          <w:lang w:val="es-CL"/>
        </w:rPr>
        <w:t xml:space="preserve"> 47 CFR § 15.407(i) (“[a]ll </w:t>
      </w:r>
      <w:r w:rsidRPr="003C40CB" w:rsidR="003C40CB">
        <w:rPr>
          <w:lang w:val="es-CL"/>
        </w:rPr>
        <w:t xml:space="preserve">los equipos </w:t>
      </w:r>
      <w:r w:rsidRPr="003C40CB">
        <w:rPr>
          <w:lang w:val="es-CL"/>
        </w:rPr>
        <w:t>U-NII d</w:t>
      </w:r>
      <w:r w:rsidRPr="003C40CB" w:rsidR="003C40CB">
        <w:rPr>
          <w:lang w:val="es-CL"/>
        </w:rPr>
        <w:t>eben contener funciones de seguridad como protección ante modificaciones de software por partes no autorizadas.</w:t>
      </w:r>
      <w:r w:rsidRPr="003C40CB">
        <w:rPr>
          <w:lang w:val="es-CL"/>
        </w:rPr>
        <w:t xml:space="preserve">”).  </w:t>
      </w:r>
      <w:r w:rsidRPr="009C7301" w:rsidR="003C40CB">
        <w:rPr>
          <w:i/>
          <w:kern w:val="28"/>
          <w:lang w:val="es-CL"/>
        </w:rPr>
        <w:t>Vea</w:t>
      </w:r>
      <w:r w:rsidRPr="009C7301">
        <w:rPr>
          <w:i/>
          <w:kern w:val="28"/>
          <w:lang w:val="es-CL"/>
        </w:rPr>
        <w:t xml:space="preserve"> Software Security </w:t>
      </w:r>
      <w:r w:rsidRPr="009C7301">
        <w:rPr>
          <w:i/>
          <w:kern w:val="28"/>
          <w:lang w:val="es-CL"/>
        </w:rPr>
        <w:t>Requirements</w:t>
      </w:r>
      <w:r w:rsidRPr="009C7301">
        <w:rPr>
          <w:i/>
          <w:kern w:val="28"/>
          <w:lang w:val="es-CL"/>
        </w:rPr>
        <w:t xml:space="preserve"> </w:t>
      </w:r>
      <w:r w:rsidRPr="009C7301">
        <w:rPr>
          <w:i/>
          <w:kern w:val="28"/>
          <w:lang w:val="es-CL"/>
        </w:rPr>
        <w:t>for</w:t>
      </w:r>
      <w:r w:rsidRPr="009C7301">
        <w:rPr>
          <w:i/>
          <w:kern w:val="28"/>
          <w:lang w:val="es-CL"/>
        </w:rPr>
        <w:t xml:space="preserve"> U-NII </w:t>
      </w:r>
      <w:r w:rsidRPr="009C7301">
        <w:rPr>
          <w:i/>
          <w:kern w:val="28"/>
          <w:lang w:val="es-CL"/>
        </w:rPr>
        <w:t>Devices</w:t>
      </w:r>
      <w:r w:rsidRPr="009C7301">
        <w:rPr>
          <w:kern w:val="28"/>
          <w:lang w:val="es-CL"/>
        </w:rPr>
        <w:t xml:space="preserve">, </w:t>
      </w:r>
      <w:r w:rsidRPr="009C7301">
        <w:rPr>
          <w:kern w:val="28"/>
          <w:lang w:val="es-CL"/>
        </w:rPr>
        <w:t>Publication</w:t>
      </w:r>
      <w:r w:rsidRPr="009C7301">
        <w:rPr>
          <w:kern w:val="28"/>
          <w:lang w:val="es-CL"/>
        </w:rPr>
        <w:t xml:space="preserve"> No. 594280 D02, FCC, Office </w:t>
      </w:r>
      <w:r w:rsidRPr="009C7301">
        <w:rPr>
          <w:kern w:val="28"/>
          <w:lang w:val="es-CL"/>
        </w:rPr>
        <w:t>of</w:t>
      </w:r>
      <w:r w:rsidRPr="009C7301">
        <w:rPr>
          <w:kern w:val="28"/>
          <w:lang w:val="es-CL"/>
        </w:rPr>
        <w:t xml:space="preserve"> </w:t>
      </w:r>
      <w:r w:rsidRPr="009C7301">
        <w:rPr>
          <w:kern w:val="28"/>
          <w:lang w:val="es-CL"/>
        </w:rPr>
        <w:t>Engineering</w:t>
      </w:r>
      <w:r w:rsidRPr="009C7301">
        <w:rPr>
          <w:kern w:val="28"/>
          <w:lang w:val="es-CL"/>
        </w:rPr>
        <w:t xml:space="preserve"> and </w:t>
      </w:r>
      <w:r w:rsidRPr="009C7301">
        <w:rPr>
          <w:kern w:val="28"/>
          <w:lang w:val="es-CL"/>
        </w:rPr>
        <w:t>Technology</w:t>
      </w:r>
      <w:r w:rsidRPr="009C7301">
        <w:rPr>
          <w:kern w:val="28"/>
          <w:lang w:val="es-CL"/>
        </w:rPr>
        <w:t xml:space="preserve">, </w:t>
      </w:r>
      <w:r w:rsidRPr="009C7301">
        <w:rPr>
          <w:kern w:val="28"/>
          <w:lang w:val="es-CL"/>
        </w:rPr>
        <w:t>Laboratory</w:t>
      </w:r>
      <w:r w:rsidRPr="009C7301">
        <w:rPr>
          <w:kern w:val="28"/>
          <w:lang w:val="es-CL"/>
        </w:rPr>
        <w:t xml:space="preserve"> </w:t>
      </w:r>
      <w:r w:rsidRPr="009C7301">
        <w:rPr>
          <w:kern w:val="28"/>
          <w:lang w:val="es-CL"/>
        </w:rPr>
        <w:t>Division</w:t>
      </w:r>
      <w:r w:rsidRPr="009C7301">
        <w:rPr>
          <w:kern w:val="28"/>
          <w:lang w:val="es-CL"/>
        </w:rPr>
        <w:t xml:space="preserve"> (Nov. 12, 2015), </w:t>
      </w:r>
      <w:r w:rsidRPr="009C7301">
        <w:rPr>
          <w:i/>
          <w:kern w:val="28"/>
          <w:lang w:val="es-CL"/>
        </w:rPr>
        <w:t>available</w:t>
      </w:r>
      <w:r w:rsidRPr="009C7301">
        <w:rPr>
          <w:i/>
          <w:kern w:val="28"/>
          <w:lang w:val="es-CL"/>
        </w:rPr>
        <w:t xml:space="preserve"> at</w:t>
      </w:r>
      <w:r w:rsidRPr="009C7301">
        <w:rPr>
          <w:kern w:val="28"/>
          <w:lang w:val="es-CL"/>
        </w:rPr>
        <w:t xml:space="preserve"> </w:t>
      </w:r>
      <w:hyperlink r:id="rId1" w:history="1">
        <w:r w:rsidRPr="009C7301">
          <w:rPr>
            <w:rStyle w:val="Hyperlink"/>
            <w:kern w:val="28"/>
            <w:lang w:val="es-CL"/>
          </w:rPr>
          <w:t>https://apps.fcc.gov/kdb/GetAttachment.html?id=zXtrctoj6zH7oNEOO6De6g%3D%3D&amp;desc=594280%20D02%20U-NII%20Device%20Security%20v01r03&amp;tracking_number=39498</w:t>
        </w:r>
      </w:hyperlink>
      <w:r w:rsidRPr="009C7301">
        <w:rPr>
          <w:kern w:val="28"/>
          <w:lang w:val="es-CL"/>
        </w:rPr>
        <w:t xml:space="preserve"> (“</w:t>
      </w:r>
      <w:r w:rsidRPr="009C7301" w:rsidR="009C7301">
        <w:rPr>
          <w:kern w:val="28"/>
          <w:lang w:val="es-CL"/>
        </w:rPr>
        <w:t>La Comisión exigió</w:t>
      </w:r>
      <w:r w:rsidRPr="009C7301">
        <w:rPr>
          <w:kern w:val="28"/>
          <w:lang w:val="es-CL"/>
        </w:rPr>
        <w:t xml:space="preserve"> . . . </w:t>
      </w:r>
      <w:r w:rsidRPr="009C7301" w:rsidR="009C7301">
        <w:rPr>
          <w:kern w:val="28"/>
          <w:lang w:val="es-CL"/>
        </w:rPr>
        <w:t xml:space="preserve">software en el equipo que controle los parámetros de RF para </w:t>
      </w:r>
      <w:r w:rsidR="009C7301">
        <w:rPr>
          <w:kern w:val="28"/>
          <w:lang w:val="es-CL"/>
        </w:rPr>
        <w:t xml:space="preserve">asegurar </w:t>
      </w:r>
      <w:r w:rsidRPr="009C7301" w:rsidR="009C7301">
        <w:rPr>
          <w:kern w:val="28"/>
          <w:lang w:val="es-CL"/>
        </w:rPr>
        <w:t>el cumplimiento de las normas técnicas de la Comisión</w:t>
      </w:r>
      <w:r w:rsidR="009C7301">
        <w:rPr>
          <w:kern w:val="28"/>
          <w:lang w:val="es-CL"/>
        </w:rPr>
        <w:t xml:space="preserve"> dado que prevenir la interferencia perjudicial debe asegurarse.</w:t>
      </w:r>
      <w:r w:rsidRPr="009C7301">
        <w:rPr>
          <w:kern w:val="28"/>
          <w:lang w:val="es-CL"/>
        </w:rPr>
        <w:t xml:space="preserve">  </w:t>
      </w:r>
      <w:r w:rsidRPr="009C7301" w:rsidR="009C7301">
        <w:rPr>
          <w:kern w:val="28"/>
          <w:lang w:val="es-CL"/>
        </w:rPr>
        <w:t>El propósito</w:t>
      </w:r>
      <w:r w:rsidRPr="009C7301">
        <w:rPr>
          <w:kern w:val="28"/>
          <w:lang w:val="es-CL"/>
        </w:rPr>
        <w:t xml:space="preserve"> . . . </w:t>
      </w:r>
      <w:r w:rsidRPr="009C7301" w:rsidR="009C7301">
        <w:rPr>
          <w:kern w:val="28"/>
          <w:lang w:val="es-CL"/>
        </w:rPr>
        <w:t xml:space="preserve">es evitar modificaciones del software que podrían, por ejemplo, </w:t>
      </w:r>
      <w:r w:rsidRPr="009C7301">
        <w:rPr>
          <w:kern w:val="28"/>
          <w:lang w:val="es-CL"/>
        </w:rPr>
        <w:t>. . .</w:t>
      </w:r>
      <w:r w:rsidR="009C7301">
        <w:rPr>
          <w:kern w:val="28"/>
          <w:lang w:val="es-CL"/>
        </w:rPr>
        <w:t xml:space="preserve"> habilitar la sintonización a frecuencias no autorizada, el aumento de la potencia a niveles superiores a los autorizados, etc.</w:t>
      </w:r>
      <w:r w:rsidRPr="009C7301">
        <w:rPr>
          <w:kern w:val="28"/>
          <w:lang w:val="es-CL"/>
        </w:rPr>
        <w:t xml:space="preserve"> </w:t>
      </w:r>
      <w:r w:rsidRPr="009C7301" w:rsidR="009C7301">
        <w:rPr>
          <w:kern w:val="28"/>
          <w:lang w:val="es-CL"/>
        </w:rPr>
        <w:t xml:space="preserve">La norma no intenta evitar o inhibir la modificación de ningún otro software o </w:t>
      </w:r>
      <w:r w:rsidRPr="009C7301" w:rsidR="009C7301">
        <w:rPr>
          <w:i/>
          <w:iCs/>
          <w:kern w:val="28"/>
          <w:lang w:val="es-CL"/>
        </w:rPr>
        <w:t xml:space="preserve">firmware </w:t>
      </w:r>
      <w:r w:rsidR="009C7301">
        <w:rPr>
          <w:i/>
          <w:iCs/>
          <w:kern w:val="28"/>
          <w:lang w:val="es-CL"/>
        </w:rPr>
        <w:t xml:space="preserve">en el equipo, como modificaciones de software para mejorar desempeño o configuración de redes RF </w:t>
      </w:r>
      <w:r w:rsidR="009C7301">
        <w:rPr>
          <w:kern w:val="28"/>
          <w:lang w:val="es-CL"/>
        </w:rPr>
        <w:t>para mejorar la seguridad cibernética</w:t>
      </w:r>
      <w:r w:rsidRPr="009C7301">
        <w:rPr>
          <w:kern w:val="28"/>
          <w:lang w:val="es-CL"/>
        </w:rPr>
        <w:t xml:space="preserve">.”).  </w:t>
      </w:r>
    </w:p>
  </w:footnote>
  <w:footnote w:id="12">
    <w:p w:rsidR="00CE5089" w:rsidRPr="00AA2A6F" w14:paraId="25481A6E" w14:textId="4BDFB204">
      <w:pPr>
        <w:pStyle w:val="FootnoteText"/>
        <w:rPr>
          <w:lang w:val="es-CL"/>
        </w:rPr>
      </w:pPr>
      <w:r>
        <w:rPr>
          <w:rStyle w:val="FootnoteReference"/>
        </w:rPr>
        <w:footnoteRef/>
      </w:r>
      <w:r w:rsidRPr="00AA2A6F">
        <w:rPr>
          <w:lang w:val="es-CL"/>
        </w:rPr>
        <w:t xml:space="preserve"> </w:t>
      </w:r>
      <w:r w:rsidRPr="00AA2A6F" w:rsidR="001D281F">
        <w:rPr>
          <w:lang w:val="es-CL"/>
        </w:rPr>
        <w:t>47 CFR § 15.407(i)</w:t>
      </w:r>
      <w:r w:rsidRPr="00AA2A6F" w:rsidR="002023C7">
        <w:rPr>
          <w:lang w:val="es-CL"/>
        </w:rPr>
        <w:t xml:space="preserve">; </w:t>
      </w:r>
      <w:r w:rsidRPr="00AA2A6F" w:rsidR="00E579FC">
        <w:rPr>
          <w:i/>
          <w:lang w:val="es-CL"/>
        </w:rPr>
        <w:t>vea</w:t>
      </w:r>
      <w:r w:rsidRPr="00AA2A6F" w:rsidR="002023C7">
        <w:rPr>
          <w:i/>
          <w:lang w:val="es-CL"/>
        </w:rPr>
        <w:t xml:space="preserve"> supra</w:t>
      </w:r>
      <w:r w:rsidRPr="00AA2A6F" w:rsidR="002023C7">
        <w:rPr>
          <w:lang w:val="es-CL"/>
        </w:rPr>
        <w:t xml:space="preserve"> note </w:t>
      </w:r>
      <w:r w:rsidR="002023C7">
        <w:fldChar w:fldCharType="begin"/>
      </w:r>
      <w:r w:rsidRPr="00AA2A6F" w:rsidR="002023C7">
        <w:rPr>
          <w:lang w:val="es-CL"/>
        </w:rPr>
        <w:instrText xml:space="preserve"> NOTEREF _Ref15552034 \h </w:instrText>
      </w:r>
      <w:r w:rsidR="002023C7">
        <w:fldChar w:fldCharType="separate"/>
      </w:r>
      <w:r w:rsidRPr="00AA2A6F" w:rsidR="002023C7">
        <w:rPr>
          <w:lang w:val="es-CL"/>
        </w:rPr>
        <w:t>5</w:t>
      </w:r>
      <w:r w:rsidR="002023C7">
        <w:fldChar w:fldCharType="end"/>
      </w:r>
      <w:r w:rsidRPr="00AA2A6F" w:rsidR="001D281F">
        <w:rPr>
          <w:lang w:val="es-CL"/>
        </w:rPr>
        <w:t>.</w:t>
      </w:r>
    </w:p>
  </w:footnote>
  <w:footnote w:id="13">
    <w:p w:rsidR="00F351FD" w:rsidRPr="00AA2A6F" w14:paraId="5A2AB810" w14:textId="05B7552E">
      <w:pPr>
        <w:pStyle w:val="FootnoteText"/>
        <w:rPr>
          <w:lang w:val="es-CL"/>
        </w:rPr>
      </w:pPr>
      <w:r>
        <w:rPr>
          <w:rStyle w:val="FootnoteReference"/>
        </w:rPr>
        <w:footnoteRef/>
      </w:r>
      <w:r w:rsidRPr="00AA2A6F">
        <w:rPr>
          <w:lang w:val="es-CL"/>
        </w:rPr>
        <w:t xml:space="preserve"> </w:t>
      </w:r>
      <w:r w:rsidRPr="00AA2A6F" w:rsidR="00AA2A6F">
        <w:rPr>
          <w:i/>
          <w:lang w:val="es-CL"/>
        </w:rPr>
        <w:t>Vea</w:t>
      </w:r>
      <w:r w:rsidRPr="00AA2A6F">
        <w:rPr>
          <w:i/>
          <w:lang w:val="es-CL"/>
        </w:rPr>
        <w:t xml:space="preserve"> </w:t>
      </w:r>
      <w:r w:rsidRPr="00AA2A6F">
        <w:rPr>
          <w:lang w:val="es-CL"/>
        </w:rPr>
        <w:t>47 CFR §§ 15.19(a)(3), 15.21.</w:t>
      </w:r>
    </w:p>
  </w:footnote>
  <w:footnote w:id="14">
    <w:p w:rsidR="00070E6B" w:rsidRPr="00070E6B" w14:paraId="33E4304E" w14:textId="0CF87D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A2A6F">
        <w:rPr>
          <w:i/>
        </w:rPr>
        <w:t>Vea</w:t>
      </w:r>
      <w:r>
        <w:t xml:space="preserve"> 47 CFR § 2.803.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31F3E04B" w14:textId="6BB1B775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6A7464">
      <w:rPr>
        <w:b/>
      </w:rPr>
      <w:t>DA 19-</w:t>
    </w:r>
    <w:r w:rsidR="00564DCC">
      <w:rPr>
        <w:b/>
      </w:rPr>
      <w:t>807</w:t>
    </w:r>
  </w:p>
  <w:p w:rsidR="009838BC" w:rsidRPr="009838BC" w:rsidP="009838BC" w14:paraId="73F06673" w14:textId="0B63C72C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0048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6897355F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013724" w:rsidP="009838BC" w14:paraId="2CD6F225" w14:textId="7DE76798">
    <w:pPr>
      <w:spacing w:before="40"/>
      <w:rPr>
        <w:rFonts w:ascii="Arial" w:hAnsi="Arial" w:cs="Arial"/>
        <w:b/>
        <w:sz w:val="56"/>
        <w:szCs w:val="56"/>
      </w:rPr>
    </w:pPr>
    <w:r w:rsidRPr="00013724">
      <w:rPr>
        <w:noProof/>
        <w:sz w:val="72"/>
        <w:szCs w:val="72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4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8808174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3724">
      <w:rPr>
        <w:rFonts w:ascii="Arial" w:hAnsi="Arial" w:cs="Arial"/>
        <w:b/>
        <w:sz w:val="56"/>
        <w:szCs w:val="56"/>
      </w:rPr>
      <w:t>NOTIFICACIÓN PÚBLICA</w:t>
    </w:r>
  </w:p>
  <w:p w:rsidR="009838BC" w:rsidRPr="00357D50" w:rsidP="009838BC" w14:paraId="4D1438E0" w14:textId="7DD73EC6">
    <w:pPr>
      <w:spacing w:before="40"/>
      <w:rPr>
        <w:rFonts w:ascii="Arial" w:hAnsi="Arial" w:cs="Arial"/>
        <w:b/>
        <w:sz w:val="96"/>
      </w:rPr>
    </w:pPr>
    <w:r w:rsidRPr="00013724">
      <w:rPr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154305</wp:posOffset>
              </wp:positionV>
              <wp:extent cx="3108960" cy="706755"/>
              <wp:effectExtent l="0" t="0" r="0" b="0"/>
              <wp:wrapNone/>
              <wp:docPr id="3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706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5.65pt;margin-top:12.1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9838BC" w:rsidP="009838BC" w14:paraId="1BBEFA60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0897E2F6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 w14:paraId="45EA9FAE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3175" r="0" b="0"/>
              <wp:wrapNone/>
              <wp:docPr id="2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RPr="00D02D28" w:rsidP="009838BC" w14:textId="642D4ACA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  <w:lang w:val="es-CL"/>
                            </w:rPr>
                          </w:pPr>
                          <w:r w:rsidRPr="00D02D28">
                            <w:rPr>
                              <w:rFonts w:ascii="Arial" w:hAnsi="Arial"/>
                              <w:b/>
                              <w:sz w:val="16"/>
                              <w:lang w:val="es-CL"/>
                            </w:rPr>
                            <w:t>Contacto para medios de difusión:</w:t>
                          </w:r>
                          <w:r w:rsidRPr="00D02D28" w:rsidR="00F6458D">
                            <w:rPr>
                              <w:rFonts w:ascii="Arial" w:hAnsi="Arial"/>
                              <w:b/>
                              <w:sz w:val="16"/>
                              <w:lang w:val="es-CL"/>
                            </w:rPr>
                            <w:t xml:space="preserve"> 202 / 418-0500</w:t>
                          </w:r>
                        </w:p>
                        <w:p w:rsidR="009838BC" w:rsidRPr="00D02D28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  <w:lang w:val="es-CL"/>
                            </w:rPr>
                          </w:pPr>
                          <w:r w:rsidRPr="00D02D28">
                            <w:rPr>
                              <w:rFonts w:ascii="Arial" w:hAnsi="Arial"/>
                              <w:b/>
                              <w:sz w:val="16"/>
                              <w:lang w:val="es-CL"/>
                            </w:rPr>
                            <w:t xml:space="preserve">Internet: </w:t>
                          </w:r>
                          <w:bookmarkStart w:id="4" w:name="_Hlt233824"/>
                          <w:hyperlink r:id="rId2" w:history="1">
                            <w:r w:rsidRPr="00D02D28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  <w:lang w:val="es-CL"/>
                              </w:rPr>
                              <w:t>h</w:t>
                            </w:r>
                            <w:bookmarkEnd w:id="4"/>
                            <w:r w:rsidRPr="00D02D28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  <w:lang w:val="es-CL"/>
                              </w:rPr>
                              <w:t>ttps://www.fcc.gov</w:t>
                            </w:r>
                          </w:hyperlink>
                        </w:p>
                        <w:p w:rsidR="009838BC" w:rsidRPr="00D02D28" w:rsidP="009838BC" w14:textId="77777777">
                          <w:pPr>
                            <w:jc w:val="right"/>
                            <w:rPr>
                              <w:lang w:val="es-CL"/>
                            </w:rPr>
                          </w:pPr>
                          <w:r w:rsidRPr="00D02D28">
                            <w:rPr>
                              <w:rFonts w:ascii="Arial" w:hAnsi="Arial"/>
                              <w:b/>
                              <w:sz w:val="16"/>
                              <w:lang w:val="es-CL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1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4384" o:allowincell="f" stroked="f">
              <v:textbox inset=",0,,0">
                <w:txbxContent>
                  <w:p w:rsidR="009838BC" w:rsidRPr="00D02D28" w:rsidP="009838BC" w14:paraId="7B6286C1" w14:textId="642D4ACA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  <w:lang w:val="es-CL"/>
                      </w:rPr>
                    </w:pPr>
                    <w:r w:rsidRPr="00D02D28">
                      <w:rPr>
                        <w:rFonts w:ascii="Arial" w:hAnsi="Arial"/>
                        <w:b/>
                        <w:sz w:val="16"/>
                        <w:lang w:val="es-CL"/>
                      </w:rPr>
                      <w:t>Contacto para medios de difusión:</w:t>
                    </w:r>
                    <w:r w:rsidRPr="00D02D28" w:rsidR="00F6458D">
                      <w:rPr>
                        <w:rFonts w:ascii="Arial" w:hAnsi="Arial"/>
                        <w:b/>
                        <w:sz w:val="16"/>
                        <w:lang w:val="es-CL"/>
                      </w:rPr>
                      <w:t xml:space="preserve"> 202 / 418-0500</w:t>
                    </w:r>
                  </w:p>
                  <w:p w:rsidR="009838BC" w:rsidRPr="00D02D28" w:rsidP="009838BC" w14:paraId="0DD8A39C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  <w:lang w:val="es-CL"/>
                      </w:rPr>
                    </w:pPr>
                    <w:r w:rsidRPr="00D02D28">
                      <w:rPr>
                        <w:rFonts w:ascii="Arial" w:hAnsi="Arial"/>
                        <w:b/>
                        <w:sz w:val="16"/>
                        <w:lang w:val="es-CL"/>
                      </w:rPr>
                      <w:t xml:space="preserve">Internet: </w:t>
                    </w:r>
                    <w:bookmarkStart w:id="4" w:name="_Hlt233824"/>
                    <w:hyperlink r:id="rId2" w:history="1">
                      <w:r w:rsidRPr="00D02D28">
                        <w:rPr>
                          <w:rStyle w:val="Hyperlink"/>
                          <w:rFonts w:ascii="Arial" w:hAnsi="Arial"/>
                          <w:b/>
                          <w:sz w:val="16"/>
                          <w:lang w:val="es-CL"/>
                        </w:rPr>
                        <w:t>h</w:t>
                      </w:r>
                      <w:bookmarkEnd w:id="4"/>
                      <w:r w:rsidRPr="00D02D28">
                        <w:rPr>
                          <w:rStyle w:val="Hyperlink"/>
                          <w:rFonts w:ascii="Arial" w:hAnsi="Arial"/>
                          <w:b/>
                          <w:sz w:val="16"/>
                          <w:lang w:val="es-CL"/>
                        </w:rPr>
                        <w:t>ttps://www.fcc.gov</w:t>
                      </w:r>
                    </w:hyperlink>
                  </w:p>
                  <w:p w:rsidR="009838BC" w:rsidRPr="00D02D28" w:rsidP="009838BC" w14:paraId="4B095723" w14:textId="77777777">
                    <w:pPr>
                      <w:jc w:val="right"/>
                      <w:rPr>
                        <w:lang w:val="es-CL"/>
                      </w:rPr>
                    </w:pPr>
                    <w:r w:rsidRPr="00D02D28">
                      <w:rPr>
                        <w:rFonts w:ascii="Arial" w:hAnsi="Arial"/>
                        <w:b/>
                        <w:sz w:val="16"/>
                        <w:lang w:val="es-CL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1BD6D580" w14:textId="663F5A9A">
    <w:pPr>
      <w:pStyle w:val="Header"/>
      <w:rPr>
        <w:sz w:val="20"/>
      </w:rPr>
    </w:pPr>
    <w:r>
      <w:rPr>
        <w:rFonts w:ascii="Times New Roman" w:hAnsi="Times New Roman" w:cs="Times New Roman"/>
        <w:b w:val="0"/>
        <w:noProof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posOffset>-8890</wp:posOffset>
              </wp:positionH>
              <wp:positionV relativeFrom="paragraph">
                <wp:posOffset>29845</wp:posOffset>
              </wp:positionV>
              <wp:extent cx="5943600" cy="0"/>
              <wp:effectExtent l="10160" t="9525" r="8890" b="9525"/>
              <wp:wrapNone/>
              <wp:docPr id="1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2" style="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z-index:251662336" from="-0.7pt,2.35pt" to="467.3pt,2.35pt" o:allowincell="f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34"/>
    <w:rsid w:val="00004E7F"/>
    <w:rsid w:val="000072CE"/>
    <w:rsid w:val="00013724"/>
    <w:rsid w:val="00013A8B"/>
    <w:rsid w:val="00021445"/>
    <w:rsid w:val="00027251"/>
    <w:rsid w:val="00036039"/>
    <w:rsid w:val="00037F90"/>
    <w:rsid w:val="00047AF5"/>
    <w:rsid w:val="000543E1"/>
    <w:rsid w:val="0005467F"/>
    <w:rsid w:val="00056989"/>
    <w:rsid w:val="00070E6B"/>
    <w:rsid w:val="00071BC8"/>
    <w:rsid w:val="00077C97"/>
    <w:rsid w:val="000844B2"/>
    <w:rsid w:val="000875BF"/>
    <w:rsid w:val="00090D82"/>
    <w:rsid w:val="00090F3C"/>
    <w:rsid w:val="000937D8"/>
    <w:rsid w:val="00096D8C"/>
    <w:rsid w:val="000A204A"/>
    <w:rsid w:val="000B05F2"/>
    <w:rsid w:val="000B220B"/>
    <w:rsid w:val="000C0B65"/>
    <w:rsid w:val="000C15BE"/>
    <w:rsid w:val="000C6589"/>
    <w:rsid w:val="000C707B"/>
    <w:rsid w:val="000E3D42"/>
    <w:rsid w:val="000E5740"/>
    <w:rsid w:val="000E5884"/>
    <w:rsid w:val="000F50C7"/>
    <w:rsid w:val="001150B8"/>
    <w:rsid w:val="00120FA8"/>
    <w:rsid w:val="0012110B"/>
    <w:rsid w:val="001223BA"/>
    <w:rsid w:val="00122BD5"/>
    <w:rsid w:val="00137945"/>
    <w:rsid w:val="001441E5"/>
    <w:rsid w:val="00160460"/>
    <w:rsid w:val="0016444C"/>
    <w:rsid w:val="00172C2F"/>
    <w:rsid w:val="00177806"/>
    <w:rsid w:val="00180102"/>
    <w:rsid w:val="0019685A"/>
    <w:rsid w:val="001979D9"/>
    <w:rsid w:val="001A1C64"/>
    <w:rsid w:val="001A347A"/>
    <w:rsid w:val="001A7D4D"/>
    <w:rsid w:val="001D177B"/>
    <w:rsid w:val="001D281F"/>
    <w:rsid w:val="001D2B3F"/>
    <w:rsid w:val="001D6BCF"/>
    <w:rsid w:val="001E01CA"/>
    <w:rsid w:val="001E5E5B"/>
    <w:rsid w:val="001F66DB"/>
    <w:rsid w:val="002023C7"/>
    <w:rsid w:val="002060D9"/>
    <w:rsid w:val="002257A3"/>
    <w:rsid w:val="00226822"/>
    <w:rsid w:val="00237747"/>
    <w:rsid w:val="00241172"/>
    <w:rsid w:val="002513F3"/>
    <w:rsid w:val="00260594"/>
    <w:rsid w:val="00263548"/>
    <w:rsid w:val="00264834"/>
    <w:rsid w:val="00264886"/>
    <w:rsid w:val="002678EC"/>
    <w:rsid w:val="00275C58"/>
    <w:rsid w:val="002771D7"/>
    <w:rsid w:val="00282697"/>
    <w:rsid w:val="00284F21"/>
    <w:rsid w:val="00285017"/>
    <w:rsid w:val="00290BBF"/>
    <w:rsid w:val="002921F4"/>
    <w:rsid w:val="002928A9"/>
    <w:rsid w:val="002932AD"/>
    <w:rsid w:val="002A2D2E"/>
    <w:rsid w:val="002A40F6"/>
    <w:rsid w:val="002A6598"/>
    <w:rsid w:val="002B096A"/>
    <w:rsid w:val="002B5663"/>
    <w:rsid w:val="002C3056"/>
    <w:rsid w:val="002C73C5"/>
    <w:rsid w:val="002E097A"/>
    <w:rsid w:val="002F7200"/>
    <w:rsid w:val="002F7B35"/>
    <w:rsid w:val="00301E93"/>
    <w:rsid w:val="00320AC9"/>
    <w:rsid w:val="00332C61"/>
    <w:rsid w:val="00335278"/>
    <w:rsid w:val="00337F4C"/>
    <w:rsid w:val="00343749"/>
    <w:rsid w:val="0034787C"/>
    <w:rsid w:val="00351A65"/>
    <w:rsid w:val="00357D50"/>
    <w:rsid w:val="00364C3C"/>
    <w:rsid w:val="00366D66"/>
    <w:rsid w:val="00372125"/>
    <w:rsid w:val="003740E7"/>
    <w:rsid w:val="00374317"/>
    <w:rsid w:val="00387576"/>
    <w:rsid w:val="00391A5F"/>
    <w:rsid w:val="003925DC"/>
    <w:rsid w:val="00393BBF"/>
    <w:rsid w:val="003953AA"/>
    <w:rsid w:val="00396C46"/>
    <w:rsid w:val="003A7573"/>
    <w:rsid w:val="003B0550"/>
    <w:rsid w:val="003B694F"/>
    <w:rsid w:val="003C091B"/>
    <w:rsid w:val="003C40CB"/>
    <w:rsid w:val="003D2F91"/>
    <w:rsid w:val="003E2858"/>
    <w:rsid w:val="003E7721"/>
    <w:rsid w:val="003F171C"/>
    <w:rsid w:val="003F209C"/>
    <w:rsid w:val="00402B84"/>
    <w:rsid w:val="0040371F"/>
    <w:rsid w:val="004049DB"/>
    <w:rsid w:val="00412FC5"/>
    <w:rsid w:val="00422276"/>
    <w:rsid w:val="0042228E"/>
    <w:rsid w:val="004235D0"/>
    <w:rsid w:val="004242F1"/>
    <w:rsid w:val="00431220"/>
    <w:rsid w:val="00440EE6"/>
    <w:rsid w:val="00445A00"/>
    <w:rsid w:val="00451B0F"/>
    <w:rsid w:val="0046125F"/>
    <w:rsid w:val="004613B2"/>
    <w:rsid w:val="00467441"/>
    <w:rsid w:val="00471042"/>
    <w:rsid w:val="00472E71"/>
    <w:rsid w:val="004817BF"/>
    <w:rsid w:val="004830BA"/>
    <w:rsid w:val="00486643"/>
    <w:rsid w:val="00487524"/>
    <w:rsid w:val="00494C9D"/>
    <w:rsid w:val="00496106"/>
    <w:rsid w:val="004A4728"/>
    <w:rsid w:val="004B0A0A"/>
    <w:rsid w:val="004C12D0"/>
    <w:rsid w:val="004C1534"/>
    <w:rsid w:val="004C2C03"/>
    <w:rsid w:val="004C2EE3"/>
    <w:rsid w:val="004D613B"/>
    <w:rsid w:val="004E4A22"/>
    <w:rsid w:val="004F0FF3"/>
    <w:rsid w:val="004F2FEF"/>
    <w:rsid w:val="00510688"/>
    <w:rsid w:val="00511968"/>
    <w:rsid w:val="00526E88"/>
    <w:rsid w:val="00527FE3"/>
    <w:rsid w:val="00535054"/>
    <w:rsid w:val="00537B6F"/>
    <w:rsid w:val="005437E3"/>
    <w:rsid w:val="00546C45"/>
    <w:rsid w:val="00554ACC"/>
    <w:rsid w:val="00555EA8"/>
    <w:rsid w:val="0055614C"/>
    <w:rsid w:val="0056381E"/>
    <w:rsid w:val="00564DCC"/>
    <w:rsid w:val="00580926"/>
    <w:rsid w:val="00580C83"/>
    <w:rsid w:val="00585BE5"/>
    <w:rsid w:val="005A19E4"/>
    <w:rsid w:val="005B1497"/>
    <w:rsid w:val="005C73BA"/>
    <w:rsid w:val="005D2EDD"/>
    <w:rsid w:val="005D3F80"/>
    <w:rsid w:val="005F0266"/>
    <w:rsid w:val="00607BA5"/>
    <w:rsid w:val="0061555E"/>
    <w:rsid w:val="00616CD9"/>
    <w:rsid w:val="00625576"/>
    <w:rsid w:val="00626EB6"/>
    <w:rsid w:val="00634126"/>
    <w:rsid w:val="006342F5"/>
    <w:rsid w:val="006353A3"/>
    <w:rsid w:val="00635507"/>
    <w:rsid w:val="006356A2"/>
    <w:rsid w:val="00641F79"/>
    <w:rsid w:val="006541F5"/>
    <w:rsid w:val="00655D03"/>
    <w:rsid w:val="00665DDB"/>
    <w:rsid w:val="006665CA"/>
    <w:rsid w:val="00676BA6"/>
    <w:rsid w:val="00683F84"/>
    <w:rsid w:val="006954F2"/>
    <w:rsid w:val="00697FD6"/>
    <w:rsid w:val="006A1DDF"/>
    <w:rsid w:val="006A6A81"/>
    <w:rsid w:val="006A7464"/>
    <w:rsid w:val="006C042A"/>
    <w:rsid w:val="006C0C8C"/>
    <w:rsid w:val="006C4100"/>
    <w:rsid w:val="006C5F1D"/>
    <w:rsid w:val="006C6DBB"/>
    <w:rsid w:val="006D459F"/>
    <w:rsid w:val="006E0F30"/>
    <w:rsid w:val="006E26AF"/>
    <w:rsid w:val="006E4F20"/>
    <w:rsid w:val="006F5198"/>
    <w:rsid w:val="006F7393"/>
    <w:rsid w:val="0070224F"/>
    <w:rsid w:val="00702CD3"/>
    <w:rsid w:val="00706558"/>
    <w:rsid w:val="007115F7"/>
    <w:rsid w:val="00712A02"/>
    <w:rsid w:val="00714A89"/>
    <w:rsid w:val="0071552D"/>
    <w:rsid w:val="0072301B"/>
    <w:rsid w:val="00727CD4"/>
    <w:rsid w:val="0073336E"/>
    <w:rsid w:val="00736DD1"/>
    <w:rsid w:val="007405E2"/>
    <w:rsid w:val="00741B74"/>
    <w:rsid w:val="00771B88"/>
    <w:rsid w:val="0078301B"/>
    <w:rsid w:val="00784238"/>
    <w:rsid w:val="00785689"/>
    <w:rsid w:val="00787AD6"/>
    <w:rsid w:val="00790981"/>
    <w:rsid w:val="007913F3"/>
    <w:rsid w:val="0079754B"/>
    <w:rsid w:val="007A0BE1"/>
    <w:rsid w:val="007A1E6D"/>
    <w:rsid w:val="007A7580"/>
    <w:rsid w:val="007B1FA9"/>
    <w:rsid w:val="007C0DFD"/>
    <w:rsid w:val="007C1D32"/>
    <w:rsid w:val="007C46D1"/>
    <w:rsid w:val="007C5090"/>
    <w:rsid w:val="007E02AD"/>
    <w:rsid w:val="007E17CE"/>
    <w:rsid w:val="007E5C83"/>
    <w:rsid w:val="007E6FFF"/>
    <w:rsid w:val="007E7FD6"/>
    <w:rsid w:val="007F0F9B"/>
    <w:rsid w:val="00822CE0"/>
    <w:rsid w:val="00837C62"/>
    <w:rsid w:val="00841AB1"/>
    <w:rsid w:val="00843062"/>
    <w:rsid w:val="008552B8"/>
    <w:rsid w:val="00870712"/>
    <w:rsid w:val="008708D1"/>
    <w:rsid w:val="00886CBC"/>
    <w:rsid w:val="00895191"/>
    <w:rsid w:val="008A6202"/>
    <w:rsid w:val="008B05F6"/>
    <w:rsid w:val="008B2E10"/>
    <w:rsid w:val="008C22FD"/>
    <w:rsid w:val="008C7F9D"/>
    <w:rsid w:val="008D2BA5"/>
    <w:rsid w:val="008D6904"/>
    <w:rsid w:val="008F2E71"/>
    <w:rsid w:val="00901320"/>
    <w:rsid w:val="00903C47"/>
    <w:rsid w:val="009107FB"/>
    <w:rsid w:val="00910F12"/>
    <w:rsid w:val="00917058"/>
    <w:rsid w:val="009173E4"/>
    <w:rsid w:val="009179CE"/>
    <w:rsid w:val="00926503"/>
    <w:rsid w:val="00930ECF"/>
    <w:rsid w:val="0093309F"/>
    <w:rsid w:val="00961515"/>
    <w:rsid w:val="00963668"/>
    <w:rsid w:val="00965EA0"/>
    <w:rsid w:val="00967640"/>
    <w:rsid w:val="00981F92"/>
    <w:rsid w:val="009838BC"/>
    <w:rsid w:val="00992D9A"/>
    <w:rsid w:val="009947D5"/>
    <w:rsid w:val="00994F74"/>
    <w:rsid w:val="009B2A7A"/>
    <w:rsid w:val="009C7301"/>
    <w:rsid w:val="009D7A3E"/>
    <w:rsid w:val="009E5166"/>
    <w:rsid w:val="009E5B3D"/>
    <w:rsid w:val="00A13160"/>
    <w:rsid w:val="00A153B5"/>
    <w:rsid w:val="00A16176"/>
    <w:rsid w:val="00A23466"/>
    <w:rsid w:val="00A24C0C"/>
    <w:rsid w:val="00A252DB"/>
    <w:rsid w:val="00A31808"/>
    <w:rsid w:val="00A43578"/>
    <w:rsid w:val="00A45F4F"/>
    <w:rsid w:val="00A567FD"/>
    <w:rsid w:val="00A600A9"/>
    <w:rsid w:val="00A60B71"/>
    <w:rsid w:val="00A72806"/>
    <w:rsid w:val="00A72909"/>
    <w:rsid w:val="00A774E2"/>
    <w:rsid w:val="00A8526E"/>
    <w:rsid w:val="00A866AC"/>
    <w:rsid w:val="00A878E1"/>
    <w:rsid w:val="00A87D90"/>
    <w:rsid w:val="00A97ADA"/>
    <w:rsid w:val="00AA1283"/>
    <w:rsid w:val="00AA2A6F"/>
    <w:rsid w:val="00AA3213"/>
    <w:rsid w:val="00AA55B7"/>
    <w:rsid w:val="00AA58B9"/>
    <w:rsid w:val="00AA5B9E"/>
    <w:rsid w:val="00AA62D3"/>
    <w:rsid w:val="00AB2407"/>
    <w:rsid w:val="00AB53DF"/>
    <w:rsid w:val="00AB74C6"/>
    <w:rsid w:val="00AB7A46"/>
    <w:rsid w:val="00AE665B"/>
    <w:rsid w:val="00AF03DE"/>
    <w:rsid w:val="00AF0A13"/>
    <w:rsid w:val="00AF3CE1"/>
    <w:rsid w:val="00AF644E"/>
    <w:rsid w:val="00B072DF"/>
    <w:rsid w:val="00B07E5C"/>
    <w:rsid w:val="00B173E0"/>
    <w:rsid w:val="00B20363"/>
    <w:rsid w:val="00B204AD"/>
    <w:rsid w:val="00B31095"/>
    <w:rsid w:val="00B326E3"/>
    <w:rsid w:val="00B34458"/>
    <w:rsid w:val="00B5148F"/>
    <w:rsid w:val="00B5432F"/>
    <w:rsid w:val="00B57A1A"/>
    <w:rsid w:val="00B61A82"/>
    <w:rsid w:val="00B637EB"/>
    <w:rsid w:val="00B66C14"/>
    <w:rsid w:val="00B811F7"/>
    <w:rsid w:val="00B82DF2"/>
    <w:rsid w:val="00B85763"/>
    <w:rsid w:val="00B91687"/>
    <w:rsid w:val="00BA5DC6"/>
    <w:rsid w:val="00BA6196"/>
    <w:rsid w:val="00BB256B"/>
    <w:rsid w:val="00BB5919"/>
    <w:rsid w:val="00BB62E4"/>
    <w:rsid w:val="00BC34AC"/>
    <w:rsid w:val="00BC37D5"/>
    <w:rsid w:val="00BC4D8D"/>
    <w:rsid w:val="00BC6D8C"/>
    <w:rsid w:val="00BE261E"/>
    <w:rsid w:val="00BE4623"/>
    <w:rsid w:val="00BF11C0"/>
    <w:rsid w:val="00BF5AE6"/>
    <w:rsid w:val="00C16AF2"/>
    <w:rsid w:val="00C2264E"/>
    <w:rsid w:val="00C23033"/>
    <w:rsid w:val="00C27C0B"/>
    <w:rsid w:val="00C32654"/>
    <w:rsid w:val="00C34006"/>
    <w:rsid w:val="00C355B8"/>
    <w:rsid w:val="00C36AD8"/>
    <w:rsid w:val="00C426B1"/>
    <w:rsid w:val="00C50C68"/>
    <w:rsid w:val="00C57FC5"/>
    <w:rsid w:val="00C76D78"/>
    <w:rsid w:val="00C82B6B"/>
    <w:rsid w:val="00C90D6A"/>
    <w:rsid w:val="00C91453"/>
    <w:rsid w:val="00C92BC6"/>
    <w:rsid w:val="00CC11F9"/>
    <w:rsid w:val="00CC72B6"/>
    <w:rsid w:val="00CE06D9"/>
    <w:rsid w:val="00CE4703"/>
    <w:rsid w:val="00CE5089"/>
    <w:rsid w:val="00CF788E"/>
    <w:rsid w:val="00D0218D"/>
    <w:rsid w:val="00D02D28"/>
    <w:rsid w:val="00D216CD"/>
    <w:rsid w:val="00D2300D"/>
    <w:rsid w:val="00D272DA"/>
    <w:rsid w:val="00D364A4"/>
    <w:rsid w:val="00D427D8"/>
    <w:rsid w:val="00D50923"/>
    <w:rsid w:val="00D520EA"/>
    <w:rsid w:val="00D55BB5"/>
    <w:rsid w:val="00D565B9"/>
    <w:rsid w:val="00D67F70"/>
    <w:rsid w:val="00D75BE1"/>
    <w:rsid w:val="00D76A24"/>
    <w:rsid w:val="00D81911"/>
    <w:rsid w:val="00D830DC"/>
    <w:rsid w:val="00D862A7"/>
    <w:rsid w:val="00D91059"/>
    <w:rsid w:val="00D9364E"/>
    <w:rsid w:val="00DA2529"/>
    <w:rsid w:val="00DA725A"/>
    <w:rsid w:val="00DA7724"/>
    <w:rsid w:val="00DB130A"/>
    <w:rsid w:val="00DC10A1"/>
    <w:rsid w:val="00DC22E0"/>
    <w:rsid w:val="00DC4B7A"/>
    <w:rsid w:val="00DC4BDD"/>
    <w:rsid w:val="00DC655F"/>
    <w:rsid w:val="00DC7A9B"/>
    <w:rsid w:val="00DD607B"/>
    <w:rsid w:val="00DD6611"/>
    <w:rsid w:val="00DD7CB6"/>
    <w:rsid w:val="00DD7EBD"/>
    <w:rsid w:val="00DE1428"/>
    <w:rsid w:val="00DE1809"/>
    <w:rsid w:val="00DE3025"/>
    <w:rsid w:val="00DF5381"/>
    <w:rsid w:val="00DF62B6"/>
    <w:rsid w:val="00E0168C"/>
    <w:rsid w:val="00E01954"/>
    <w:rsid w:val="00E070F2"/>
    <w:rsid w:val="00E07225"/>
    <w:rsid w:val="00E07A42"/>
    <w:rsid w:val="00E1276F"/>
    <w:rsid w:val="00E12C55"/>
    <w:rsid w:val="00E155B7"/>
    <w:rsid w:val="00E20E6C"/>
    <w:rsid w:val="00E20FC1"/>
    <w:rsid w:val="00E22825"/>
    <w:rsid w:val="00E2406F"/>
    <w:rsid w:val="00E26D55"/>
    <w:rsid w:val="00E34F30"/>
    <w:rsid w:val="00E3648D"/>
    <w:rsid w:val="00E47636"/>
    <w:rsid w:val="00E5409F"/>
    <w:rsid w:val="00E54714"/>
    <w:rsid w:val="00E579FC"/>
    <w:rsid w:val="00E57A93"/>
    <w:rsid w:val="00E61CA9"/>
    <w:rsid w:val="00EA1E6B"/>
    <w:rsid w:val="00EA677E"/>
    <w:rsid w:val="00EA7F9A"/>
    <w:rsid w:val="00EB12C5"/>
    <w:rsid w:val="00EB2870"/>
    <w:rsid w:val="00EC0185"/>
    <w:rsid w:val="00ED59BD"/>
    <w:rsid w:val="00ED6C0E"/>
    <w:rsid w:val="00ED7DC9"/>
    <w:rsid w:val="00EE1A0C"/>
    <w:rsid w:val="00EE562B"/>
    <w:rsid w:val="00F021FA"/>
    <w:rsid w:val="00F0741B"/>
    <w:rsid w:val="00F16E2D"/>
    <w:rsid w:val="00F20B66"/>
    <w:rsid w:val="00F20E54"/>
    <w:rsid w:val="00F351FD"/>
    <w:rsid w:val="00F57ACA"/>
    <w:rsid w:val="00F62E97"/>
    <w:rsid w:val="00F63627"/>
    <w:rsid w:val="00F64209"/>
    <w:rsid w:val="00F6458D"/>
    <w:rsid w:val="00F66664"/>
    <w:rsid w:val="00F80DC8"/>
    <w:rsid w:val="00F9186B"/>
    <w:rsid w:val="00F93BF5"/>
    <w:rsid w:val="00F96F63"/>
    <w:rsid w:val="00FA2806"/>
    <w:rsid w:val="00FA6CDA"/>
    <w:rsid w:val="00FB116B"/>
    <w:rsid w:val="00FC31AD"/>
    <w:rsid w:val="00FC66CE"/>
    <w:rsid w:val="00FD5D37"/>
    <w:rsid w:val="00FE4057"/>
    <w:rsid w:val="00FE4FDB"/>
    <w:rsid w:val="00FF66E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2EEE436-6C0C-4BC3-9002-482C229E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UnresolvedMention1">
    <w:name w:val="Unresolved Mention1"/>
    <w:uiPriority w:val="99"/>
    <w:semiHidden/>
    <w:unhideWhenUsed/>
    <w:rsid w:val="00EB2870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A87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8E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878E1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8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78E1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8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78E1"/>
    <w:rPr>
      <w:rFonts w:ascii="Segoe UI" w:hAnsi="Segoe UI" w:cs="Segoe UI"/>
      <w:snapToGrid w:val="0"/>
      <w:kern w:val="28"/>
      <w:sz w:val="18"/>
      <w:szCs w:val="18"/>
    </w:rPr>
  </w:style>
  <w:style w:type="character" w:styleId="FollowedHyperlink">
    <w:name w:val="FollowedHyperlink"/>
    <w:uiPriority w:val="99"/>
    <w:semiHidden/>
    <w:unhideWhenUsed/>
    <w:rsid w:val="005A19E4"/>
    <w:rPr>
      <w:color w:val="954F72"/>
      <w:u w:val="single"/>
    </w:rPr>
  </w:style>
  <w:style w:type="character" w:customStyle="1" w:styleId="enumxml">
    <w:name w:val="enumxml"/>
    <w:rsid w:val="00BB5919"/>
  </w:style>
  <w:style w:type="character" w:customStyle="1" w:styleId="et03">
    <w:name w:val="et03"/>
    <w:rsid w:val="00BB5919"/>
  </w:style>
  <w:style w:type="character" w:customStyle="1" w:styleId="UnresolvedMention">
    <w:name w:val="Unresolved Mention"/>
    <w:basedOn w:val="DefaultParagraphFont"/>
    <w:uiPriority w:val="99"/>
    <w:rsid w:val="0072301B"/>
    <w:rPr>
      <w:color w:val="605E5C"/>
      <w:shd w:val="clear" w:color="auto" w:fill="E1DFDD"/>
    </w:rPr>
  </w:style>
  <w:style w:type="character" w:customStyle="1" w:styleId="f">
    <w:name w:val="f"/>
    <w:rsid w:val="00736DD1"/>
  </w:style>
  <w:style w:type="character" w:styleId="Emphasis">
    <w:name w:val="Emphasis"/>
    <w:uiPriority w:val="20"/>
    <w:qFormat/>
    <w:rsid w:val="00736D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mailto:will.wiquist@fcc.gov" TargetMode="External" /><Relationship Id="rId11" Type="http://schemas.openxmlformats.org/officeDocument/2006/relationships/hyperlink" Target="mailto:fcc504@fcc.gov" TargetMode="External" /><Relationship Id="rId12" Type="http://schemas.openxmlformats.org/officeDocument/2006/relationships/header" Target="header1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header" Target="header2.xml" /><Relationship Id="rId16" Type="http://schemas.openxmlformats.org/officeDocument/2006/relationships/footer" Target="footer3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field@fcc.gov" TargetMode="External" /><Relationship Id="rId6" Type="http://schemas.openxmlformats.org/officeDocument/2006/relationships/hyperlink" Target="https://www.fcc.gov/general/u-nii-and-tdwr-interference-enforcement" TargetMode="External" /><Relationship Id="rId7" Type="http://schemas.openxmlformats.org/officeDocument/2006/relationships/hyperlink" Target="https://www.fcc.gov/engineering-technology/laboratory-division/general/equipment-authorization" TargetMode="External" /><Relationship Id="rId8" Type="http://schemas.openxmlformats.org/officeDocument/2006/relationships/hyperlink" Target="https://apps.fcc.gov/oetcf/kdb/index.cfm" TargetMode="External" /><Relationship Id="rId9" Type="http://schemas.openxmlformats.org/officeDocument/2006/relationships/hyperlink" Target="https://consumercomplaints.fcc.gov" TargetMode="Externa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apps.fcc.gov/kdb/GetAttachment.html?id=zXtrctoj6zH7oNEOO6De6g%3D%3D&amp;desc=594280%20D02%20U-NII%20Device%20Security%20v01r03&amp;tracking_number=39498" TargetMode="Externa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