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10081" w:rsidP="00610081" w14:paraId="05DB527C" w14:textId="77777777">
      <w:pPr>
        <w:jc w:val="right"/>
        <w:rPr>
          <w:sz w:val="24"/>
        </w:rPr>
      </w:pPr>
    </w:p>
    <w:p w:rsidR="00610081" w:rsidRPr="00B351A9" w:rsidP="00610081" w14:paraId="49F802A3" w14:textId="79A46BBF">
      <w:pPr>
        <w:jc w:val="right"/>
        <w:rPr>
          <w:b/>
          <w:szCs w:val="22"/>
        </w:rPr>
      </w:pPr>
      <w:r w:rsidRPr="00B351A9">
        <w:rPr>
          <w:b/>
          <w:szCs w:val="22"/>
        </w:rPr>
        <w:t xml:space="preserve">DA </w:t>
      </w:r>
      <w:r w:rsidRPr="001D4543" w:rsidR="00DE240F">
        <w:rPr>
          <w:b/>
          <w:szCs w:val="22"/>
        </w:rPr>
        <w:t>19-</w:t>
      </w:r>
      <w:r w:rsidR="00297401">
        <w:rPr>
          <w:b/>
          <w:szCs w:val="22"/>
        </w:rPr>
        <w:t>812</w:t>
      </w:r>
    </w:p>
    <w:p w:rsidR="00610081" w:rsidRPr="00B351A9" w:rsidP="00610081" w14:paraId="4A8A0BC5" w14:textId="006B446F">
      <w:pPr>
        <w:jc w:val="right"/>
        <w:rPr>
          <w:b/>
          <w:szCs w:val="22"/>
        </w:rPr>
      </w:pPr>
      <w:r w:rsidRPr="001D4543">
        <w:rPr>
          <w:b/>
          <w:szCs w:val="22"/>
        </w:rPr>
        <w:t xml:space="preserve">Released: </w:t>
      </w:r>
      <w:r w:rsidR="007E5F54">
        <w:rPr>
          <w:b/>
          <w:szCs w:val="22"/>
        </w:rPr>
        <w:t>August</w:t>
      </w:r>
      <w:r w:rsidR="00130DB0">
        <w:rPr>
          <w:b/>
          <w:szCs w:val="22"/>
        </w:rPr>
        <w:t xml:space="preserve"> </w:t>
      </w:r>
      <w:r w:rsidR="004147F1">
        <w:rPr>
          <w:b/>
          <w:szCs w:val="22"/>
        </w:rPr>
        <w:t>23</w:t>
      </w:r>
      <w:r w:rsidRPr="001D4543">
        <w:rPr>
          <w:b/>
          <w:szCs w:val="22"/>
        </w:rPr>
        <w:t>, 201</w:t>
      </w:r>
      <w:r w:rsidRPr="001D4543" w:rsidR="00DE240F">
        <w:rPr>
          <w:b/>
          <w:szCs w:val="22"/>
        </w:rPr>
        <w:t>9</w:t>
      </w:r>
    </w:p>
    <w:p w:rsidR="00610081" w:rsidRPr="00B351A9" w:rsidP="00610081" w14:paraId="2CF25544" w14:textId="77777777">
      <w:pPr>
        <w:jc w:val="right"/>
        <w:rPr>
          <w:szCs w:val="22"/>
        </w:rPr>
      </w:pPr>
    </w:p>
    <w:p w:rsidR="00610081" w:rsidRPr="00B351A9" w:rsidP="00610081" w14:paraId="67BDDD3B" w14:textId="77777777">
      <w:pPr>
        <w:ind w:left="720"/>
        <w:rPr>
          <w:szCs w:val="22"/>
        </w:rPr>
      </w:pPr>
    </w:p>
    <w:p w:rsidR="00610081" w:rsidRPr="00B351A9" w:rsidP="00610081" w14:paraId="79DCFDDE" w14:textId="77777777">
      <w:pPr>
        <w:ind w:left="720"/>
        <w:jc w:val="center"/>
        <w:rPr>
          <w:b/>
          <w:szCs w:val="22"/>
        </w:rPr>
      </w:pPr>
      <w:r w:rsidRPr="00B351A9">
        <w:rPr>
          <w:b/>
          <w:szCs w:val="22"/>
        </w:rPr>
        <w:t xml:space="preserve">NOTICE CONCERNING </w:t>
      </w:r>
      <w:r w:rsidRPr="00B351A9">
        <w:rPr>
          <w:b/>
          <w:i/>
          <w:szCs w:val="22"/>
        </w:rPr>
        <w:t>EX PARTE</w:t>
      </w:r>
      <w:r w:rsidRPr="00B351A9">
        <w:rPr>
          <w:b/>
          <w:szCs w:val="22"/>
        </w:rPr>
        <w:t xml:space="preserve"> STATUS OF </w:t>
      </w:r>
      <w:r w:rsidRPr="008130BE" w:rsidR="00C5135A">
        <w:rPr>
          <w:b/>
          <w:szCs w:val="22"/>
        </w:rPr>
        <w:t>PRESENTATIONS RELATED</w:t>
      </w:r>
      <w:r w:rsidRPr="00B351A9">
        <w:rPr>
          <w:b/>
          <w:szCs w:val="22"/>
        </w:rPr>
        <w:t xml:space="preserve"> TO </w:t>
      </w:r>
      <w:r w:rsidR="00B55674">
        <w:rPr>
          <w:b/>
          <w:szCs w:val="22"/>
        </w:rPr>
        <w:t xml:space="preserve">THE </w:t>
      </w:r>
      <w:r w:rsidRPr="00B351A9">
        <w:rPr>
          <w:b/>
          <w:szCs w:val="22"/>
        </w:rPr>
        <w:t>CONSUMER ADVISORY COMMITTEE</w:t>
      </w:r>
      <w:r w:rsidRPr="00C5135A" w:rsidR="00D02AC8">
        <w:rPr>
          <w:b/>
          <w:szCs w:val="22"/>
        </w:rPr>
        <w:t xml:space="preserve"> </w:t>
      </w:r>
    </w:p>
    <w:p w:rsidR="00610081" w:rsidRPr="00B351A9" w:rsidP="00610081" w14:paraId="2E041AE5" w14:textId="77777777">
      <w:pPr>
        <w:rPr>
          <w:b/>
          <w:szCs w:val="22"/>
        </w:rPr>
      </w:pPr>
    </w:p>
    <w:p w:rsidR="00610081" w:rsidRPr="00B351A9" w:rsidP="00E242E2" w14:paraId="6E8896BC" w14:textId="0CED4010">
      <w:pPr>
        <w:ind w:firstLine="720"/>
        <w:rPr>
          <w:szCs w:val="22"/>
        </w:rPr>
      </w:pPr>
      <w:r w:rsidRPr="00B351A9">
        <w:rPr>
          <w:szCs w:val="22"/>
        </w:rPr>
        <w:t xml:space="preserve">The Federal Communications Commission (FCC or Commission) </w:t>
      </w:r>
      <w:r w:rsidR="005E4EFF">
        <w:rPr>
          <w:szCs w:val="22"/>
        </w:rPr>
        <w:t>an</w:t>
      </w:r>
      <w:r w:rsidR="00ED06CF">
        <w:rPr>
          <w:szCs w:val="22"/>
        </w:rPr>
        <w:t>nounces</w:t>
      </w:r>
      <w:r w:rsidRPr="00B351A9">
        <w:rPr>
          <w:szCs w:val="22"/>
        </w:rPr>
        <w:t xml:space="preserve"> the </w:t>
      </w:r>
      <w:r w:rsidRPr="00B351A9" w:rsidR="00B931B2">
        <w:rPr>
          <w:szCs w:val="22"/>
        </w:rPr>
        <w:t xml:space="preserve">next </w:t>
      </w:r>
      <w:r w:rsidRPr="00B351A9">
        <w:rPr>
          <w:szCs w:val="22"/>
        </w:rPr>
        <w:t>meeting of its C</w:t>
      </w:r>
      <w:r w:rsidRPr="00B351A9" w:rsidR="00B931B2">
        <w:rPr>
          <w:szCs w:val="22"/>
        </w:rPr>
        <w:t xml:space="preserve">onsumer </w:t>
      </w:r>
      <w:r w:rsidRPr="00B351A9">
        <w:rPr>
          <w:szCs w:val="22"/>
        </w:rPr>
        <w:t>Advisory Committee (CAC</w:t>
      </w:r>
      <w:r w:rsidR="00854F7B">
        <w:rPr>
          <w:szCs w:val="22"/>
        </w:rPr>
        <w:t>)</w:t>
      </w:r>
      <w:r w:rsidR="00ED06CF">
        <w:rPr>
          <w:szCs w:val="22"/>
        </w:rPr>
        <w:t xml:space="preserve">. The meeting </w:t>
      </w:r>
      <w:r w:rsidR="005E4EFF">
        <w:rPr>
          <w:szCs w:val="22"/>
        </w:rPr>
        <w:t>will occur</w:t>
      </w:r>
      <w:r w:rsidRPr="00B351A9">
        <w:rPr>
          <w:szCs w:val="22"/>
        </w:rPr>
        <w:t xml:space="preserve"> on </w:t>
      </w:r>
      <w:r w:rsidR="001C35DD">
        <w:rPr>
          <w:szCs w:val="22"/>
        </w:rPr>
        <w:t xml:space="preserve">Monday, </w:t>
      </w:r>
      <w:r w:rsidR="00130DB0">
        <w:rPr>
          <w:szCs w:val="22"/>
        </w:rPr>
        <w:t xml:space="preserve">September </w:t>
      </w:r>
      <w:r w:rsidR="001C35DD">
        <w:rPr>
          <w:szCs w:val="22"/>
        </w:rPr>
        <w:t>16</w:t>
      </w:r>
      <w:r w:rsidR="00130DB0">
        <w:rPr>
          <w:szCs w:val="22"/>
        </w:rPr>
        <w:t>, 2019.</w:t>
      </w:r>
      <w:r>
        <w:rPr>
          <w:rStyle w:val="FootnoteReference"/>
          <w:szCs w:val="22"/>
        </w:rPr>
        <w:footnoteReference w:id="3"/>
      </w:r>
      <w:r w:rsidR="001B1AD9">
        <w:rPr>
          <w:szCs w:val="22"/>
        </w:rPr>
        <w:t xml:space="preserve"> </w:t>
      </w:r>
      <w:r w:rsidR="0019198D">
        <w:rPr>
          <w:szCs w:val="22"/>
        </w:rPr>
        <w:t xml:space="preserve"> </w:t>
      </w:r>
      <w:r w:rsidRPr="00B351A9">
        <w:rPr>
          <w:szCs w:val="22"/>
        </w:rPr>
        <w:t xml:space="preserve">The mission of the CAC is to provide advice and recommendations to the </w:t>
      </w:r>
      <w:r w:rsidRPr="00B351A9" w:rsidR="008D1E4F">
        <w:rPr>
          <w:szCs w:val="22"/>
        </w:rPr>
        <w:t>Commission regarding</w:t>
      </w:r>
      <w:r w:rsidRPr="00B351A9" w:rsidR="00F501D1">
        <w:rPr>
          <w:szCs w:val="22"/>
        </w:rPr>
        <w:t xml:space="preserve"> consumer issues </w:t>
      </w:r>
      <w:r w:rsidR="003C47E1">
        <w:rPr>
          <w:szCs w:val="22"/>
        </w:rPr>
        <w:t>specified by</w:t>
      </w:r>
      <w:r w:rsidRPr="00B351A9" w:rsidR="00F501D1">
        <w:rPr>
          <w:szCs w:val="22"/>
        </w:rPr>
        <w:t xml:space="preserve"> the Commission and to facilitate the participation of consumers (including underserved populations, such as Native Americans, persons living in rural areas, older persons, people </w:t>
      </w:r>
      <w:bookmarkStart w:id="0" w:name="_GoBack"/>
      <w:bookmarkEnd w:id="0"/>
      <w:r w:rsidRPr="00B351A9" w:rsidR="00F501D1">
        <w:rPr>
          <w:szCs w:val="22"/>
        </w:rPr>
        <w:t xml:space="preserve">with disabilities, and persons for whom English is not their primary language) in proceedings before the Commission. </w:t>
      </w:r>
      <w:r w:rsidR="001B1AD9">
        <w:rPr>
          <w:szCs w:val="22"/>
        </w:rPr>
        <w:t xml:space="preserve"> </w:t>
      </w:r>
      <w:r w:rsidR="0089119E">
        <w:rPr>
          <w:szCs w:val="22"/>
        </w:rPr>
        <w:t>T</w:t>
      </w:r>
      <w:r w:rsidRPr="00B351A9">
        <w:rPr>
          <w:szCs w:val="22"/>
        </w:rPr>
        <w:t>he CAC is organized under, and operates in accordance with, the provisions of the Federal Advisory Committee Act (FACA).</w:t>
      </w:r>
      <w:r>
        <w:rPr>
          <w:szCs w:val="22"/>
          <w:vertAlign w:val="superscript"/>
        </w:rPr>
        <w:footnoteReference w:id="4"/>
      </w:r>
      <w:r w:rsidRPr="00B351A9">
        <w:rPr>
          <w:szCs w:val="22"/>
        </w:rPr>
        <w:t xml:space="preserve"> </w:t>
      </w:r>
    </w:p>
    <w:p w:rsidR="00610081" w:rsidRPr="00B351A9" w:rsidP="00610081" w14:paraId="090B9872" w14:textId="77777777">
      <w:pPr>
        <w:ind w:firstLine="720"/>
        <w:rPr>
          <w:szCs w:val="22"/>
        </w:rPr>
      </w:pPr>
    </w:p>
    <w:p w:rsidR="00610081" w:rsidRPr="00B351A9" w:rsidP="00610081" w14:paraId="1CE4017E" w14:textId="77777777">
      <w:pPr>
        <w:ind w:firstLine="720"/>
        <w:rPr>
          <w:szCs w:val="22"/>
        </w:rPr>
      </w:pPr>
      <w:r>
        <w:rPr>
          <w:szCs w:val="22"/>
        </w:rPr>
        <w:t>Pursuant to</w:t>
      </w:r>
      <w:r w:rsidRPr="00B351A9">
        <w:rPr>
          <w:szCs w:val="22"/>
        </w:rPr>
        <w:t xml:space="preserve"> </w:t>
      </w:r>
      <w:r w:rsidRPr="00B351A9">
        <w:rPr>
          <w:szCs w:val="22"/>
        </w:rPr>
        <w:t xml:space="preserve">the </w:t>
      </w:r>
      <w:r>
        <w:rPr>
          <w:szCs w:val="22"/>
        </w:rPr>
        <w:t>FACA</w:t>
      </w:r>
      <w:r w:rsidRPr="00B351A9">
        <w:rPr>
          <w:szCs w:val="22"/>
        </w:rPr>
        <w:t>, the Commission is responsible for oversight of the CAC, including its subcommittees and working groups.</w:t>
      </w:r>
      <w:r>
        <w:rPr>
          <w:szCs w:val="22"/>
          <w:vertAlign w:val="superscript"/>
        </w:rPr>
        <w:footnoteReference w:id="5"/>
      </w:r>
      <w:r w:rsidRPr="00B351A9">
        <w:rPr>
          <w:szCs w:val="22"/>
        </w:rPr>
        <w:t xml:space="preserve"> </w:t>
      </w:r>
      <w:r>
        <w:rPr>
          <w:szCs w:val="22"/>
        </w:rPr>
        <w:t xml:space="preserve"> </w:t>
      </w:r>
      <w:r w:rsidRPr="00B351A9">
        <w:rPr>
          <w:szCs w:val="22"/>
        </w:rPr>
        <w:t xml:space="preserve">As a result, FCC staff or Commissioners may participate in or attend meetings or other activities held by both the CAC and its subcommittees and working groups. </w:t>
      </w:r>
      <w:r>
        <w:rPr>
          <w:szCs w:val="22"/>
        </w:rPr>
        <w:t xml:space="preserve"> </w:t>
      </w:r>
      <w:r w:rsidRPr="00B351A9">
        <w:rPr>
          <w:szCs w:val="22"/>
        </w:rPr>
        <w:t xml:space="preserve">In light of this, we are announcing that, pursuant to section 1.1200(a) of the Commission’s rules, 47 CFR § 1.1200(a), presentations to the CAC, including to its subcommittees and working groups, and at any roundtable discussions sponsored by the CAC, </w:t>
      </w:r>
      <w:r w:rsidR="00D617FA">
        <w:rPr>
          <w:szCs w:val="22"/>
        </w:rPr>
        <w:t>as well as</w:t>
      </w:r>
      <w:r w:rsidRPr="00B351A9">
        <w:rPr>
          <w:szCs w:val="22"/>
        </w:rPr>
        <w:t xml:space="preserve"> presentations between CAC members (including members of any subcommittees or working groups) and FCC staff or Commissioners</w:t>
      </w:r>
      <w:r w:rsidR="00397692">
        <w:rPr>
          <w:szCs w:val="22"/>
        </w:rPr>
        <w:t xml:space="preserve"> incidental to and</w:t>
      </w:r>
      <w:r w:rsidR="00D617FA">
        <w:rPr>
          <w:szCs w:val="22"/>
        </w:rPr>
        <w:t xml:space="preserve"> in connection with such CAC meetings or </w:t>
      </w:r>
      <w:r w:rsidR="00E017E7">
        <w:rPr>
          <w:szCs w:val="22"/>
        </w:rPr>
        <w:t xml:space="preserve">roundtable </w:t>
      </w:r>
      <w:r w:rsidR="00D617FA">
        <w:rPr>
          <w:szCs w:val="22"/>
        </w:rPr>
        <w:t>discussions</w:t>
      </w:r>
      <w:r w:rsidRPr="00B351A9">
        <w:rPr>
          <w:szCs w:val="22"/>
        </w:rPr>
        <w:t xml:space="preserve">, will be treated as exempt presentations for </w:t>
      </w:r>
      <w:r w:rsidRPr="00B351A9">
        <w:rPr>
          <w:i/>
          <w:szCs w:val="22"/>
        </w:rPr>
        <w:t>ex parte</w:t>
      </w:r>
      <w:r w:rsidRPr="00B351A9">
        <w:rPr>
          <w:szCs w:val="22"/>
        </w:rPr>
        <w:t xml:space="preserve"> purposes.</w:t>
      </w:r>
      <w:r>
        <w:rPr>
          <w:rStyle w:val="FootnoteReference"/>
          <w:szCs w:val="22"/>
        </w:rPr>
        <w:footnoteReference w:id="6"/>
      </w:r>
      <w:r w:rsidR="00E02E79">
        <w:rPr>
          <w:szCs w:val="22"/>
        </w:rPr>
        <w:t xml:space="preserve"> </w:t>
      </w:r>
      <w:r w:rsidRPr="00B351A9">
        <w:rPr>
          <w:szCs w:val="22"/>
        </w:rPr>
        <w:t xml:space="preserve"> This </w:t>
      </w:r>
      <w:r w:rsidRPr="00C5135A" w:rsidR="00D02AC8">
        <w:rPr>
          <w:szCs w:val="22"/>
        </w:rPr>
        <w:t>exemption covers</w:t>
      </w:r>
      <w:r w:rsidRPr="00B351A9">
        <w:rPr>
          <w:szCs w:val="22"/>
        </w:rPr>
        <w:t xml:space="preserve"> presentations </w:t>
      </w:r>
      <w:r w:rsidRPr="00C5135A" w:rsidR="00D02AC8">
        <w:rPr>
          <w:szCs w:val="22"/>
        </w:rPr>
        <w:t xml:space="preserve">from CAC members to FCC staff and Commissioners </w:t>
      </w:r>
      <w:r w:rsidRPr="008130BE" w:rsidR="00D02AC8">
        <w:rPr>
          <w:szCs w:val="22"/>
        </w:rPr>
        <w:t xml:space="preserve">in </w:t>
      </w:r>
      <w:r w:rsidRPr="007310F3" w:rsidR="00C5135A">
        <w:rPr>
          <w:szCs w:val="22"/>
        </w:rPr>
        <w:t xml:space="preserve">other </w:t>
      </w:r>
      <w:r w:rsidRPr="008130BE" w:rsidR="00D02AC8">
        <w:rPr>
          <w:szCs w:val="22"/>
        </w:rPr>
        <w:t xml:space="preserve">settings only </w:t>
      </w:r>
      <w:r w:rsidRPr="00B351A9">
        <w:rPr>
          <w:szCs w:val="22"/>
        </w:rPr>
        <w:t xml:space="preserve">to the </w:t>
      </w:r>
      <w:r w:rsidRPr="008130BE" w:rsidR="00D02AC8">
        <w:rPr>
          <w:szCs w:val="22"/>
        </w:rPr>
        <w:t xml:space="preserve">extent that </w:t>
      </w:r>
      <w:r w:rsidRPr="00B351A9">
        <w:rPr>
          <w:szCs w:val="22"/>
        </w:rPr>
        <w:t xml:space="preserve">the </w:t>
      </w:r>
      <w:r w:rsidRPr="008130BE" w:rsidR="00D02AC8">
        <w:rPr>
          <w:szCs w:val="22"/>
        </w:rPr>
        <w:t>CAC members are presenting the views of the CAC or its working groups, as opposed</w:t>
      </w:r>
      <w:r w:rsidRPr="00C5135A" w:rsidR="00D02AC8">
        <w:rPr>
          <w:szCs w:val="22"/>
        </w:rPr>
        <w:t xml:space="preserve"> to </w:t>
      </w:r>
      <w:r w:rsidR="00D5227F">
        <w:rPr>
          <w:szCs w:val="22"/>
        </w:rPr>
        <w:t>an</w:t>
      </w:r>
      <w:r w:rsidRPr="00C5135A" w:rsidR="00D02AC8">
        <w:rPr>
          <w:szCs w:val="22"/>
        </w:rPr>
        <w:t xml:space="preserve"> individual member’s own views or that</w:t>
      </w:r>
      <w:r w:rsidRPr="00B351A9">
        <w:rPr>
          <w:szCs w:val="22"/>
        </w:rPr>
        <w:t xml:space="preserve"> of </w:t>
      </w:r>
      <w:r w:rsidR="00D5227F">
        <w:rPr>
          <w:szCs w:val="22"/>
        </w:rPr>
        <w:t>a</w:t>
      </w:r>
      <w:r w:rsidRPr="00C5135A" w:rsidR="00D02AC8">
        <w:rPr>
          <w:szCs w:val="22"/>
        </w:rPr>
        <w:t xml:space="preserve"> member’s </w:t>
      </w:r>
      <w:r w:rsidRPr="007C62C3" w:rsidR="00D02AC8">
        <w:rPr>
          <w:szCs w:val="22"/>
        </w:rPr>
        <w:t xml:space="preserve">organization.  We find that this modification of the </w:t>
      </w:r>
      <w:r w:rsidRPr="006F6A9E" w:rsidR="00D02AC8">
        <w:rPr>
          <w:i/>
          <w:szCs w:val="22"/>
        </w:rPr>
        <w:t>ex parte</w:t>
      </w:r>
      <w:r w:rsidRPr="00B351A9">
        <w:rPr>
          <w:szCs w:val="22"/>
        </w:rPr>
        <w:t xml:space="preserve"> rules</w:t>
      </w:r>
      <w:r w:rsidRPr="007C62C3" w:rsidR="00D02AC8">
        <w:rPr>
          <w:szCs w:val="22"/>
        </w:rPr>
        <w:t xml:space="preserve"> is in the public interest because it will </w:t>
      </w:r>
      <w:r w:rsidRPr="007C62C3" w:rsidR="00D02AC8">
        <w:rPr>
          <w:szCs w:val="22"/>
        </w:rPr>
        <w:t>allow the CAC to develop and shape its advice and recommendations to the Commission more efficiently and effectively</w:t>
      </w:r>
      <w:r w:rsidRPr="00C5135A" w:rsidR="00D02AC8">
        <w:rPr>
          <w:szCs w:val="22"/>
        </w:rPr>
        <w:t>.</w:t>
      </w:r>
    </w:p>
    <w:p w:rsidR="00610081" w:rsidRPr="00B351A9" w:rsidP="00610081" w14:paraId="7219FB76" w14:textId="77777777">
      <w:pPr>
        <w:ind w:firstLine="720"/>
        <w:rPr>
          <w:szCs w:val="22"/>
        </w:rPr>
      </w:pPr>
    </w:p>
    <w:p w:rsidR="00610081" w:rsidRPr="00B351A9" w:rsidP="00610081" w14:paraId="69D0E303" w14:textId="77777777">
      <w:pPr>
        <w:ind w:firstLine="720"/>
        <w:rPr>
          <w:szCs w:val="22"/>
        </w:rPr>
      </w:pPr>
      <w:r w:rsidRPr="00B351A9">
        <w:rPr>
          <w:szCs w:val="22"/>
        </w:rPr>
        <w:t xml:space="preserve">We recognize that </w:t>
      </w:r>
      <w:r w:rsidR="00E017E7">
        <w:rPr>
          <w:szCs w:val="22"/>
        </w:rPr>
        <w:t xml:space="preserve">some </w:t>
      </w:r>
      <w:r w:rsidRPr="00B351A9">
        <w:rPr>
          <w:szCs w:val="22"/>
        </w:rPr>
        <w:t xml:space="preserve">issues may be addressed by the CAC </w:t>
      </w:r>
      <w:r w:rsidR="001B439A">
        <w:rPr>
          <w:szCs w:val="22"/>
        </w:rPr>
        <w:t xml:space="preserve">that </w:t>
      </w:r>
      <w:r w:rsidRPr="00B351A9">
        <w:rPr>
          <w:szCs w:val="22"/>
        </w:rPr>
        <w:t>are the subject of pending FCC proceedings.</w:t>
      </w:r>
      <w:r w:rsidR="00600450">
        <w:rPr>
          <w:szCs w:val="22"/>
        </w:rPr>
        <w:t xml:space="preserve"> </w:t>
      </w:r>
      <w:r w:rsidR="001B1AD9">
        <w:rPr>
          <w:szCs w:val="22"/>
        </w:rPr>
        <w:t xml:space="preserve"> </w:t>
      </w:r>
      <w:r w:rsidRPr="00B351A9">
        <w:rPr>
          <w:szCs w:val="22"/>
        </w:rPr>
        <w:t>The Commission will not rely in these proceedings on any information submitted to the CAC, or to any of its subcommittees, working groups, or sponsored roundtables, or information conveyed by CAC members (including members of any subcommittees or working groups) to FCC staff or Commissioners unless that information is first placed in the record of the relevant proceeding.</w:t>
      </w:r>
      <w:r>
        <w:rPr>
          <w:rStyle w:val="FootnoteReference"/>
          <w:szCs w:val="22"/>
        </w:rPr>
        <w:footnoteReference w:id="7"/>
      </w:r>
    </w:p>
    <w:p w:rsidR="00DB08D5" w:rsidP="00610081" w14:paraId="0DA1E1C1" w14:textId="77777777">
      <w:pPr>
        <w:rPr>
          <w:szCs w:val="22"/>
        </w:rPr>
      </w:pPr>
    </w:p>
    <w:p w:rsidR="00610081" w:rsidRPr="00B351A9" w:rsidP="006F6A9E" w14:paraId="165E5FAA" w14:textId="00ABD2F3">
      <w:pPr>
        <w:ind w:firstLine="720"/>
        <w:rPr>
          <w:szCs w:val="22"/>
        </w:rPr>
      </w:pPr>
      <w:r w:rsidRPr="00B351A9">
        <w:rPr>
          <w:szCs w:val="22"/>
        </w:rPr>
        <w:t xml:space="preserve">Additional information regarding the CAC can be found at https://www.fcc.gov/consumer-advisory-committee. </w:t>
      </w:r>
      <w:r w:rsidR="008C6FCF">
        <w:rPr>
          <w:szCs w:val="22"/>
        </w:rPr>
        <w:t xml:space="preserve"> </w:t>
      </w:r>
      <w:r w:rsidRPr="00B351A9">
        <w:rPr>
          <w:szCs w:val="22"/>
        </w:rPr>
        <w:t xml:space="preserve">You may also contact Scott Marshall, Designated Federal Officer for </w:t>
      </w:r>
      <w:r w:rsidR="00F10403">
        <w:rPr>
          <w:szCs w:val="22"/>
        </w:rPr>
        <w:t xml:space="preserve">the </w:t>
      </w:r>
      <w:r w:rsidRPr="00B351A9">
        <w:rPr>
          <w:szCs w:val="22"/>
        </w:rPr>
        <w:t>CAC</w:t>
      </w:r>
      <w:r w:rsidR="00F10403">
        <w:rPr>
          <w:szCs w:val="22"/>
        </w:rPr>
        <w:t>,</w:t>
      </w:r>
      <w:r w:rsidRPr="00B351A9">
        <w:rPr>
          <w:szCs w:val="22"/>
        </w:rPr>
        <w:t xml:space="preserve"> at (202) 418-2809 (voice/relay)</w:t>
      </w:r>
      <w:r w:rsidR="00F35025">
        <w:rPr>
          <w:szCs w:val="22"/>
        </w:rPr>
        <w:t>,</w:t>
      </w:r>
      <w:r w:rsidRPr="00B351A9">
        <w:rPr>
          <w:szCs w:val="22"/>
        </w:rPr>
        <w:t xml:space="preserve"> </w:t>
      </w:r>
      <w:r w:rsidR="00F35025">
        <w:rPr>
          <w:szCs w:val="22"/>
        </w:rPr>
        <w:t>email</w:t>
      </w:r>
      <w:r w:rsidR="00A54A33">
        <w:rPr>
          <w:szCs w:val="22"/>
        </w:rPr>
        <w:t xml:space="preserve">: </w:t>
      </w:r>
      <w:r w:rsidRPr="00B351A9">
        <w:rPr>
          <w:szCs w:val="22"/>
        </w:rPr>
        <w:t xml:space="preserve"> </w:t>
      </w:r>
      <w:hyperlink r:id="rId5" w:history="1">
        <w:r w:rsidR="008C6FCF">
          <w:rPr>
            <w:rStyle w:val="Hyperlink"/>
            <w:szCs w:val="22"/>
          </w:rPr>
          <w:t>Scott.Marshall@fcc.gov</w:t>
        </w:r>
      </w:hyperlink>
      <w:r w:rsidRPr="00A270C1" w:rsidR="00F10403">
        <w:rPr>
          <w:rStyle w:val="Hyperlink"/>
          <w:color w:val="auto"/>
          <w:szCs w:val="22"/>
          <w:u w:val="none"/>
        </w:rPr>
        <w:t>;</w:t>
      </w:r>
      <w:r w:rsidR="00F35025">
        <w:rPr>
          <w:szCs w:val="22"/>
        </w:rPr>
        <w:t xml:space="preserve"> or Christina</w:t>
      </w:r>
      <w:r w:rsidR="00A54A33">
        <w:rPr>
          <w:szCs w:val="22"/>
        </w:rPr>
        <w:t xml:space="preserve"> C</w:t>
      </w:r>
      <w:r w:rsidR="00F35025">
        <w:rPr>
          <w:szCs w:val="22"/>
        </w:rPr>
        <w:t>learwater, Deputy Designated Federal Officer for the CAC</w:t>
      </w:r>
      <w:r w:rsidR="00F10403">
        <w:rPr>
          <w:szCs w:val="22"/>
        </w:rPr>
        <w:t>,</w:t>
      </w:r>
      <w:r w:rsidR="00F35025">
        <w:rPr>
          <w:szCs w:val="22"/>
        </w:rPr>
        <w:t xml:space="preserve"> at (202) 418-1893 (voice/relay), email</w:t>
      </w:r>
      <w:r w:rsidR="00A54A33">
        <w:rPr>
          <w:szCs w:val="22"/>
        </w:rPr>
        <w:t>:</w:t>
      </w:r>
      <w:r w:rsidR="00F10403">
        <w:rPr>
          <w:szCs w:val="22"/>
        </w:rPr>
        <w:t xml:space="preserve"> </w:t>
      </w:r>
      <w:hyperlink r:id="rId6" w:history="1">
        <w:r w:rsidRPr="007A479F" w:rsidR="007E5F54">
          <w:rPr>
            <w:rStyle w:val="Hyperlink"/>
            <w:szCs w:val="22"/>
          </w:rPr>
          <w:t>Christina.Clearwater@fcc.gov</w:t>
        </w:r>
      </w:hyperlink>
      <w:r w:rsidR="00F35025">
        <w:rPr>
          <w:szCs w:val="22"/>
        </w:rPr>
        <w:t xml:space="preserve">. </w:t>
      </w:r>
      <w:r w:rsidR="008C6FCF">
        <w:rPr>
          <w:szCs w:val="22"/>
        </w:rPr>
        <w:t xml:space="preserve"> </w:t>
      </w:r>
    </w:p>
    <w:p w:rsidR="00BC4F97" w:rsidP="00692C7A" w14:paraId="3D88B93A" w14:textId="77777777">
      <w:pPr>
        <w:ind w:firstLine="720"/>
        <w:rPr>
          <w:sz w:val="24"/>
          <w:szCs w:val="24"/>
        </w:rPr>
      </w:pPr>
      <w:r>
        <w:rPr>
          <w:sz w:val="24"/>
          <w:szCs w:val="24"/>
        </w:rPr>
        <w:t xml:space="preserve"> </w:t>
      </w:r>
    </w:p>
    <w:p w:rsidR="00692C7A" w:rsidP="00692C7A" w14:paraId="4136AFF3" w14:textId="77777777">
      <w:pPr>
        <w:ind w:firstLine="720"/>
        <w:rPr>
          <w:sz w:val="24"/>
          <w:szCs w:val="24"/>
        </w:rPr>
      </w:pPr>
    </w:p>
    <w:p w:rsidR="00BC4F97" w:rsidP="00BC4F97" w14:paraId="6A08DADC" w14:textId="77777777">
      <w:pPr>
        <w:widowControl w:val="0"/>
        <w:autoSpaceDE w:val="0"/>
        <w:autoSpaceDN w:val="0"/>
        <w:adjustRightInd w:val="0"/>
        <w:jc w:val="center"/>
        <w:rPr>
          <w:b/>
          <w:bCs/>
          <w:szCs w:val="22"/>
        </w:rPr>
      </w:pPr>
      <w:r>
        <w:rPr>
          <w:b/>
          <w:bCs/>
        </w:rPr>
        <w:t>- FCC</w:t>
      </w:r>
      <w:r>
        <w:rPr>
          <w:b/>
          <w:bCs/>
          <w:szCs w:val="22"/>
        </w:rPr>
        <w:t xml:space="preserve"> -</w:t>
      </w:r>
    </w:p>
    <w:p w:rsidR="006A1F49" w:rsidRPr="008D1E4F" w:rsidP="00692C7A" w14:paraId="70C1251A" w14:textId="77777777">
      <w:pPr>
        <w:rPr>
          <w:sz w:val="24"/>
          <w:szCs w:val="24"/>
        </w:rPr>
      </w:pPr>
    </w:p>
    <w:sectPr w:rsidSect="00DF0810">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40A7" w:rsidP="0055614C" w14:paraId="170C750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840A7" w14:paraId="53F31A03" w14:textId="77777777">
    <w:pPr>
      <w:pStyle w:val="Footer"/>
    </w:pPr>
  </w:p>
  <w:p w:rsidR="00D840A7" w14:paraId="3039B7F6"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40A7" w:rsidP="0055614C" w14:paraId="5F1EB3E8" w14:textId="77777777">
    <w:pPr>
      <w:pStyle w:val="Footer"/>
      <w:framePr w:wrap="around" w:vAnchor="text" w:hAnchor="margin" w:xAlign="center" w:y="1"/>
    </w:pPr>
    <w:r>
      <w:fldChar w:fldCharType="begin"/>
    </w:r>
    <w:r>
      <w:instrText xml:space="preserve">PAGE  </w:instrText>
    </w:r>
    <w:r>
      <w:fldChar w:fldCharType="separate"/>
    </w:r>
    <w:r w:rsidR="00463D96">
      <w:rPr>
        <w:noProof/>
      </w:rPr>
      <w:t>2</w:t>
    </w:r>
    <w:r>
      <w:fldChar w:fldCharType="end"/>
    </w:r>
  </w:p>
  <w:p w:rsidR="00D840A7" w:rsidP="000E05FE" w14:paraId="37E8C36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40A7" w:rsidP="00B20363" w14:paraId="42B996CC"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631D" w14:paraId="207D4221" w14:textId="77777777">
      <w:r>
        <w:separator/>
      </w:r>
    </w:p>
  </w:footnote>
  <w:footnote w:type="continuationSeparator" w:id="1">
    <w:p w:rsidR="00E1631D" w:rsidP="00C721AC" w14:paraId="4A6E7A83" w14:textId="77777777">
      <w:pPr>
        <w:spacing w:before="120"/>
        <w:rPr>
          <w:sz w:val="20"/>
        </w:rPr>
      </w:pPr>
      <w:r>
        <w:rPr>
          <w:sz w:val="20"/>
        </w:rPr>
        <w:t xml:space="preserve">(Continued from previous page)  </w:t>
      </w:r>
      <w:r>
        <w:rPr>
          <w:sz w:val="20"/>
        </w:rPr>
        <w:separator/>
      </w:r>
    </w:p>
  </w:footnote>
  <w:footnote w:type="continuationNotice" w:id="2">
    <w:p w:rsidR="00E1631D" w:rsidP="00C721AC" w14:paraId="5029A770" w14:textId="77777777">
      <w:pPr>
        <w:jc w:val="right"/>
        <w:rPr>
          <w:sz w:val="20"/>
        </w:rPr>
      </w:pPr>
      <w:r>
        <w:rPr>
          <w:sz w:val="20"/>
        </w:rPr>
        <w:t>(continued….)</w:t>
      </w:r>
    </w:p>
  </w:footnote>
  <w:footnote w:id="3">
    <w:p w:rsidR="00B84578" w14:paraId="22F44ACD" w14:textId="4B93758F">
      <w:pPr>
        <w:pStyle w:val="FootnoteText"/>
      </w:pPr>
      <w:r>
        <w:rPr>
          <w:rStyle w:val="FootnoteReference"/>
        </w:rPr>
        <w:footnoteRef/>
      </w:r>
      <w:r>
        <w:t xml:space="preserve"> </w:t>
      </w:r>
      <w:r w:rsidRPr="00B916BC" w:rsidR="00B916BC">
        <w:rPr>
          <w:i/>
        </w:rPr>
        <w:t xml:space="preserve">FCC </w:t>
      </w:r>
      <w:r w:rsidRPr="00B916BC" w:rsidR="00B916BC">
        <w:rPr>
          <w:i/>
        </w:rPr>
        <w:t>Consumer Advisory Committee Announces, Date</w:t>
      </w:r>
      <w:r w:rsidRPr="00B916BC" w:rsidR="00B916BC">
        <w:rPr>
          <w:i/>
        </w:rPr>
        <w:t>,</w:t>
      </w:r>
      <w:r w:rsidRPr="00B916BC" w:rsidR="00B916BC">
        <w:rPr>
          <w:i/>
        </w:rPr>
        <w:t xml:space="preserve"> Time, and Agenda of Next Meeting</w:t>
      </w:r>
      <w:r w:rsidRPr="00B916BC" w:rsidR="00B916BC">
        <w:t>, Public Notice, DA 19-</w:t>
      </w:r>
      <w:r w:rsidR="00B916BC">
        <w:t>782</w:t>
      </w:r>
      <w:r w:rsidR="00215F3D">
        <w:t>,</w:t>
      </w:r>
      <w:r w:rsidRPr="004A3496" w:rsidR="004A3496">
        <w:t xml:space="preserve"> </w:t>
      </w:r>
      <w:r w:rsidRPr="004A3496" w:rsidR="004A3496">
        <w:t>2019 WL 3933632</w:t>
      </w:r>
      <w:r w:rsidR="00215F3D">
        <w:t xml:space="preserve"> </w:t>
      </w:r>
      <w:r w:rsidRPr="00B916BC" w:rsidR="00B916BC">
        <w:t>(</w:t>
      </w:r>
      <w:r w:rsidR="00B916BC">
        <w:t>August 16</w:t>
      </w:r>
      <w:r w:rsidRPr="00B916BC" w:rsidR="00B916BC">
        <w:t xml:space="preserve">, 2019). </w:t>
      </w:r>
      <w:r>
        <w:rPr>
          <w:szCs w:val="22"/>
        </w:rPr>
        <w:t xml:space="preserve">  </w:t>
      </w:r>
    </w:p>
  </w:footnote>
  <w:footnote w:id="4">
    <w:p w:rsidR="00D840A7" w:rsidRPr="00A02228" w:rsidP="00610081" w14:paraId="78452E81" w14:textId="3A6C7CB6">
      <w:pPr>
        <w:pStyle w:val="FootnoteText"/>
      </w:pPr>
      <w:r w:rsidRPr="00953531">
        <w:rPr>
          <w:rStyle w:val="FootnoteReference"/>
        </w:rPr>
        <w:t>2</w:t>
      </w:r>
      <w:r w:rsidRPr="00A02228">
        <w:t xml:space="preserve"> </w:t>
      </w:r>
      <w:r w:rsidRPr="001A3788">
        <w:rPr>
          <w:i/>
        </w:rPr>
        <w:t>See</w:t>
      </w:r>
      <w:r>
        <w:t xml:space="preserve"> </w:t>
      </w:r>
      <w:r w:rsidRPr="00A02228">
        <w:rPr>
          <w:rFonts w:cs="TimesNewRoman"/>
          <w:color w:val="010101"/>
        </w:rPr>
        <w:t>5 U.S.C. App. 2.</w:t>
      </w:r>
    </w:p>
  </w:footnote>
  <w:footnote w:id="5">
    <w:p w:rsidR="00D840A7" w:rsidRPr="004916BE" w:rsidP="00610081" w14:paraId="11160E11" w14:textId="17AB6C63">
      <w:pPr>
        <w:pStyle w:val="FootnoteText"/>
      </w:pPr>
      <w:r w:rsidRPr="00953531">
        <w:rPr>
          <w:rStyle w:val="FootnoteReference"/>
        </w:rPr>
        <w:t>3</w:t>
      </w:r>
      <w:r>
        <w:t xml:space="preserve"> </w:t>
      </w:r>
      <w:r>
        <w:rPr>
          <w:i/>
        </w:rPr>
        <w:t>See</w:t>
      </w:r>
      <w:r>
        <w:t xml:space="preserve"> </w:t>
      </w:r>
      <w:r w:rsidRPr="001A3788">
        <w:rPr>
          <w:i/>
        </w:rPr>
        <w:t>id</w:t>
      </w:r>
      <w:r>
        <w:t>.</w:t>
      </w:r>
    </w:p>
  </w:footnote>
  <w:footnote w:id="6">
    <w:p w:rsidR="00BD2228" w:rsidP="00BD2228" w14:paraId="162657C1" w14:textId="44B40F36">
      <w:pPr>
        <w:rPr>
          <w:color w:val="00B050"/>
        </w:rPr>
      </w:pPr>
      <w:r>
        <w:rPr>
          <w:rStyle w:val="FootnoteReference"/>
        </w:rPr>
        <w:footnoteRef/>
      </w:r>
      <w:r w:rsidRPr="00BD2228">
        <w:rPr>
          <w:color w:val="00B050"/>
          <w:sz w:val="20"/>
        </w:rPr>
        <w:t> </w:t>
      </w:r>
      <w:bookmarkStart w:id="1" w:name="_Hlk11764850"/>
      <w:r w:rsidRPr="00BD2228">
        <w:rPr>
          <w:sz w:val="20"/>
        </w:rPr>
        <w:t>Exempt</w:t>
      </w:r>
      <w:r w:rsidRPr="00BD2228">
        <w:rPr>
          <w:color w:val="FF0000"/>
          <w:sz w:val="20"/>
        </w:rPr>
        <w:t xml:space="preserve"> </w:t>
      </w:r>
      <w:r w:rsidRPr="00BD2228">
        <w:rPr>
          <w:sz w:val="20"/>
        </w:rPr>
        <w:t xml:space="preserve">presentations are not subject to the restrictions and reporting requirements that otherwise would apply to </w:t>
      </w:r>
      <w:r w:rsidRPr="00BD2228">
        <w:rPr>
          <w:i/>
          <w:iCs/>
          <w:sz w:val="20"/>
        </w:rPr>
        <w:t xml:space="preserve">ex parte </w:t>
      </w:r>
      <w:r w:rsidRPr="00BD2228">
        <w:rPr>
          <w:sz w:val="20"/>
        </w:rPr>
        <w:t>presentations and presentations made during the Sunshine Agenda Period.   </w:t>
      </w:r>
      <w:r w:rsidRPr="00BD2228">
        <w:rPr>
          <w:i/>
          <w:iCs/>
          <w:sz w:val="20"/>
        </w:rPr>
        <w:t xml:space="preserve">See </w:t>
      </w:r>
      <w:r w:rsidRPr="00BD2228">
        <w:rPr>
          <w:sz w:val="20"/>
        </w:rPr>
        <w:t>47 CFR § 1.1204(a) (providing that</w:t>
      </w:r>
      <w:r w:rsidRPr="00F10403">
        <w:rPr>
          <w:sz w:val="20"/>
        </w:rPr>
        <w:t xml:space="preserve"> </w:t>
      </w:r>
      <w:r w:rsidRPr="007E5F54">
        <w:rPr>
          <w:iCs/>
          <w:sz w:val="20"/>
        </w:rPr>
        <w:t>exempt</w:t>
      </w:r>
      <w:r w:rsidRPr="00BD2228">
        <w:rPr>
          <w:i/>
          <w:iCs/>
          <w:sz w:val="20"/>
        </w:rPr>
        <w:t xml:space="preserve"> ex parte </w:t>
      </w:r>
      <w:r w:rsidRPr="00BD2228">
        <w:rPr>
          <w:sz w:val="20"/>
        </w:rPr>
        <w:t>presentations are not subject to the prohibitions in sections 1.1203 and 1.1208</w:t>
      </w:r>
      <w:r w:rsidR="00F10403">
        <w:rPr>
          <w:sz w:val="20"/>
        </w:rPr>
        <w:t>,</w:t>
      </w:r>
      <w:r w:rsidRPr="00BD2228">
        <w:rPr>
          <w:sz w:val="20"/>
        </w:rPr>
        <w:t xml:space="preserve"> and the disclosure requirements in section 1.1206)</w:t>
      </w:r>
      <w:r w:rsidR="00F10403">
        <w:rPr>
          <w:sz w:val="20"/>
        </w:rPr>
        <w:t>;</w:t>
      </w:r>
      <w:r w:rsidRPr="00BD2228">
        <w:rPr>
          <w:sz w:val="20"/>
        </w:rPr>
        <w:t xml:space="preserve"> </w:t>
      </w:r>
      <w:r w:rsidR="00F10403">
        <w:rPr>
          <w:i/>
          <w:iCs/>
          <w:sz w:val="20"/>
        </w:rPr>
        <w:t>s</w:t>
      </w:r>
      <w:r w:rsidRPr="002B04E9">
        <w:rPr>
          <w:i/>
          <w:iCs/>
          <w:sz w:val="20"/>
        </w:rPr>
        <w:t>ee also</w:t>
      </w:r>
      <w:r w:rsidRPr="002B04E9">
        <w:rPr>
          <w:sz w:val="20"/>
        </w:rPr>
        <w:t xml:space="preserve"> 47 CFR §§ 1.1202(a), (b) (definitions of “presentation” and “</w:t>
      </w:r>
      <w:r w:rsidRPr="002B04E9">
        <w:rPr>
          <w:i/>
          <w:iCs/>
          <w:sz w:val="20"/>
        </w:rPr>
        <w:t xml:space="preserve">ex parte </w:t>
      </w:r>
      <w:r w:rsidRPr="002B04E9">
        <w:rPr>
          <w:sz w:val="20"/>
        </w:rPr>
        <w:t>presentation”).</w:t>
      </w:r>
      <w:bookmarkEnd w:id="1"/>
    </w:p>
    <w:p w:rsidR="00BD2228" w:rsidP="00BD2228" w14:paraId="580135B8" w14:textId="77777777"/>
    <w:p w:rsidR="00BD2228" w:rsidP="00BD2228" w14:paraId="4176ACEF" w14:textId="77777777"/>
    <w:p w:rsidR="00BD2228" w14:paraId="00D5258B" w14:textId="77777777">
      <w:pPr>
        <w:pStyle w:val="FootnoteText"/>
      </w:pPr>
    </w:p>
  </w:footnote>
  <w:footnote w:id="7">
    <w:p w:rsidR="006843D3" w14:paraId="0C0DFB5F" w14:textId="09050A9C">
      <w:pPr>
        <w:pStyle w:val="FootnoteText"/>
      </w:pPr>
      <w:r>
        <w:rPr>
          <w:rStyle w:val="FootnoteReference"/>
        </w:rPr>
        <w:t>5</w:t>
      </w:r>
      <w:r>
        <w:t xml:space="preserve"> </w:t>
      </w:r>
      <w:bookmarkStart w:id="2" w:name="_Hlk500855537"/>
      <w:r>
        <w:t xml:space="preserve">This notice updates a prior notice, released during a prior term of the CAC, addressing the </w:t>
      </w:r>
      <w:r>
        <w:rPr>
          <w:i/>
          <w:iCs/>
        </w:rPr>
        <w:t>ex parte</w:t>
      </w:r>
      <w:r>
        <w:t xml:space="preserve"> status of information submitted to or by the CAC.</w:t>
      </w:r>
      <w:r w:rsidR="006F6A9E">
        <w:t xml:space="preserve"> </w:t>
      </w:r>
      <w:r>
        <w:t xml:space="preserve"> </w:t>
      </w:r>
      <w:r>
        <w:rPr>
          <w:i/>
          <w:iCs/>
        </w:rPr>
        <w:t>Notice Regarding Ex Parte Status of Information Submitted to or by the Consumer Advisory Committee,</w:t>
      </w:r>
      <w:r>
        <w:t xml:space="preserve"> Public </w:t>
      </w:r>
      <w:r w:rsidRPr="001D4543">
        <w:t>Notice, DA</w:t>
      </w:r>
      <w:r w:rsidR="006F6A9E">
        <w:t xml:space="preserve"> </w:t>
      </w:r>
      <w:r w:rsidRPr="001D4543">
        <w:t>17-481</w:t>
      </w:r>
      <w:r>
        <w:t xml:space="preserve">, </w:t>
      </w:r>
      <w:r w:rsidRPr="001D4543">
        <w:t xml:space="preserve">32 FCC Rcd 4022 (CGB </w:t>
      </w:r>
      <w:r w:rsidRPr="00854F7B">
        <w:t>2017).</w:t>
      </w:r>
      <w:r w:rsidR="006F6A9E">
        <w:t xml:space="preserve"> </w:t>
      </w:r>
      <w:r>
        <w:t xml:space="preserve"> The treatment of </w:t>
      </w:r>
      <w:r>
        <w:rPr>
          <w:i/>
          <w:iCs/>
        </w:rPr>
        <w:t>ex parte</w:t>
      </w:r>
      <w:r>
        <w:t xml:space="preserve"> presentations specified in this notice shall apply to this and future terms of the CAC unless modified by a subsequent public notice.</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40A7" w:rsidRPr="00B338A9" w:rsidP="00B338A9" w14:paraId="51A6310A"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840A7" w:rsidP="00D47505" w14:textId="77777777">
                          <w:pPr>
                            <w:rPr>
                              <w:rFonts w:ascii="Arial" w:hAnsi="Arial"/>
                              <w:b/>
                            </w:rPr>
                          </w:pPr>
                          <w:r>
                            <w:rPr>
                              <w:rFonts w:ascii="Arial" w:hAnsi="Arial"/>
                              <w:b/>
                            </w:rPr>
                            <w:t>Federal Communications Commission</w:t>
                          </w:r>
                        </w:p>
                        <w:p w:rsidR="00D840A7"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840A7"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840A7" w:rsidP="00D47505" w14:paraId="05312562" w14:textId="77777777">
                    <w:pPr>
                      <w:rPr>
                        <w:rFonts w:ascii="Arial" w:hAnsi="Arial"/>
                        <w:b/>
                      </w:rPr>
                    </w:pPr>
                    <w:r>
                      <w:rPr>
                        <w:rFonts w:ascii="Arial" w:hAnsi="Arial"/>
                        <w:b/>
                      </w:rPr>
                      <w:t>Federal Communications Commission</w:t>
                    </w:r>
                  </w:p>
                  <w:p w:rsidR="00D840A7" w:rsidP="00D47505" w14:paraId="4973E31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840A7" w:rsidP="00D47505" w14:paraId="7DDC2B01" w14:textId="77777777">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5711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840A7" w:rsidP="00B338A9" w14:paraId="6FB43F32"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840A7" w:rsidP="00D47505" w14:textId="77777777">
                          <w:pPr>
                            <w:spacing w:before="40"/>
                            <w:jc w:val="right"/>
                            <w:rPr>
                              <w:rFonts w:ascii="Arial" w:hAnsi="Arial"/>
                              <w:b/>
                              <w:sz w:val="16"/>
                            </w:rPr>
                          </w:pPr>
                          <w:r>
                            <w:rPr>
                              <w:rFonts w:ascii="Arial" w:hAnsi="Arial"/>
                              <w:b/>
                              <w:sz w:val="16"/>
                            </w:rPr>
                            <w:t>News Media Information 202 / 418-0500</w:t>
                          </w:r>
                        </w:p>
                        <w:p w:rsidR="00D840A7" w:rsidP="00D47505" w14:textId="66C9C6EF">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D840A7"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840A7" w:rsidP="00D47505" w14:paraId="54E240BB" w14:textId="77777777">
                    <w:pPr>
                      <w:spacing w:before="40"/>
                      <w:jc w:val="right"/>
                      <w:rPr>
                        <w:rFonts w:ascii="Arial" w:hAnsi="Arial"/>
                        <w:b/>
                        <w:sz w:val="16"/>
                      </w:rPr>
                    </w:pPr>
                    <w:r>
                      <w:rPr>
                        <w:rFonts w:ascii="Arial" w:hAnsi="Arial"/>
                        <w:b/>
                        <w:sz w:val="16"/>
                      </w:rPr>
                      <w:t>News Media Information 202 / 418-0500</w:t>
                    </w:r>
                  </w:p>
                  <w:p w:rsidR="00D840A7" w:rsidP="00D47505" w14:paraId="06DA2134" w14:textId="66C9C6EF">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D840A7" w:rsidP="00B338A9" w14:paraId="79387525"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81"/>
    <w:rsid w:val="00036039"/>
    <w:rsid w:val="00037F90"/>
    <w:rsid w:val="00076DE4"/>
    <w:rsid w:val="000875BF"/>
    <w:rsid w:val="00096D8C"/>
    <w:rsid w:val="000A72D7"/>
    <w:rsid w:val="000B3933"/>
    <w:rsid w:val="000C0B65"/>
    <w:rsid w:val="000E05FE"/>
    <w:rsid w:val="000E3D42"/>
    <w:rsid w:val="00117C85"/>
    <w:rsid w:val="00122BD5"/>
    <w:rsid w:val="00123FCF"/>
    <w:rsid w:val="001270F0"/>
    <w:rsid w:val="00130DB0"/>
    <w:rsid w:val="00133F79"/>
    <w:rsid w:val="00152081"/>
    <w:rsid w:val="0019198D"/>
    <w:rsid w:val="00194A66"/>
    <w:rsid w:val="001A3788"/>
    <w:rsid w:val="001B1AD9"/>
    <w:rsid w:val="001B439A"/>
    <w:rsid w:val="001C35DD"/>
    <w:rsid w:val="001D4543"/>
    <w:rsid w:val="001D6BCF"/>
    <w:rsid w:val="001E01CA"/>
    <w:rsid w:val="001E4949"/>
    <w:rsid w:val="001F76B7"/>
    <w:rsid w:val="00215F3D"/>
    <w:rsid w:val="00237579"/>
    <w:rsid w:val="00240EB9"/>
    <w:rsid w:val="002543F8"/>
    <w:rsid w:val="002739B2"/>
    <w:rsid w:val="00275CF5"/>
    <w:rsid w:val="00282006"/>
    <w:rsid w:val="0028301F"/>
    <w:rsid w:val="00285017"/>
    <w:rsid w:val="00293B40"/>
    <w:rsid w:val="00297292"/>
    <w:rsid w:val="00297401"/>
    <w:rsid w:val="002A2D2E"/>
    <w:rsid w:val="002A6B4B"/>
    <w:rsid w:val="002B04E9"/>
    <w:rsid w:val="002C00E8"/>
    <w:rsid w:val="00332CFC"/>
    <w:rsid w:val="00333D34"/>
    <w:rsid w:val="00343749"/>
    <w:rsid w:val="0035150B"/>
    <w:rsid w:val="003660ED"/>
    <w:rsid w:val="00397692"/>
    <w:rsid w:val="003B0550"/>
    <w:rsid w:val="003B694F"/>
    <w:rsid w:val="003C47E1"/>
    <w:rsid w:val="003F171C"/>
    <w:rsid w:val="00412FC5"/>
    <w:rsid w:val="004147F1"/>
    <w:rsid w:val="00420943"/>
    <w:rsid w:val="00422276"/>
    <w:rsid w:val="00423F89"/>
    <w:rsid w:val="004242F1"/>
    <w:rsid w:val="00425D21"/>
    <w:rsid w:val="00445A00"/>
    <w:rsid w:val="00451B0F"/>
    <w:rsid w:val="0046376C"/>
    <w:rsid w:val="00463D96"/>
    <w:rsid w:val="004660D0"/>
    <w:rsid w:val="004916BE"/>
    <w:rsid w:val="004A3496"/>
    <w:rsid w:val="004A6712"/>
    <w:rsid w:val="004B5295"/>
    <w:rsid w:val="004C2EE3"/>
    <w:rsid w:val="004D58A8"/>
    <w:rsid w:val="004E4A22"/>
    <w:rsid w:val="00511968"/>
    <w:rsid w:val="00521AD8"/>
    <w:rsid w:val="0055135A"/>
    <w:rsid w:val="0055614C"/>
    <w:rsid w:val="00567648"/>
    <w:rsid w:val="00570868"/>
    <w:rsid w:val="00575603"/>
    <w:rsid w:val="0058421B"/>
    <w:rsid w:val="00590421"/>
    <w:rsid w:val="005E14C2"/>
    <w:rsid w:val="005E4EFF"/>
    <w:rsid w:val="00600450"/>
    <w:rsid w:val="00602DD7"/>
    <w:rsid w:val="00607BA5"/>
    <w:rsid w:val="00610081"/>
    <w:rsid w:val="0061180A"/>
    <w:rsid w:val="00626EB6"/>
    <w:rsid w:val="00655D03"/>
    <w:rsid w:val="00670496"/>
    <w:rsid w:val="0068146A"/>
    <w:rsid w:val="00683388"/>
    <w:rsid w:val="00683F84"/>
    <w:rsid w:val="006843D3"/>
    <w:rsid w:val="00692C7A"/>
    <w:rsid w:val="006A1F49"/>
    <w:rsid w:val="006A6A81"/>
    <w:rsid w:val="006A70DC"/>
    <w:rsid w:val="006B1456"/>
    <w:rsid w:val="006D6F9A"/>
    <w:rsid w:val="006F6A9E"/>
    <w:rsid w:val="006F7393"/>
    <w:rsid w:val="0070224F"/>
    <w:rsid w:val="00705606"/>
    <w:rsid w:val="007115F7"/>
    <w:rsid w:val="007310F3"/>
    <w:rsid w:val="00765574"/>
    <w:rsid w:val="00774C8C"/>
    <w:rsid w:val="00785689"/>
    <w:rsid w:val="0079754B"/>
    <w:rsid w:val="007A1E6D"/>
    <w:rsid w:val="007A479F"/>
    <w:rsid w:val="007B0EB2"/>
    <w:rsid w:val="007C62C3"/>
    <w:rsid w:val="007E55DD"/>
    <w:rsid w:val="007E5F54"/>
    <w:rsid w:val="007F28C0"/>
    <w:rsid w:val="007F413A"/>
    <w:rsid w:val="00800CE6"/>
    <w:rsid w:val="00806FEC"/>
    <w:rsid w:val="00810B6F"/>
    <w:rsid w:val="00810EB0"/>
    <w:rsid w:val="008130BE"/>
    <w:rsid w:val="00822CE0"/>
    <w:rsid w:val="00827787"/>
    <w:rsid w:val="0083228A"/>
    <w:rsid w:val="00841AB1"/>
    <w:rsid w:val="00847ECF"/>
    <w:rsid w:val="00852457"/>
    <w:rsid w:val="00854F7B"/>
    <w:rsid w:val="0089119E"/>
    <w:rsid w:val="008A3DA8"/>
    <w:rsid w:val="008A54EE"/>
    <w:rsid w:val="008C40FE"/>
    <w:rsid w:val="008C68F1"/>
    <w:rsid w:val="008C6FCF"/>
    <w:rsid w:val="008D1076"/>
    <w:rsid w:val="008D1E4F"/>
    <w:rsid w:val="008D22E2"/>
    <w:rsid w:val="008D3D66"/>
    <w:rsid w:val="009007CF"/>
    <w:rsid w:val="00921803"/>
    <w:rsid w:val="009232D0"/>
    <w:rsid w:val="00926503"/>
    <w:rsid w:val="00953531"/>
    <w:rsid w:val="00963E4F"/>
    <w:rsid w:val="009726D8"/>
    <w:rsid w:val="00985895"/>
    <w:rsid w:val="009C00C1"/>
    <w:rsid w:val="009F76DB"/>
    <w:rsid w:val="00A02228"/>
    <w:rsid w:val="00A07E3A"/>
    <w:rsid w:val="00A108F2"/>
    <w:rsid w:val="00A270C1"/>
    <w:rsid w:val="00A32C3B"/>
    <w:rsid w:val="00A45F4F"/>
    <w:rsid w:val="00A54A33"/>
    <w:rsid w:val="00A600A9"/>
    <w:rsid w:val="00A609FA"/>
    <w:rsid w:val="00AA55B7"/>
    <w:rsid w:val="00AA5B9E"/>
    <w:rsid w:val="00AB2407"/>
    <w:rsid w:val="00AB53DF"/>
    <w:rsid w:val="00AC424B"/>
    <w:rsid w:val="00AE7675"/>
    <w:rsid w:val="00AF2768"/>
    <w:rsid w:val="00AF46DC"/>
    <w:rsid w:val="00B0052A"/>
    <w:rsid w:val="00B0070B"/>
    <w:rsid w:val="00B07E5C"/>
    <w:rsid w:val="00B20363"/>
    <w:rsid w:val="00B338A9"/>
    <w:rsid w:val="00B351A9"/>
    <w:rsid w:val="00B55674"/>
    <w:rsid w:val="00B6023D"/>
    <w:rsid w:val="00B679AB"/>
    <w:rsid w:val="00B73D45"/>
    <w:rsid w:val="00B76DB8"/>
    <w:rsid w:val="00B811F7"/>
    <w:rsid w:val="00B84578"/>
    <w:rsid w:val="00B916BC"/>
    <w:rsid w:val="00B931B2"/>
    <w:rsid w:val="00BA0CC4"/>
    <w:rsid w:val="00BA5DC6"/>
    <w:rsid w:val="00BA6196"/>
    <w:rsid w:val="00BC4F97"/>
    <w:rsid w:val="00BC55F1"/>
    <w:rsid w:val="00BC6D8C"/>
    <w:rsid w:val="00BD2228"/>
    <w:rsid w:val="00BD64B5"/>
    <w:rsid w:val="00BF1943"/>
    <w:rsid w:val="00BF3D7E"/>
    <w:rsid w:val="00BF773E"/>
    <w:rsid w:val="00C327BA"/>
    <w:rsid w:val="00C34006"/>
    <w:rsid w:val="00C426B1"/>
    <w:rsid w:val="00C46A3C"/>
    <w:rsid w:val="00C5135A"/>
    <w:rsid w:val="00C57468"/>
    <w:rsid w:val="00C57F4E"/>
    <w:rsid w:val="00C66160"/>
    <w:rsid w:val="00C721AC"/>
    <w:rsid w:val="00C85B59"/>
    <w:rsid w:val="00C90D6A"/>
    <w:rsid w:val="00CA247E"/>
    <w:rsid w:val="00CA3A6F"/>
    <w:rsid w:val="00CC72B6"/>
    <w:rsid w:val="00CC75AD"/>
    <w:rsid w:val="00CC776F"/>
    <w:rsid w:val="00CD4938"/>
    <w:rsid w:val="00CE38C3"/>
    <w:rsid w:val="00CE7111"/>
    <w:rsid w:val="00CF110B"/>
    <w:rsid w:val="00D0218D"/>
    <w:rsid w:val="00D02AC8"/>
    <w:rsid w:val="00D04A93"/>
    <w:rsid w:val="00D11A61"/>
    <w:rsid w:val="00D216CD"/>
    <w:rsid w:val="00D25FB5"/>
    <w:rsid w:val="00D26C95"/>
    <w:rsid w:val="00D44223"/>
    <w:rsid w:val="00D47505"/>
    <w:rsid w:val="00D5227F"/>
    <w:rsid w:val="00D617FA"/>
    <w:rsid w:val="00D840A7"/>
    <w:rsid w:val="00DA0559"/>
    <w:rsid w:val="00DA2529"/>
    <w:rsid w:val="00DA7398"/>
    <w:rsid w:val="00DB08D5"/>
    <w:rsid w:val="00DB130A"/>
    <w:rsid w:val="00DB2EBB"/>
    <w:rsid w:val="00DB74D8"/>
    <w:rsid w:val="00DC10A1"/>
    <w:rsid w:val="00DC655F"/>
    <w:rsid w:val="00DD0B59"/>
    <w:rsid w:val="00DD2D70"/>
    <w:rsid w:val="00DD7EBD"/>
    <w:rsid w:val="00DE19C4"/>
    <w:rsid w:val="00DE240F"/>
    <w:rsid w:val="00DE4C8D"/>
    <w:rsid w:val="00DE6C28"/>
    <w:rsid w:val="00DF0810"/>
    <w:rsid w:val="00DF1D4C"/>
    <w:rsid w:val="00DF62B6"/>
    <w:rsid w:val="00E017E7"/>
    <w:rsid w:val="00E02E79"/>
    <w:rsid w:val="00E07225"/>
    <w:rsid w:val="00E10DA9"/>
    <w:rsid w:val="00E1631D"/>
    <w:rsid w:val="00E17B59"/>
    <w:rsid w:val="00E242E2"/>
    <w:rsid w:val="00E24E57"/>
    <w:rsid w:val="00E37393"/>
    <w:rsid w:val="00E5409F"/>
    <w:rsid w:val="00E54B1B"/>
    <w:rsid w:val="00E566AF"/>
    <w:rsid w:val="00E83DF6"/>
    <w:rsid w:val="00EB4ACC"/>
    <w:rsid w:val="00ED06CF"/>
    <w:rsid w:val="00EE6488"/>
    <w:rsid w:val="00EF71CF"/>
    <w:rsid w:val="00F021FA"/>
    <w:rsid w:val="00F10403"/>
    <w:rsid w:val="00F35025"/>
    <w:rsid w:val="00F501D1"/>
    <w:rsid w:val="00F62E97"/>
    <w:rsid w:val="00F64209"/>
    <w:rsid w:val="00F8591E"/>
    <w:rsid w:val="00F93BF5"/>
    <w:rsid w:val="00FA5DDF"/>
    <w:rsid w:val="00FB5E8F"/>
    <w:rsid w:val="00FD565A"/>
    <w:rsid w:val="00FE2C64"/>
    <w:rsid w:val="00FF09B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823D7A36-7D5B-43F9-B299-30174F7A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1"/>
    <w:rPr>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rPr>
  </w:style>
  <w:style w:type="paragraph" w:styleId="EndnoteText">
    <w:name w:val="endnote text"/>
    <w:basedOn w:val="Normal"/>
    <w:semiHidden/>
    <w:pPr>
      <w:widowControl w:val="0"/>
    </w:pPr>
    <w:rPr>
      <w:snapToGrid w:val="0"/>
      <w:kern w:val="28"/>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caps/>
      <w:noProof/>
      <w:snapToGrid w:val="0"/>
      <w:kern w:val="28"/>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noProof/>
      <w:snapToGrid w:val="0"/>
      <w:kern w:val="28"/>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noProof/>
      <w:snapToGrid w:val="0"/>
      <w:kern w:val="28"/>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noProof/>
      <w:snapToGrid w:val="0"/>
      <w:kern w:val="28"/>
    </w:rPr>
  </w:style>
  <w:style w:type="paragraph" w:styleId="TOAHeading">
    <w:name w:val="toa heading"/>
    <w:basedOn w:val="Normal"/>
    <w:next w:val="Normal"/>
    <w:semiHidden/>
    <w:pPr>
      <w:widowControl w:val="0"/>
      <w:tabs>
        <w:tab w:val="right" w:pos="9360"/>
      </w:tabs>
      <w:suppressAutoHyphens/>
    </w:pPr>
    <w:rPr>
      <w:snapToGrid w:val="0"/>
      <w:kern w:val="28"/>
    </w:rPr>
  </w:style>
  <w:style w:type="character" w:customStyle="1" w:styleId="EquationCaption">
    <w:name w:val="_Equation Caption"/>
  </w:style>
  <w:style w:type="paragraph" w:styleId="Header">
    <w:name w:val="header"/>
    <w:basedOn w:val="Normal"/>
    <w:autoRedefine/>
    <w:rsid w:val="00B338A9"/>
    <w:pPr>
      <w:widowControl w:val="0"/>
      <w:spacing w:before="40"/>
    </w:pPr>
    <w:rPr>
      <w:rFonts w:ascii="Arial" w:hAnsi="Arial" w:cs="Arial"/>
      <w:b/>
      <w:snapToGrid w:val="0"/>
      <w:kern w:val="28"/>
      <w:sz w:val="96"/>
    </w:rPr>
  </w:style>
  <w:style w:type="paragraph" w:styleId="Footer">
    <w:name w:val="footer"/>
    <w:basedOn w:val="Normal"/>
    <w:link w:val="FooterChar"/>
    <w:uiPriority w:val="99"/>
    <w:pPr>
      <w:widowControl w:val="0"/>
      <w:tabs>
        <w:tab w:val="center" w:pos="4320"/>
        <w:tab w:val="right" w:pos="8640"/>
      </w:tabs>
    </w:pPr>
    <w:rPr>
      <w:snapToGrid w:val="0"/>
      <w:kern w:val="28"/>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rPr>
  </w:style>
  <w:style w:type="paragraph" w:customStyle="1" w:styleId="Paratitle">
    <w:name w:val="Para title"/>
    <w:basedOn w:val="Normal"/>
    <w:pPr>
      <w:widowControl w:val="0"/>
      <w:tabs>
        <w:tab w:val="center" w:pos="9270"/>
      </w:tabs>
      <w:spacing w:after="240"/>
    </w:pPr>
    <w:rPr>
      <w:snapToGrid w:val="0"/>
      <w:spacing w:val="-2"/>
      <w:kern w:val="28"/>
    </w:rPr>
  </w:style>
  <w:style w:type="paragraph" w:customStyle="1" w:styleId="Bullet">
    <w:name w:val="Bullet"/>
    <w:basedOn w:val="Normal"/>
    <w:pPr>
      <w:widowControl w:val="0"/>
      <w:tabs>
        <w:tab w:val="left" w:pos="2160"/>
      </w:tabs>
      <w:spacing w:after="220"/>
      <w:ind w:left="2160" w:hanging="720"/>
    </w:pPr>
    <w:rPr>
      <w:snapToGrid w:val="0"/>
      <w:kern w:val="28"/>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pPr>
      <w:widowControl w:val="0"/>
    </w:pPr>
    <w:rPr>
      <w:rFonts w:ascii="Segoe UI" w:hAnsi="Segoe UI" w:cs="Segoe UI"/>
      <w:snapToGrid w:val="0"/>
      <w:kern w:val="28"/>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link w:val="FootnoteText"/>
    <w:uiPriority w:val="99"/>
    <w:rsid w:val="00610081"/>
  </w:style>
  <w:style w:type="character" w:styleId="CommentReference">
    <w:name w:val="annotation reference"/>
    <w:basedOn w:val="DefaultParagraphFont"/>
    <w:semiHidden/>
    <w:unhideWhenUsed/>
    <w:rsid w:val="00CE38C3"/>
    <w:rPr>
      <w:sz w:val="16"/>
      <w:szCs w:val="16"/>
    </w:rPr>
  </w:style>
  <w:style w:type="paragraph" w:styleId="CommentText">
    <w:name w:val="annotation text"/>
    <w:basedOn w:val="Normal"/>
    <w:link w:val="CommentTextChar"/>
    <w:semiHidden/>
    <w:unhideWhenUsed/>
    <w:rsid w:val="00CE38C3"/>
    <w:rPr>
      <w:sz w:val="20"/>
    </w:rPr>
  </w:style>
  <w:style w:type="character" w:customStyle="1" w:styleId="CommentTextChar">
    <w:name w:val="Comment Text Char"/>
    <w:basedOn w:val="DefaultParagraphFont"/>
    <w:link w:val="CommentText"/>
    <w:semiHidden/>
    <w:rsid w:val="00CE38C3"/>
  </w:style>
  <w:style w:type="paragraph" w:styleId="CommentSubject">
    <w:name w:val="annotation subject"/>
    <w:basedOn w:val="CommentText"/>
    <w:next w:val="CommentText"/>
    <w:link w:val="CommentSubjectChar"/>
    <w:semiHidden/>
    <w:unhideWhenUsed/>
    <w:rsid w:val="00CE38C3"/>
    <w:rPr>
      <w:b/>
      <w:bCs/>
    </w:rPr>
  </w:style>
  <w:style w:type="character" w:customStyle="1" w:styleId="CommentSubjectChar">
    <w:name w:val="Comment Subject Char"/>
    <w:basedOn w:val="CommentTextChar"/>
    <w:link w:val="CommentSubject"/>
    <w:semiHidden/>
    <w:rsid w:val="00CE38C3"/>
    <w:rPr>
      <w:b/>
      <w:bCs/>
    </w:rPr>
  </w:style>
  <w:style w:type="paragraph" w:styleId="Revision">
    <w:name w:val="Revision"/>
    <w:hidden/>
    <w:uiPriority w:val="99"/>
    <w:semiHidden/>
    <w:rsid w:val="00D840A7"/>
    <w:rPr>
      <w:sz w:val="22"/>
    </w:rPr>
  </w:style>
  <w:style w:type="character" w:customStyle="1" w:styleId="UnresolvedMention">
    <w:name w:val="Unresolved Mention"/>
    <w:basedOn w:val="DefaultParagraphFont"/>
    <w:uiPriority w:val="99"/>
    <w:semiHidden/>
    <w:unhideWhenUsed/>
    <w:rsid w:val="008C6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cott.Marshall@fcc.gov" TargetMode="External" /><Relationship Id="rId6" Type="http://schemas.openxmlformats.org/officeDocument/2006/relationships/hyperlink" Target="mailto:Christina.Clearwater@fcc.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