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DE5EFB">
      <w:pPr>
        <w:jc w:val="right"/>
        <w:rPr>
          <w:b/>
          <w:szCs w:val="22"/>
        </w:rPr>
      </w:pPr>
      <w:r>
        <w:rPr>
          <w:b/>
          <w:szCs w:val="22"/>
        </w:rPr>
        <w:t>DA</w:t>
      </w:r>
      <w:r w:rsidR="00134CD1">
        <w:rPr>
          <w:b/>
          <w:szCs w:val="22"/>
        </w:rPr>
        <w:t xml:space="preserve"> 19-</w:t>
      </w:r>
      <w:r w:rsidR="00BA252B">
        <w:rPr>
          <w:b/>
          <w:szCs w:val="22"/>
        </w:rPr>
        <w:t>815</w:t>
      </w:r>
    </w:p>
    <w:p w:rsidR="006076B9" w:rsidP="00DE5EFB">
      <w:pPr>
        <w:jc w:val="right"/>
        <w:rPr>
          <w:b/>
          <w:szCs w:val="22"/>
        </w:rPr>
      </w:pPr>
      <w:r>
        <w:rPr>
          <w:b/>
          <w:szCs w:val="22"/>
        </w:rPr>
        <w:t>Released:</w:t>
      </w:r>
      <w:r w:rsidR="008B01AC">
        <w:rPr>
          <w:b/>
          <w:szCs w:val="22"/>
        </w:rPr>
        <w:t xml:space="preserve"> </w:t>
      </w:r>
      <w:r w:rsidR="00C1051F">
        <w:rPr>
          <w:b/>
          <w:szCs w:val="22"/>
        </w:rPr>
        <w:t xml:space="preserve"> </w:t>
      </w:r>
      <w:r w:rsidR="00134CD1">
        <w:rPr>
          <w:b/>
          <w:szCs w:val="22"/>
        </w:rPr>
        <w:t>A</w:t>
      </w:r>
      <w:r w:rsidR="0081040C">
        <w:rPr>
          <w:b/>
          <w:szCs w:val="22"/>
        </w:rPr>
        <w:t>ugust</w:t>
      </w:r>
      <w:r w:rsidR="00385C89">
        <w:rPr>
          <w:b/>
          <w:szCs w:val="22"/>
        </w:rPr>
        <w:t xml:space="preserve"> </w:t>
      </w:r>
      <w:r w:rsidR="0081040C">
        <w:rPr>
          <w:b/>
          <w:szCs w:val="22"/>
        </w:rPr>
        <w:t>30</w:t>
      </w:r>
      <w:r w:rsidR="00F9533F">
        <w:rPr>
          <w:b/>
          <w:szCs w:val="22"/>
        </w:rPr>
        <w:t xml:space="preserve">, </w:t>
      </w:r>
      <w:r>
        <w:rPr>
          <w:b/>
          <w:szCs w:val="22"/>
        </w:rPr>
        <w:t>201</w:t>
      </w:r>
      <w:r w:rsidR="00134CD1">
        <w:rPr>
          <w:b/>
          <w:szCs w:val="22"/>
        </w:rPr>
        <w:t>9</w:t>
      </w:r>
    </w:p>
    <w:p w:rsidR="006076B9" w:rsidP="00DE5EFB">
      <w:pPr>
        <w:jc w:val="center"/>
        <w:rPr>
          <w:b/>
          <w:spacing w:val="-3"/>
          <w:szCs w:val="22"/>
        </w:rPr>
      </w:pPr>
      <w:bookmarkStart w:id="0" w:name="_GoBack"/>
      <w:bookmarkEnd w:id="0"/>
    </w:p>
    <w:p w:rsidR="006076B9" w:rsidP="00DE5EFB">
      <w:pPr>
        <w:pStyle w:val="BlockText"/>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DE5EFB">
      <w:pPr>
        <w:pStyle w:val="BlockText"/>
        <w:spacing w:after="0"/>
        <w:ind w:left="0" w:right="0"/>
        <w:jc w:val="center"/>
        <w:rPr>
          <w:b/>
          <w:kern w:val="0"/>
          <w:szCs w:val="22"/>
        </w:rPr>
      </w:pPr>
    </w:p>
    <w:p w:rsidR="006076B9" w:rsidP="00DE5EFB">
      <w:pPr>
        <w:pStyle w:val="BlockText"/>
        <w:spacing w:after="0"/>
        <w:ind w:left="0" w:right="0"/>
        <w:jc w:val="center"/>
        <w:rPr>
          <w:b/>
          <w:kern w:val="0"/>
          <w:szCs w:val="22"/>
        </w:rPr>
      </w:pPr>
      <w:r>
        <w:rPr>
          <w:b/>
          <w:kern w:val="0"/>
          <w:szCs w:val="22"/>
        </w:rPr>
        <w:t xml:space="preserve">WC Docket No. </w:t>
      </w:r>
      <w:r w:rsidR="00DB718C">
        <w:rPr>
          <w:b/>
          <w:kern w:val="0"/>
          <w:szCs w:val="22"/>
        </w:rPr>
        <w:t>1</w:t>
      </w:r>
      <w:r w:rsidR="00134CD1">
        <w:rPr>
          <w:b/>
          <w:kern w:val="0"/>
          <w:szCs w:val="22"/>
        </w:rPr>
        <w:t>9</w:t>
      </w:r>
      <w:r w:rsidR="00DB718C">
        <w:rPr>
          <w:b/>
          <w:kern w:val="0"/>
          <w:szCs w:val="22"/>
        </w:rPr>
        <w:t>-</w:t>
      </w:r>
      <w:r w:rsidR="0081040C">
        <w:rPr>
          <w:b/>
          <w:kern w:val="0"/>
          <w:szCs w:val="22"/>
        </w:rPr>
        <w:t>238</w:t>
      </w:r>
    </w:p>
    <w:p w:rsidR="00E66177" w:rsidP="00DE5EFB">
      <w:pPr>
        <w:pStyle w:val="BlockText"/>
        <w:spacing w:after="0"/>
        <w:ind w:left="0" w:right="0"/>
        <w:jc w:val="center"/>
        <w:rPr>
          <w:b/>
          <w:kern w:val="0"/>
          <w:szCs w:val="22"/>
        </w:rPr>
      </w:pPr>
    </w:p>
    <w:p w:rsidR="006076B9" w:rsidP="00DE5EFB">
      <w:pPr>
        <w:pStyle w:val="BlockText"/>
        <w:spacing w:after="0"/>
        <w:ind w:left="0" w:right="0"/>
        <w:rPr>
          <w:b/>
          <w:kern w:val="0"/>
          <w:szCs w:val="22"/>
        </w:rPr>
      </w:pPr>
      <w:r>
        <w:rPr>
          <w:b/>
          <w:kern w:val="0"/>
          <w:szCs w:val="22"/>
        </w:rPr>
        <w:t xml:space="preserve">Comments Due: </w:t>
      </w:r>
      <w:r w:rsidR="008B01AC">
        <w:rPr>
          <w:b/>
          <w:kern w:val="0"/>
          <w:szCs w:val="22"/>
        </w:rPr>
        <w:t xml:space="preserve"> </w:t>
      </w:r>
      <w:r w:rsidR="0081040C">
        <w:rPr>
          <w:b/>
          <w:kern w:val="0"/>
          <w:szCs w:val="22"/>
        </w:rPr>
        <w:t>September 30</w:t>
      </w:r>
      <w:r w:rsidR="00B83221">
        <w:rPr>
          <w:b/>
          <w:kern w:val="0"/>
          <w:szCs w:val="22"/>
        </w:rPr>
        <w:t>, 201</w:t>
      </w:r>
      <w:r w:rsidR="00134CD1">
        <w:rPr>
          <w:b/>
          <w:kern w:val="0"/>
          <w:szCs w:val="22"/>
        </w:rPr>
        <w:t>9</w:t>
      </w:r>
    </w:p>
    <w:p w:rsidR="006076B9" w:rsidP="00DE5EFB">
      <w:pPr>
        <w:spacing w:after="120"/>
        <w:rPr>
          <w:b/>
          <w:szCs w:val="22"/>
        </w:rPr>
      </w:pPr>
    </w:p>
    <w:p w:rsidR="00047E2E" w:rsidRPr="00047E2E" w:rsidP="00DE5EFB">
      <w:pPr>
        <w:pStyle w:val="ParaNum"/>
        <w:numPr>
          <w:ilvl w:val="0"/>
          <w:numId w:val="0"/>
        </w:numPr>
        <w:ind w:firstLine="720"/>
      </w:pPr>
      <w:r w:rsidRPr="00047E2E">
        <w:t xml:space="preserve">Unless otherwise specified, the following procedures </w:t>
      </w:r>
      <w:r w:rsidR="001A2C9B">
        <w:t>and dates apply to the application</w:t>
      </w:r>
      <w:r w:rsidR="00FA6B79">
        <w:t>(</w:t>
      </w:r>
      <w:r w:rsidR="001A2C9B">
        <w:t>s</w:t>
      </w:r>
      <w:r w:rsidR="00FA6B79">
        <w:t>)</w:t>
      </w:r>
      <w:r w:rsidR="001A2C9B">
        <w:t xml:space="preserve"> (</w:t>
      </w:r>
      <w:r w:rsidRPr="009C502C" w:rsidR="001A2C9B">
        <w:t>the Section 214 Discontinuance Application</w:t>
      </w:r>
      <w:r w:rsidR="00FA6B79">
        <w:t>(</w:t>
      </w:r>
      <w:r w:rsidRPr="009C502C" w:rsidR="001A2C9B">
        <w:t>s</w:t>
      </w:r>
      <w:r w:rsidR="00FA6B79">
        <w:t>)</w:t>
      </w:r>
      <w:r w:rsidR="001A2C9B">
        <w:t>)</w:t>
      </w:r>
      <w:r w:rsidR="00B06652">
        <w:t xml:space="preserve"> listed</w:t>
      </w:r>
      <w:r w:rsidR="001A2C9B">
        <w:t xml:space="preserve"> in </w:t>
      </w:r>
      <w:r w:rsidR="00F3714F">
        <w:t xml:space="preserve">the </w:t>
      </w:r>
      <w:r w:rsidR="001A2C9B">
        <w:t>Appendix.</w:t>
      </w:r>
    </w:p>
    <w:p w:rsidR="00047E2E" w:rsidRPr="000B013D" w:rsidP="00DE5EFB">
      <w:pPr>
        <w:pStyle w:val="ParaNum"/>
        <w:numPr>
          <w:ilvl w:val="0"/>
          <w:numId w:val="0"/>
        </w:numPr>
        <w:ind w:firstLine="720"/>
        <w:rPr>
          <w:rFonts w:eastAsia="MS Mincho"/>
        </w:rPr>
      </w:pPr>
      <w:r w:rsidRPr="000B013D">
        <w:t xml:space="preserve">The Wireline </w:t>
      </w:r>
      <w:r w:rsidR="00B06652">
        <w:t>Competition Bureau</w:t>
      </w:r>
      <w:r w:rsidRPr="000B013D">
        <w:t xml:space="preserve"> (Bureau)</w:t>
      </w:r>
      <w:r w:rsidR="001A2C9B">
        <w:t xml:space="preserve">, upon initial review, </w:t>
      </w:r>
      <w:r w:rsidR="00C6239E">
        <w:t xml:space="preserve">has </w:t>
      </w:r>
      <w:r w:rsidR="001A2C9B">
        <w:t>found the</w:t>
      </w:r>
      <w:r w:rsidRPr="000B013D">
        <w:t xml:space="preserve"> Section 214</w:t>
      </w:r>
      <w:r w:rsidR="001A2C9B">
        <w:t xml:space="preserve"> Discontinuance A</w:t>
      </w:r>
      <w:r w:rsidRPr="000B013D">
        <w:t>pplication</w:t>
      </w:r>
      <w:r w:rsidR="00FA6B79">
        <w:t>(</w:t>
      </w:r>
      <w:r w:rsidRPr="000B013D">
        <w:t>s</w:t>
      </w:r>
      <w:r w:rsidR="00FA6B79">
        <w:t>)</w:t>
      </w:r>
      <w:r w:rsidRPr="000B013D">
        <w:t xml:space="preserve"> listed </w:t>
      </w:r>
      <w:r w:rsidR="001A2C9B">
        <w:t xml:space="preserve">herein </w:t>
      </w:r>
      <w:r w:rsidRPr="000B013D" w:rsidR="006876E2">
        <w:t xml:space="preserve">to be acceptable for filing </w:t>
      </w:r>
      <w:r w:rsidRPr="000B013D">
        <w:t>and subject to the procedures set forth in Section 63.71 of the Commission's rules.</w:t>
      </w:r>
      <w:r>
        <w:rPr>
          <w:rStyle w:val="FootnoteReference"/>
          <w:spacing w:val="-3"/>
          <w:szCs w:val="22"/>
        </w:rPr>
        <w:footnoteReference w:id="2"/>
      </w:r>
      <w:r w:rsidRPr="000B013D">
        <w:t xml:space="preserve">  The application</w:t>
      </w:r>
      <w:r w:rsidR="00FA6B79">
        <w:t>(</w:t>
      </w:r>
      <w:r w:rsidRPr="000B013D">
        <w:t>s</w:t>
      </w:r>
      <w:r w:rsidR="00FA6B79">
        <w:t>)</w:t>
      </w:r>
      <w:r w:rsidRPr="000B013D">
        <w:t xml:space="preserve"> request authority</w:t>
      </w:r>
      <w:r w:rsidRPr="000B013D" w:rsidR="000B013D">
        <w:rPr>
          <w:rFonts w:eastAsia="MS Mincho"/>
        </w:rPr>
        <w:t xml:space="preserve">, </w:t>
      </w:r>
      <w:r w:rsidRPr="000B013D">
        <w:rPr>
          <w:rFonts w:eastAsia="MS Mincho"/>
        </w:rPr>
        <w:t>under section 214 of the</w:t>
      </w:r>
      <w:r w:rsidRPr="000B013D" w:rsidR="000B013D">
        <w:rPr>
          <w:rFonts w:eastAsia="MS Mincho"/>
        </w:rPr>
        <w:t xml:space="preserve"> </w:t>
      </w:r>
      <w:r w:rsidRPr="000B013D">
        <w:rPr>
          <w:rFonts w:eastAsia="MS Mincho"/>
        </w:rPr>
        <w:t>Communications Act of 1934, as amende</w:t>
      </w:r>
      <w:r w:rsidRPr="000B013D" w:rsidR="000B013D">
        <w:rPr>
          <w:rFonts w:eastAsia="MS Mincho"/>
        </w:rPr>
        <w:t>d,</w:t>
      </w:r>
      <w:r>
        <w:rPr>
          <w:rStyle w:val="FootnoteReference"/>
          <w:rFonts w:eastAsia="MS Mincho"/>
          <w:szCs w:val="22"/>
        </w:rPr>
        <w:footnoteReference w:id="3"/>
      </w:r>
      <w:r w:rsidRPr="000B013D" w:rsidR="00E31736">
        <w:rPr>
          <w:rFonts w:eastAsia="MS Mincho"/>
        </w:rPr>
        <w:t xml:space="preserve"> </w:t>
      </w:r>
      <w:r w:rsidRPr="000B013D" w:rsidR="000B013D">
        <w:rPr>
          <w:rFonts w:eastAsia="MS Mincho"/>
        </w:rPr>
        <w:t xml:space="preserve">and section </w:t>
      </w:r>
      <w:r w:rsidRPr="000B013D">
        <w:rPr>
          <w:rFonts w:eastAsia="MS Mincho"/>
        </w:rPr>
        <w:t>63.71 of the Commission’s</w:t>
      </w:r>
      <w:r w:rsidRPr="000B013D" w:rsidR="000B013D">
        <w:rPr>
          <w:rFonts w:eastAsia="MS Mincho"/>
        </w:rPr>
        <w:t xml:space="preserve"> </w:t>
      </w:r>
      <w:r w:rsidRPr="000B013D">
        <w:rPr>
          <w:rFonts w:eastAsia="MS Mincho"/>
        </w:rPr>
        <w:t>rules,</w:t>
      </w:r>
      <w:r>
        <w:rPr>
          <w:rStyle w:val="FootnoteReference"/>
          <w:rFonts w:eastAsia="MS Mincho"/>
          <w:szCs w:val="22"/>
        </w:rPr>
        <w:footnoteReference w:id="4"/>
      </w:r>
      <w:r w:rsidRPr="000B013D">
        <w:rPr>
          <w:rFonts w:eastAsia="MS Mincho"/>
        </w:rPr>
        <w:t xml:space="preserve"> to discontinue</w:t>
      </w:r>
      <w:r w:rsidR="001B2C99">
        <w:rPr>
          <w:rFonts w:eastAsia="MS Mincho"/>
        </w:rPr>
        <w:t>, reduce, or impair</w:t>
      </w:r>
      <w:r w:rsidRPr="000B013D">
        <w:rPr>
          <w:rFonts w:eastAsia="MS Mincho"/>
        </w:rPr>
        <w:t xml:space="preserve"> certain domestic te</w:t>
      </w:r>
      <w:r w:rsidRPr="000B013D" w:rsidR="000B013D">
        <w:rPr>
          <w:rFonts w:eastAsia="MS Mincho"/>
        </w:rPr>
        <w:t>lecommunications service</w:t>
      </w:r>
      <w:r w:rsidR="00FA6B79">
        <w:rPr>
          <w:rFonts w:eastAsia="MS Mincho"/>
        </w:rPr>
        <w:t>(</w:t>
      </w:r>
      <w:r w:rsidRPr="000B013D" w:rsidR="000B013D">
        <w:rPr>
          <w:rFonts w:eastAsia="MS Mincho"/>
        </w:rPr>
        <w:t>s</w:t>
      </w:r>
      <w:r w:rsidR="00FA6B79">
        <w:rPr>
          <w:rFonts w:eastAsia="MS Mincho"/>
        </w:rPr>
        <w:t>)</w:t>
      </w:r>
      <w:r w:rsidR="00D80702">
        <w:rPr>
          <w:rFonts w:eastAsia="MS Mincho"/>
        </w:rPr>
        <w:t xml:space="preserve"> </w:t>
      </w:r>
      <w:r w:rsidR="00034ECA">
        <w:rPr>
          <w:rFonts w:eastAsia="MS Mincho"/>
        </w:rPr>
        <w:t>(Affected Service</w:t>
      </w:r>
      <w:r w:rsidR="00A14926">
        <w:rPr>
          <w:rFonts w:eastAsia="MS Mincho"/>
        </w:rPr>
        <w:t>(</w:t>
      </w:r>
      <w:r w:rsidR="00034ECA">
        <w:rPr>
          <w:rFonts w:eastAsia="MS Mincho"/>
        </w:rPr>
        <w:t>s</w:t>
      </w:r>
      <w:r w:rsidR="00A14926">
        <w:rPr>
          <w:rFonts w:eastAsia="MS Mincho"/>
        </w:rPr>
        <w:t>)</w:t>
      </w:r>
      <w:r w:rsidR="00034ECA">
        <w:rPr>
          <w:rFonts w:eastAsia="MS Mincho"/>
        </w:rPr>
        <w:t xml:space="preserve">) in </w:t>
      </w:r>
      <w:r w:rsidR="00D80702">
        <w:rPr>
          <w:rFonts w:eastAsia="MS Mincho"/>
        </w:rPr>
        <w:t>specified</w:t>
      </w:r>
      <w:r w:rsidR="00034ECA">
        <w:rPr>
          <w:rFonts w:eastAsia="MS Mincho"/>
        </w:rPr>
        <w:t xml:space="preserve"> geographic areas (Service Area</w:t>
      </w:r>
      <w:r w:rsidR="00A14926">
        <w:rPr>
          <w:rFonts w:eastAsia="MS Mincho"/>
        </w:rPr>
        <w:t>(</w:t>
      </w:r>
      <w:r w:rsidR="00034ECA">
        <w:rPr>
          <w:rFonts w:eastAsia="MS Mincho"/>
        </w:rPr>
        <w:t>s</w:t>
      </w:r>
      <w:r w:rsidR="00A14926">
        <w:rPr>
          <w:rFonts w:eastAsia="MS Mincho"/>
        </w:rPr>
        <w:t>)</w:t>
      </w:r>
      <w:r w:rsidR="00034ECA">
        <w:rPr>
          <w:rFonts w:eastAsia="MS Mincho"/>
        </w:rPr>
        <w:t xml:space="preserve">) </w:t>
      </w:r>
      <w:r w:rsidR="00C23792">
        <w:rPr>
          <w:rFonts w:eastAsia="MS Mincho"/>
        </w:rPr>
        <w:t xml:space="preserve">as </w:t>
      </w:r>
      <w:r w:rsidR="00146DE3">
        <w:rPr>
          <w:rFonts w:eastAsia="MS Mincho"/>
        </w:rPr>
        <w:t xml:space="preserve">applicable and as </w:t>
      </w:r>
      <w:r w:rsidR="00C23792">
        <w:rPr>
          <w:rFonts w:eastAsia="MS Mincho"/>
        </w:rPr>
        <w:t>fully described in each application</w:t>
      </w:r>
      <w:r w:rsidR="00F92C2C">
        <w:rPr>
          <w:rFonts w:eastAsia="MS Mincho"/>
        </w:rPr>
        <w:t>.</w:t>
      </w:r>
    </w:p>
    <w:p w:rsidR="000B013D" w:rsidP="00DE5EFB">
      <w:pPr>
        <w:pStyle w:val="ParaNum"/>
        <w:widowControl/>
        <w:numPr>
          <w:ilvl w:val="0"/>
          <w:numId w:val="0"/>
        </w:numPr>
        <w:ind w:firstLine="720"/>
      </w:pPr>
      <w:r w:rsidRPr="00715A41">
        <w:rPr>
          <w:rFonts w:eastAsia="MS Mincho"/>
        </w:rPr>
        <w:t>In</w:t>
      </w:r>
      <w:r w:rsidR="005D7DC3">
        <w:rPr>
          <w:rFonts w:eastAsia="MS Mincho"/>
        </w:rPr>
        <w:t xml:space="preserve"> accordance with section 63.71(</w:t>
      </w:r>
      <w:r w:rsidR="00E01D45">
        <w:rPr>
          <w:rFonts w:eastAsia="MS Mincho"/>
        </w:rPr>
        <w:t>f</w:t>
      </w:r>
      <w:r w:rsidRPr="00715A41">
        <w:rPr>
          <w:rFonts w:eastAsia="MS Mincho"/>
        </w:rPr>
        <w:t xml:space="preserve">) of the Commission’s rules, the </w:t>
      </w:r>
      <w:r w:rsidR="007A733F">
        <w:rPr>
          <w:rFonts w:eastAsia="MS Mincho"/>
        </w:rPr>
        <w:t xml:space="preserve">Section </w:t>
      </w:r>
      <w:r w:rsidR="00CB5585">
        <w:rPr>
          <w:rFonts w:eastAsia="MS Mincho"/>
        </w:rPr>
        <w:t xml:space="preserve">214 </w:t>
      </w:r>
      <w:r w:rsidR="007A733F">
        <w:rPr>
          <w:rFonts w:eastAsia="MS Mincho"/>
        </w:rPr>
        <w:t xml:space="preserve">Discontinuance </w:t>
      </w:r>
      <w:r w:rsidRPr="00715A41" w:rsidR="001B0BFB">
        <w:rPr>
          <w:rFonts w:eastAsia="MS Mincho"/>
        </w:rPr>
        <w:t>Application</w:t>
      </w:r>
      <w:r w:rsidR="00FA6B79">
        <w:rPr>
          <w:rFonts w:eastAsia="MS Mincho"/>
        </w:rPr>
        <w:t>(s)</w:t>
      </w:r>
      <w:r w:rsidRPr="00715A41" w:rsidR="001B0BFB">
        <w:rPr>
          <w:rFonts w:eastAsia="MS Mincho"/>
        </w:rPr>
        <w:t xml:space="preserve"> </w:t>
      </w:r>
      <w:r w:rsidR="00CB5585">
        <w:rPr>
          <w:rFonts w:eastAsia="MS Mincho"/>
        </w:rPr>
        <w:t xml:space="preserve">listed in </w:t>
      </w:r>
      <w:r w:rsidR="001352D9">
        <w:rPr>
          <w:rFonts w:eastAsia="MS Mincho"/>
        </w:rPr>
        <w:t xml:space="preserve">the </w:t>
      </w:r>
      <w:r w:rsidRPr="001A2C9B" w:rsidR="00CB5585">
        <w:rPr>
          <w:rFonts w:eastAsia="MS Mincho"/>
        </w:rPr>
        <w:t xml:space="preserve">Appendix </w:t>
      </w:r>
      <w:r w:rsidRPr="001A2C9B">
        <w:rPr>
          <w:rFonts w:eastAsia="MS Mincho"/>
        </w:rPr>
        <w:t xml:space="preserve">will be deemed granted automatically on </w:t>
      </w:r>
      <w:r w:rsidRPr="00F11366" w:rsidR="0081040C">
        <w:rPr>
          <w:rFonts w:eastAsia="MS Mincho"/>
          <w:b/>
        </w:rPr>
        <w:t>October 29</w:t>
      </w:r>
      <w:r w:rsidRPr="00F11366" w:rsidR="00CB4144">
        <w:rPr>
          <w:rFonts w:eastAsia="MS Mincho"/>
          <w:b/>
        </w:rPr>
        <w:t>,</w:t>
      </w:r>
      <w:r w:rsidRPr="00F11366" w:rsidR="002D39B6">
        <w:rPr>
          <w:rFonts w:eastAsia="MS Mincho"/>
          <w:b/>
        </w:rPr>
        <w:t xml:space="preserve"> 2</w:t>
      </w:r>
      <w:r w:rsidRPr="00F11366" w:rsidR="00E66177">
        <w:rPr>
          <w:rFonts w:eastAsia="MS Mincho"/>
          <w:b/>
        </w:rPr>
        <w:t>01</w:t>
      </w:r>
      <w:r w:rsidRPr="00F11366" w:rsidR="005F4F39">
        <w:rPr>
          <w:rFonts w:eastAsia="MS Mincho"/>
          <w:b/>
        </w:rPr>
        <w:t>9</w:t>
      </w:r>
      <w:r w:rsidR="00CB3068">
        <w:rPr>
          <w:rFonts w:eastAsia="MS Mincho"/>
        </w:rPr>
        <w:t xml:space="preserve">, </w:t>
      </w:r>
      <w:r w:rsidRPr="001A2C9B">
        <w:rPr>
          <w:rFonts w:eastAsia="MS Mincho"/>
        </w:rPr>
        <w:t xml:space="preserve">the </w:t>
      </w:r>
      <w:r w:rsidR="00FE6B4B">
        <w:rPr>
          <w:rFonts w:eastAsia="MS Mincho"/>
        </w:rPr>
        <w:t>60th</w:t>
      </w:r>
      <w:r w:rsidRPr="001A2C9B" w:rsidR="001352D9">
        <w:rPr>
          <w:rFonts w:eastAsia="MS Mincho"/>
        </w:rPr>
        <w:t xml:space="preserve"> </w:t>
      </w:r>
      <w:r w:rsidRPr="001A2C9B">
        <w:rPr>
          <w:rFonts w:eastAsia="MS Mincho"/>
        </w:rPr>
        <w:t>day</w:t>
      </w:r>
      <w:r w:rsidRPr="001A2C9B" w:rsidR="00CB5585">
        <w:rPr>
          <w:rFonts w:eastAsia="MS Mincho"/>
        </w:rPr>
        <w:t xml:space="preserve"> </w:t>
      </w:r>
      <w:r w:rsidRPr="001A2C9B">
        <w:rPr>
          <w:rFonts w:eastAsia="MS Mincho"/>
        </w:rPr>
        <w:t>after the rele</w:t>
      </w:r>
      <w:r w:rsidRPr="001A2C9B" w:rsidR="00F95FE7">
        <w:rPr>
          <w:rFonts w:eastAsia="MS Mincho"/>
        </w:rPr>
        <w:t xml:space="preserve">ase date of this </w:t>
      </w:r>
      <w:r w:rsidRPr="009C502C" w:rsidR="00F95FE7">
        <w:rPr>
          <w:rFonts w:eastAsia="MS Mincho"/>
        </w:rPr>
        <w:t>public notice</w:t>
      </w:r>
      <w:r w:rsidRPr="009C502C" w:rsidR="00CB5585">
        <w:rPr>
          <w:rFonts w:eastAsia="MS Mincho"/>
        </w:rPr>
        <w:t xml:space="preserve">, </w:t>
      </w:r>
      <w:r w:rsidRPr="009C502C">
        <w:rPr>
          <w:rFonts w:eastAsia="MS Mincho"/>
        </w:rPr>
        <w:t xml:space="preserve">unless the Commission notifies </w:t>
      </w:r>
      <w:r w:rsidRPr="009C502C" w:rsidR="001B0BFB">
        <w:rPr>
          <w:rFonts w:eastAsia="MS Mincho"/>
        </w:rPr>
        <w:t>a</w:t>
      </w:r>
      <w:r w:rsidR="00CB3068">
        <w:rPr>
          <w:rFonts w:eastAsia="MS Mincho"/>
        </w:rPr>
        <w:t>n</w:t>
      </w:r>
      <w:r w:rsidR="00FE6B4B">
        <w:rPr>
          <w:rFonts w:eastAsia="MS Mincho"/>
        </w:rPr>
        <w:t>y</w:t>
      </w:r>
      <w:r w:rsidRPr="009C502C" w:rsidR="001B0BFB">
        <w:rPr>
          <w:rFonts w:eastAsia="MS Mincho"/>
        </w:rPr>
        <w:t xml:space="preserve"> applicant</w:t>
      </w:r>
      <w:r w:rsidR="00A51973">
        <w:rPr>
          <w:rFonts w:eastAsia="MS Mincho"/>
        </w:rPr>
        <w:t>(s)</w:t>
      </w:r>
      <w:r w:rsidRPr="009C502C" w:rsidR="001B0BFB">
        <w:rPr>
          <w:rFonts w:eastAsia="MS Mincho"/>
        </w:rPr>
        <w:t xml:space="preserve"> that </w:t>
      </w:r>
      <w:r w:rsidRPr="009C502C">
        <w:rPr>
          <w:rFonts w:eastAsia="MS Mincho"/>
        </w:rPr>
        <w:t>the</w:t>
      </w:r>
      <w:r w:rsidR="00CB3068">
        <w:rPr>
          <w:rFonts w:eastAsia="MS Mincho"/>
        </w:rPr>
        <w:t>ir</w:t>
      </w:r>
      <w:r w:rsidRPr="009C502C">
        <w:rPr>
          <w:rFonts w:eastAsia="MS Mincho"/>
        </w:rPr>
        <w:t xml:space="preserve"> grant will not be automatically effective.</w:t>
      </w:r>
      <w:r>
        <w:rPr>
          <w:rStyle w:val="FootnoteReference"/>
          <w:rFonts w:eastAsia="MS Mincho"/>
          <w:szCs w:val="22"/>
        </w:rPr>
        <w:footnoteReference w:id="5"/>
      </w:r>
      <w:r w:rsidR="009B2C1F">
        <w:rPr>
          <w:rFonts w:eastAsia="MS Mincho"/>
        </w:rPr>
        <w:t xml:space="preserve">  We note that the date on which an application</w:t>
      </w:r>
      <w:r w:rsidR="00646E40">
        <w:rPr>
          <w:rFonts w:eastAsia="MS Mincho"/>
        </w:rPr>
        <w:t xml:space="preserve"> for Commission authorization is deemed</w:t>
      </w:r>
      <w:r w:rsidR="009B2C1F">
        <w:rPr>
          <w:rFonts w:eastAsia="MS Mincho"/>
        </w:rPr>
        <w:t xml:space="preserve"> granted may be different from the date on which applicants are authorized to discontinue, reduce, or impair service (“Authorized Date”).  </w:t>
      </w:r>
      <w:r w:rsidR="007F37D2">
        <w:rPr>
          <w:rFonts w:eastAsia="MS Mincho"/>
        </w:rPr>
        <w:t>Any applicant whose application has been deemed granted may discontinue, reduce or impair their Affected Service(s) in their Service Area(s) on or after the authorized date</w:t>
      </w:r>
      <w:r w:rsidR="00B420A0">
        <w:rPr>
          <w:rFonts w:eastAsia="MS Mincho"/>
        </w:rPr>
        <w:t>(s)</w:t>
      </w:r>
      <w:r w:rsidR="007F37D2">
        <w:rPr>
          <w:rFonts w:eastAsia="MS Mincho"/>
        </w:rPr>
        <w:t xml:space="preserve"> specified in the Appendix</w:t>
      </w:r>
      <w:r w:rsidR="00200E3F">
        <w:rPr>
          <w:rFonts w:eastAsia="MS Mincho"/>
        </w:rPr>
        <w:t>, in accordance with their filed representations</w:t>
      </w:r>
      <w:r w:rsidR="007F37D2">
        <w:rPr>
          <w:rFonts w:eastAsia="MS Mincho"/>
        </w:rPr>
        <w:t xml:space="preserve">.  </w:t>
      </w:r>
      <w:r w:rsidRPr="009C502C">
        <w:rPr>
          <w:rFonts w:eastAsia="MS Mincho"/>
        </w:rPr>
        <w:t>Accordin</w:t>
      </w:r>
      <w:r w:rsidRPr="009C502C" w:rsidR="00CB5585">
        <w:rPr>
          <w:rFonts w:eastAsia="MS Mincho"/>
        </w:rPr>
        <w:t>gly, pursuant to section 63.71(</w:t>
      </w:r>
      <w:r w:rsidR="00FD3E25">
        <w:rPr>
          <w:rFonts w:eastAsia="MS Mincho"/>
        </w:rPr>
        <w:t>f</w:t>
      </w:r>
      <w:r w:rsidRPr="009C502C">
        <w:rPr>
          <w:rFonts w:eastAsia="MS Mincho"/>
        </w:rPr>
        <w:t>)</w:t>
      </w:r>
      <w:r w:rsidRPr="009C502C" w:rsidR="001A2C9B">
        <w:rPr>
          <w:rFonts w:eastAsia="MS Mincho"/>
        </w:rPr>
        <w:t>,</w:t>
      </w:r>
      <w:r w:rsidRPr="009C502C">
        <w:rPr>
          <w:rFonts w:eastAsia="MS Mincho"/>
        </w:rPr>
        <w:t xml:space="preserve"> and the terms </w:t>
      </w:r>
      <w:r w:rsidRPr="009C502C" w:rsidR="00CB5585">
        <w:rPr>
          <w:rFonts w:eastAsia="MS Mincho"/>
        </w:rPr>
        <w:t xml:space="preserve">outlined in each </w:t>
      </w:r>
      <w:r w:rsidR="00E72275">
        <w:rPr>
          <w:rFonts w:eastAsia="MS Mincho"/>
        </w:rPr>
        <w:t>application</w:t>
      </w:r>
      <w:r w:rsidRPr="009C502C">
        <w:rPr>
          <w:rFonts w:eastAsia="MS Mincho"/>
        </w:rPr>
        <w:t>, absent fu</w:t>
      </w:r>
      <w:r w:rsidRPr="009C502C" w:rsidR="001B0BFB">
        <w:rPr>
          <w:rFonts w:eastAsia="MS Mincho"/>
        </w:rPr>
        <w:t xml:space="preserve">rther Commission action, </w:t>
      </w:r>
      <w:r w:rsidRPr="009C502C" w:rsidR="00CA6481">
        <w:rPr>
          <w:rFonts w:eastAsia="MS Mincho"/>
        </w:rPr>
        <w:t xml:space="preserve">each applicant </w:t>
      </w:r>
      <w:r w:rsidRPr="009C502C">
        <w:rPr>
          <w:rFonts w:eastAsia="MS Mincho"/>
        </w:rPr>
        <w:t>may discontinue</w:t>
      </w:r>
      <w:r w:rsidR="007F37D2">
        <w:rPr>
          <w:rFonts w:eastAsia="MS Mincho"/>
        </w:rPr>
        <w:t>, reduce or impair</w:t>
      </w:r>
      <w:r w:rsidRPr="009C502C">
        <w:rPr>
          <w:rFonts w:eastAsia="MS Mincho"/>
        </w:rPr>
        <w:t xml:space="preserve"> the Affected Service</w:t>
      </w:r>
      <w:r w:rsidR="00A51973">
        <w:rPr>
          <w:rFonts w:eastAsia="MS Mincho"/>
        </w:rPr>
        <w:t>(</w:t>
      </w:r>
      <w:r w:rsidRPr="009C502C">
        <w:rPr>
          <w:rFonts w:eastAsia="MS Mincho"/>
        </w:rPr>
        <w:t>s</w:t>
      </w:r>
      <w:r w:rsidR="00A51973">
        <w:rPr>
          <w:rFonts w:eastAsia="MS Mincho"/>
        </w:rPr>
        <w:t>)</w:t>
      </w:r>
      <w:r w:rsidRPr="009C502C">
        <w:rPr>
          <w:rFonts w:eastAsia="MS Mincho"/>
        </w:rPr>
        <w:t xml:space="preserve"> </w:t>
      </w:r>
      <w:r w:rsidR="00CA6481">
        <w:rPr>
          <w:rFonts w:eastAsia="MS Mincho"/>
        </w:rPr>
        <w:t xml:space="preserve">in the Service Area(s) </w:t>
      </w:r>
      <w:r w:rsidR="00022E8A">
        <w:rPr>
          <w:rFonts w:eastAsia="MS Mincho"/>
        </w:rPr>
        <w:t>described</w:t>
      </w:r>
      <w:r w:rsidR="005C486F">
        <w:rPr>
          <w:rFonts w:eastAsia="MS Mincho"/>
        </w:rPr>
        <w:t xml:space="preserve"> in</w:t>
      </w:r>
      <w:r w:rsidR="00CA6481">
        <w:rPr>
          <w:rFonts w:eastAsia="MS Mincho"/>
        </w:rPr>
        <w:t xml:space="preserve"> their application </w:t>
      </w:r>
      <w:r w:rsidRPr="00715A41">
        <w:rPr>
          <w:rFonts w:eastAsia="MS Mincho"/>
        </w:rPr>
        <w:t xml:space="preserve">on </w:t>
      </w:r>
      <w:r w:rsidR="00F92F55">
        <w:rPr>
          <w:rFonts w:eastAsia="MS Mincho"/>
          <w:bCs/>
        </w:rPr>
        <w:t>or after the authorized discontinuance date</w:t>
      </w:r>
      <w:r w:rsidR="00CA6481">
        <w:rPr>
          <w:rFonts w:eastAsia="MS Mincho"/>
          <w:bCs/>
        </w:rPr>
        <w:t>(s)</w:t>
      </w:r>
      <w:r w:rsidR="00F92F55">
        <w:rPr>
          <w:rFonts w:eastAsia="MS Mincho"/>
          <w:bCs/>
        </w:rPr>
        <w:t xml:space="preserve"> listed in the Appendix</w:t>
      </w:r>
      <w:r w:rsidR="00A51973">
        <w:rPr>
          <w:rFonts w:eastAsia="MS Mincho"/>
        </w:rPr>
        <w:t>.</w:t>
      </w:r>
      <w:r w:rsidR="00792917">
        <w:rPr>
          <w:rFonts w:eastAsia="MS Mincho"/>
        </w:rPr>
        <w:t xml:space="preserve">  </w:t>
      </w:r>
      <w:r w:rsidRPr="00792917" w:rsidR="00792917">
        <w:rPr>
          <w:rFonts w:eastAsia="MS Mincho"/>
        </w:rPr>
        <w:t>For purposes of computation of time when filing a petition for reconsideration</w:t>
      </w:r>
      <w:r w:rsidR="00FE6B4B">
        <w:rPr>
          <w:rFonts w:eastAsia="MS Mincho"/>
        </w:rPr>
        <w:t>,</w:t>
      </w:r>
      <w:r w:rsidRPr="00792917" w:rsidR="00792917">
        <w:rPr>
          <w:rFonts w:eastAsia="MS Mincho"/>
        </w:rPr>
        <w:t xml:space="preserve"> application for review, or </w:t>
      </w:r>
      <w:r w:rsidR="00FE6B4B">
        <w:rPr>
          <w:rFonts w:eastAsia="MS Mincho"/>
        </w:rPr>
        <w:t>petition f</w:t>
      </w:r>
      <w:r w:rsidRPr="00792917" w:rsidR="00792917">
        <w:rPr>
          <w:rFonts w:eastAsia="MS Mincho"/>
        </w:rPr>
        <w:t>or judicial review of the Commission’s decision</w:t>
      </w:r>
      <w:r w:rsidR="00F92C2C">
        <w:rPr>
          <w:rFonts w:eastAsia="MS Mincho"/>
        </w:rPr>
        <w:t>(s)</w:t>
      </w:r>
      <w:r w:rsidRPr="00792917" w:rsidR="00792917">
        <w:rPr>
          <w:rFonts w:eastAsia="MS Mincho"/>
        </w:rPr>
        <w:t>, the date of “public notice” shall be the auto grant date stated above in this Public Notice, or the release date</w:t>
      </w:r>
      <w:r w:rsidR="00F92C2C">
        <w:rPr>
          <w:rFonts w:eastAsia="MS Mincho"/>
        </w:rPr>
        <w:t>(s)</w:t>
      </w:r>
      <w:r w:rsidRPr="00792917" w:rsidR="00792917">
        <w:rPr>
          <w:rFonts w:eastAsia="MS Mincho"/>
        </w:rPr>
        <w:t xml:space="preserve"> of any further public notice</w:t>
      </w:r>
      <w:r w:rsidR="00F92C2C">
        <w:rPr>
          <w:rFonts w:eastAsia="MS Mincho"/>
        </w:rPr>
        <w:t>(s)</w:t>
      </w:r>
      <w:r w:rsidRPr="00792917" w:rsidR="00792917">
        <w:rPr>
          <w:rFonts w:eastAsia="MS Mincho"/>
        </w:rPr>
        <w:t xml:space="preserve"> or order</w:t>
      </w:r>
      <w:r w:rsidR="00F92C2C">
        <w:rPr>
          <w:rFonts w:eastAsia="MS Mincho"/>
        </w:rPr>
        <w:t>(s)</w:t>
      </w:r>
      <w:r w:rsidRPr="00792917" w:rsidR="00792917">
        <w:rPr>
          <w:rFonts w:eastAsia="MS Mincho"/>
        </w:rPr>
        <w:t xml:space="preserve"> announcing final </w:t>
      </w:r>
      <w:r w:rsidRPr="00F92C2C" w:rsidR="00F92C2C">
        <w:rPr>
          <w:rFonts w:eastAsia="MS Mincho"/>
        </w:rPr>
        <w:t xml:space="preserve">Commission </w:t>
      </w:r>
      <w:r w:rsidRPr="00792917" w:rsidR="00792917">
        <w:rPr>
          <w:rFonts w:eastAsia="MS Mincho"/>
        </w:rPr>
        <w:t>action, as applicable.  Should no petitions for reconsideration, applications for review, or petitions for judicial review be timely filed, the proceeding</w:t>
      </w:r>
      <w:r w:rsidR="00792917">
        <w:rPr>
          <w:rFonts w:eastAsia="MS Mincho"/>
        </w:rPr>
        <w:t>(s)</w:t>
      </w:r>
      <w:r w:rsidRPr="00792917" w:rsidR="00792917">
        <w:rPr>
          <w:rFonts w:eastAsia="MS Mincho"/>
        </w:rPr>
        <w:t xml:space="preserve"> listed in this Public Notice shall be terminated, and the docket</w:t>
      </w:r>
      <w:r w:rsidR="00F92C2C">
        <w:rPr>
          <w:rFonts w:eastAsia="MS Mincho"/>
        </w:rPr>
        <w:t>(s)</w:t>
      </w:r>
      <w:r w:rsidRPr="00792917" w:rsidR="00792917">
        <w:rPr>
          <w:rFonts w:eastAsia="MS Mincho"/>
        </w:rPr>
        <w:t xml:space="preserve"> will be closed.</w:t>
      </w:r>
    </w:p>
    <w:p w:rsidR="00490A6C" w:rsidRPr="00563862" w:rsidP="00DE5EFB">
      <w:pPr>
        <w:pStyle w:val="ParaNum"/>
        <w:widowControl/>
        <w:numPr>
          <w:ilvl w:val="0"/>
          <w:numId w:val="0"/>
        </w:numPr>
        <w:ind w:firstLine="720"/>
        <w:rPr>
          <w:b/>
        </w:rPr>
      </w:pPr>
      <w:r>
        <w:t xml:space="preserve">Comments objecting to </w:t>
      </w:r>
      <w:r w:rsidR="001A2E27">
        <w:t xml:space="preserve">any </w:t>
      </w:r>
      <w:r>
        <w:t>of the</w:t>
      </w:r>
      <w:r w:rsidRPr="00D332AC" w:rsidR="00D332AC">
        <w:rPr>
          <w:rFonts w:eastAsia="MS Mincho"/>
        </w:rPr>
        <w:t xml:space="preserve"> </w:t>
      </w:r>
      <w:r w:rsidR="001A2E27">
        <w:rPr>
          <w:rFonts w:eastAsia="MS Mincho"/>
        </w:rPr>
        <w:t>applications listed</w:t>
      </w:r>
      <w:r>
        <w:t xml:space="preserve"> in </w:t>
      </w:r>
      <w:r w:rsidR="001352D9">
        <w:t xml:space="preserve">the </w:t>
      </w:r>
      <w:r>
        <w:t xml:space="preserve">Appendix </w:t>
      </w:r>
      <w:r w:rsidR="00A3283B">
        <w:t xml:space="preserve">must be filed </w:t>
      </w:r>
      <w:r w:rsidR="00F81EAE">
        <w:t>with the Commission on or before</w:t>
      </w:r>
      <w:r w:rsidR="00A3283B">
        <w:rPr>
          <w:b/>
        </w:rPr>
        <w:t xml:space="preserve"> </w:t>
      </w:r>
      <w:r w:rsidR="0081040C">
        <w:rPr>
          <w:b/>
        </w:rPr>
        <w:t>September 30</w:t>
      </w:r>
      <w:r w:rsidR="00FA0AFD">
        <w:rPr>
          <w:b/>
        </w:rPr>
        <w:t>, 201</w:t>
      </w:r>
      <w:r w:rsidR="00641889">
        <w:rPr>
          <w:b/>
        </w:rPr>
        <w:t>9</w:t>
      </w:r>
      <w:r w:rsidR="00A3283B">
        <w:t xml:space="preserve">.  </w:t>
      </w:r>
      <w:r>
        <w:t>C</w:t>
      </w:r>
      <w:r w:rsidR="00A3283B">
        <w:t xml:space="preserve">omments should refer to </w:t>
      </w:r>
      <w:r>
        <w:t xml:space="preserve">the </w:t>
      </w:r>
      <w:r w:rsidR="00F1113B">
        <w:t xml:space="preserve">specific </w:t>
      </w:r>
      <w:r w:rsidR="009C538B">
        <w:t xml:space="preserve">WC Docket No. and Comp. Pol. File No. </w:t>
      </w:r>
      <w:r>
        <w:t xml:space="preserve">listed in </w:t>
      </w:r>
      <w:r w:rsidR="001352D9">
        <w:t xml:space="preserve">the </w:t>
      </w:r>
      <w:r>
        <w:t xml:space="preserve">Appendix </w:t>
      </w:r>
      <w:r w:rsidR="009C538B">
        <w:t xml:space="preserve">for the </w:t>
      </w:r>
      <w:r w:rsidR="00F1113B">
        <w:t xml:space="preserve">particular </w:t>
      </w:r>
      <w:r w:rsidR="00FA0AFD">
        <w:t>Section</w:t>
      </w:r>
      <w:r w:rsidR="00FA0AFD">
        <w:t xml:space="preserve"> 214 Discontinuance Application that the commenter intends to address</w:t>
      </w:r>
      <w:r w:rsidR="00A3283B">
        <w:t xml:space="preserve">.  Comments should include specific information about the impact of </w:t>
      </w:r>
      <w:r w:rsidR="00D41B9C">
        <w:t xml:space="preserve">the </w:t>
      </w:r>
      <w:r w:rsidR="00A3283B">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sidR="00A3283B">
        <w:t xml:space="preserve">  Comments may be filed electronically using the Internet by accessing the ECFS:  </w:t>
      </w:r>
      <w:hyperlink r:id="rId5" w:history="1">
        <w:r w:rsidRPr="0071235D" w:rsidR="00F81EAE">
          <w:rPr>
            <w:rStyle w:val="Hyperlink"/>
            <w:szCs w:val="22"/>
          </w:rPr>
          <w:t>http://apps.fcc.gov/ecfs</w:t>
        </w:r>
      </w:hyperlink>
      <w:r w:rsidR="00F81EAE">
        <w:t>.</w:t>
      </w:r>
      <w:r w:rsidR="00A3283B">
        <w:t xml:space="preserve">  Filers should follow the instructions provided on the Web</w:t>
      </w:r>
      <w:r w:rsidR="00F81EAE">
        <w:t xml:space="preserve"> site for submitting comments.  </w:t>
      </w:r>
      <w:r w:rsidR="00A3283B">
        <w:t>Generally, only one copy of an electronic submission must be filed.  In completing the transmittal screen, filers should include their full name, U.S. Postal Service mailing address, and the applicable docket number.</w:t>
      </w:r>
    </w:p>
    <w:p w:rsidR="00490A6C" w:rsidP="00DE5EFB">
      <w:pPr>
        <w:pStyle w:val="ParaNum"/>
        <w:numPr>
          <w:ilvl w:val="0"/>
          <w:numId w:val="0"/>
        </w:numPr>
        <w:ind w:firstLine="720"/>
      </w:pPr>
      <w: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u w:val="single"/>
        </w:rPr>
        <w:t>before</w:t>
      </w:r>
      <w:r>
        <w:t xml:space="preserve"> entering the building.</w:t>
      </w:r>
      <w:r w:rsidR="005407C7">
        <w:t xml:space="preserve">  </w:t>
      </w:r>
      <w:r w:rsidRPr="005407C7">
        <w:t>Commercial overnight mail (other than U.S. Postal Service Express Mail and Priority Mail) must be sent to</w:t>
      </w:r>
      <w:r w:rsidRPr="005407C7" w:rsidR="005407C7">
        <w:t xml:space="preserve"> 9050 Junction Drive, Annapolis Junction, MD 20701</w:t>
      </w:r>
      <w:r w:rsidRPr="005407C7">
        <w:t>.</w:t>
      </w:r>
      <w:r>
        <w:t xml:space="preserve">  U.S. Postal Service first-class, Express, and Priority mail must be addressed to 445 12th Street, S.W., Washington, D.C. 20554.</w:t>
      </w:r>
    </w:p>
    <w:p w:rsidR="00490A6C" w:rsidP="00DE5EFB">
      <w:pPr>
        <w:pStyle w:val="ParaNum"/>
        <w:numPr>
          <w:ilvl w:val="0"/>
          <w:numId w:val="0"/>
        </w:numPr>
        <w:ind w:firstLine="720"/>
      </w:pPr>
      <w:r>
        <w:t>C</w:t>
      </w:r>
      <w:r w:rsidR="00A3283B">
        <w:t xml:space="preserve">opies of the comments </w:t>
      </w:r>
      <w:r>
        <w:t xml:space="preserve">may </w:t>
      </w:r>
      <w:r w:rsidR="00A3283B">
        <w:t xml:space="preserve">also be sent to the Competition Policy Division, Wireline Competition Bureau, Federal Communications Commission, 445 12th Street, S.W., Room 5-C140, Washington, D.C. 20554, Attention:  </w:t>
      </w:r>
      <w:r>
        <w:t xml:space="preserve">Carmell Weathers, or faxed to </w:t>
      </w:r>
      <w:r w:rsidRPr="002658A1">
        <w:t>the FCC at (202) 418-1413, Attention:  Carmell Weathers</w:t>
      </w:r>
      <w:r w:rsidR="00A3283B">
        <w:t>.  In addition, comments should be served upon the Applicant</w:t>
      </w:r>
      <w:r w:rsidR="00650988">
        <w:t>(s)</w:t>
      </w:r>
      <w:r w:rsidR="00A3283B">
        <w:t>.</w:t>
      </w:r>
    </w:p>
    <w:p w:rsidR="00FC60B3" w:rsidP="00DE5EFB">
      <w:pPr>
        <w:pStyle w:val="ParaNum"/>
        <w:numPr>
          <w:ilvl w:val="0"/>
          <w:numId w:val="0"/>
        </w:numPr>
        <w:ind w:firstLine="720"/>
      </w:pPr>
      <w:r>
        <w:t>Th</w:t>
      </w:r>
      <w:r w:rsidR="005A4195">
        <w:t>ese</w:t>
      </w:r>
      <w:r>
        <w:t xml:space="preserve"> proceeding</w:t>
      </w:r>
      <w:r w:rsidR="005A4195">
        <w:t>s</w:t>
      </w:r>
      <w:r>
        <w:t xml:space="preserve"> </w:t>
      </w:r>
      <w:r w:rsidR="005A4195">
        <w:t>are</w:t>
      </w:r>
      <w:r>
        <w:t xml:space="preserve"> considered “permit but disclose” proceeding</w:t>
      </w:r>
      <w:r w:rsidR="00FA7D9F">
        <w:t>s</w:t>
      </w:r>
      <w:r>
        <w:t xml:space="preserve"> for purposes of the </w:t>
      </w:r>
      <w:r w:rsidR="005A4195">
        <w:t>C</w:t>
      </w:r>
      <w:r>
        <w:t>ommission’s ex parte rules.</w:t>
      </w:r>
      <w:r>
        <w:rPr>
          <w:rStyle w:val="FootnoteReference"/>
          <w:szCs w:val="22"/>
        </w:rPr>
        <w:footnoteReference w:id="7"/>
      </w:r>
      <w:r>
        <w:t xml:space="preserve">  </w:t>
      </w:r>
      <w:r w:rsidR="005A4195">
        <w:t xml:space="preserve">Participants should familiarize themselves with the Commission’s </w:t>
      </w:r>
      <w:r w:rsidRPr="00C91996" w:rsidR="005A4195">
        <w:rPr>
          <w:i/>
        </w:rPr>
        <w:t>ex parte</w:t>
      </w:r>
      <w:r w:rsidR="005A4195">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65F81" w:rsidRPr="00665F81" w:rsidP="00DE5EFB">
      <w:pPr>
        <w:pStyle w:val="ParaNum"/>
        <w:numPr>
          <w:ilvl w:val="0"/>
          <w:numId w:val="0"/>
        </w:numPr>
        <w:ind w:firstLine="720"/>
      </w:pPr>
      <w: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t xml:space="preserve"> or call the Consumer &amp; Governmental Affairs Bureau at (202) 418-0530 (voice), (</w:t>
      </w:r>
      <w:r w:rsidR="00F66E7B">
        <w:t>888</w:t>
      </w:r>
      <w:r>
        <w:t xml:space="preserve">) </w:t>
      </w:r>
      <w:r w:rsidR="00F66E7B">
        <w:t>835</w:t>
      </w:r>
      <w:r>
        <w:t>-</w:t>
      </w:r>
      <w:r w:rsidR="00F66E7B">
        <w:t>5322</w:t>
      </w:r>
      <w:r>
        <w:t xml:space="preserve"> (tty).</w:t>
      </w:r>
    </w:p>
    <w:p w:rsidR="00665F81" w:rsidRPr="00665F81" w:rsidP="00DE5EFB">
      <w:pPr>
        <w:pStyle w:val="ParaNum"/>
        <w:keepLines/>
        <w:widowControl/>
        <w:numPr>
          <w:ilvl w:val="0"/>
          <w:numId w:val="0"/>
        </w:numPr>
        <w:ind w:firstLine="720"/>
      </w:pPr>
      <w:r w:rsidRPr="00665F81">
        <w:t xml:space="preserve">For further information, </w:t>
      </w:r>
      <w:r w:rsidR="00785EAF">
        <w:t xml:space="preserve">please see the contacts </w:t>
      </w:r>
      <w:r w:rsidR="0052494C">
        <w:t xml:space="preserve">for the specific discontinuance proceeding you are interested in as listed </w:t>
      </w:r>
      <w:r w:rsidR="00785EAF">
        <w:t>in the Appendix</w:t>
      </w:r>
      <w:r w:rsidRPr="00665F81">
        <w:t xml:space="preserve">.  The tty number is </w:t>
      </w:r>
      <w:r w:rsidR="00F66E7B">
        <w:t>(888) 835-5322</w:t>
      </w:r>
      <w:r w:rsidRPr="00665F81">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t>.</w:t>
      </w:r>
    </w:p>
    <w:p w:rsidR="00DE5EFB" w:rsidP="00DE5EFB">
      <w:pPr>
        <w:widowControl/>
        <w:rPr>
          <w:szCs w:val="22"/>
        </w:rPr>
      </w:pPr>
    </w:p>
    <w:p w:rsidR="00AC52E0" w:rsidP="00DE5EFB">
      <w:pPr>
        <w:widowControl/>
        <w:jc w:val="center"/>
        <w:rPr>
          <w:szCs w:val="22"/>
        </w:rPr>
      </w:pPr>
      <w:r w:rsidRPr="00665F81">
        <w:rPr>
          <w:szCs w:val="22"/>
        </w:rPr>
        <w:t xml:space="preserve">– </w:t>
      </w:r>
      <w:r w:rsidRPr="00DE5EFB">
        <w:rPr>
          <w:b/>
          <w:szCs w:val="22"/>
        </w:rPr>
        <w:t>FCC</w:t>
      </w:r>
      <w:r w:rsidRPr="00665F81">
        <w:rPr>
          <w:szCs w:val="22"/>
        </w:rPr>
        <w:t xml:space="preserve"> –</w:t>
      </w:r>
    </w:p>
    <w:p w:rsidR="00DE5EFB" w:rsidP="00DE5EFB">
      <w:pPr>
        <w:jc w:val="center"/>
        <w:rPr>
          <w:rFonts w:ascii="Times New Roman Bold" w:hAnsi="Times New Roman Bold"/>
          <w:b/>
          <w:caps/>
          <w:szCs w:val="22"/>
        </w:rPr>
        <w:sectPr w:rsidSect="00DE5EFB">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sectPr>
      </w:pPr>
    </w:p>
    <w:p w:rsidR="006076B9" w:rsidRPr="00DE5EFB" w:rsidP="00DE5EFB">
      <w:pPr>
        <w:jc w:val="center"/>
        <w:rPr>
          <w:rFonts w:ascii="Times New Roman Bold" w:hAnsi="Times New Roman Bold"/>
          <w:b/>
          <w:caps/>
          <w:szCs w:val="22"/>
        </w:rPr>
      </w:pPr>
      <w:r w:rsidRPr="00DE5EFB">
        <w:rPr>
          <w:rFonts w:ascii="Times New Roman Bold" w:hAnsi="Times New Roman Bold"/>
          <w:b/>
          <w:caps/>
          <w:szCs w:val="22"/>
        </w:rPr>
        <w:t>Appendix</w:t>
      </w:r>
    </w:p>
    <w:p w:rsidR="00DE5EFB" w:rsidP="00DE5EFB">
      <w:pPr>
        <w:spacing w:after="120"/>
        <w:jc w:val="center"/>
        <w:rPr>
          <w:b/>
          <w:szCs w:val="22"/>
        </w:rPr>
      </w:pPr>
    </w:p>
    <w:p w:rsidR="001B0857" w:rsidRPr="007A4B1F" w:rsidP="00DE5EFB">
      <w:pPr>
        <w:pStyle w:val="ListParagraph"/>
        <w:numPr>
          <w:ilvl w:val="0"/>
          <w:numId w:val="6"/>
        </w:numPr>
        <w:spacing w:after="120"/>
        <w:contextualSpacing w:val="0"/>
        <w:rPr>
          <w:b/>
          <w:szCs w:val="22"/>
        </w:rPr>
      </w:pPr>
      <w:r w:rsidRPr="007A4B1F">
        <w:rPr>
          <w:b/>
          <w:szCs w:val="22"/>
        </w:rPr>
        <w:t xml:space="preserve">Applicant(s): AT&amp;T Services, Inc., on behalf of its affiliates, BellSouth </w:t>
      </w:r>
      <w:r w:rsidR="007A4B1F">
        <w:rPr>
          <w:b/>
          <w:szCs w:val="22"/>
        </w:rPr>
        <w:t>T</w:t>
      </w:r>
      <w:r w:rsidRPr="007A4B1F">
        <w:rPr>
          <w:b/>
          <w:szCs w:val="22"/>
        </w:rPr>
        <w:t>elecommunications,</w:t>
      </w:r>
      <w:r w:rsidRPr="007A4B1F" w:rsidR="007A4B1F">
        <w:rPr>
          <w:b/>
          <w:szCs w:val="22"/>
        </w:rPr>
        <w:t xml:space="preserve"> </w:t>
      </w:r>
      <w:r w:rsidRPr="007A4B1F">
        <w:rPr>
          <w:b/>
          <w:szCs w:val="22"/>
        </w:rPr>
        <w:t>LLC, d/b/a AT&amp;T Alabama</w:t>
      </w:r>
      <w:r w:rsidR="007A4B1F">
        <w:rPr>
          <w:b/>
          <w:szCs w:val="22"/>
        </w:rPr>
        <w:t>,</w:t>
      </w:r>
      <w:r w:rsidRPr="007A4B1F">
        <w:rPr>
          <w:b/>
          <w:szCs w:val="22"/>
        </w:rPr>
        <w:t xml:space="preserve"> AT&amp;T Florida, AT&amp;T Georgia, AT&amp;T Kentucky, AT&amp;T</w:t>
      </w:r>
      <w:r w:rsidRPr="007A4B1F" w:rsidR="007A4B1F">
        <w:rPr>
          <w:b/>
          <w:szCs w:val="22"/>
        </w:rPr>
        <w:t xml:space="preserve"> </w:t>
      </w:r>
      <w:r w:rsidRPr="007A4B1F">
        <w:rPr>
          <w:b/>
          <w:szCs w:val="22"/>
        </w:rPr>
        <w:t>Louisiana, AT&amp;T Mississippi, AT&amp;T North Carolina, AT&amp;T South Carolina, and AT&amp;T</w:t>
      </w:r>
      <w:r w:rsidRPr="007A4B1F" w:rsidR="007A4B1F">
        <w:rPr>
          <w:b/>
          <w:szCs w:val="22"/>
        </w:rPr>
        <w:t xml:space="preserve"> </w:t>
      </w:r>
      <w:r w:rsidRPr="007A4B1F">
        <w:rPr>
          <w:b/>
          <w:szCs w:val="22"/>
        </w:rPr>
        <w:t>Tennessee; Illinois Bell Telephone Company, LLC, d/b/a AT&amp;T Illinois; Indiana Bell</w:t>
      </w:r>
      <w:r w:rsidRPr="007A4B1F" w:rsidR="007A4B1F">
        <w:rPr>
          <w:b/>
          <w:szCs w:val="22"/>
        </w:rPr>
        <w:t xml:space="preserve"> </w:t>
      </w:r>
      <w:r w:rsidRPr="007A4B1F">
        <w:rPr>
          <w:b/>
          <w:szCs w:val="22"/>
        </w:rPr>
        <w:t>Telephone Company, Incorporated, d/b/a AT&amp;T Indiana; Michigan Bell Telephone</w:t>
      </w:r>
      <w:r w:rsidRPr="007A4B1F" w:rsidR="007A4B1F">
        <w:rPr>
          <w:b/>
          <w:szCs w:val="22"/>
        </w:rPr>
        <w:t xml:space="preserve"> </w:t>
      </w:r>
      <w:r w:rsidRPr="007A4B1F">
        <w:rPr>
          <w:b/>
          <w:szCs w:val="22"/>
        </w:rPr>
        <w:t>Company, d/b/a AT&amp;T Michigan; Nevada Bell Telephone Company, d/b/a AT&amp;T Nevada;</w:t>
      </w:r>
      <w:r w:rsidRPr="007A4B1F" w:rsidR="007A4B1F">
        <w:rPr>
          <w:b/>
          <w:szCs w:val="22"/>
        </w:rPr>
        <w:t xml:space="preserve"> </w:t>
      </w:r>
      <w:r w:rsidRPr="007A4B1F">
        <w:rPr>
          <w:b/>
          <w:szCs w:val="22"/>
        </w:rPr>
        <w:t>Pacific Bell Telephone Company, d/b/a AT&amp;T California; Southwestern Bell Telephone</w:t>
      </w:r>
      <w:r w:rsidRPr="007A4B1F" w:rsidR="007A4B1F">
        <w:rPr>
          <w:b/>
          <w:szCs w:val="22"/>
        </w:rPr>
        <w:t xml:space="preserve"> </w:t>
      </w:r>
      <w:r w:rsidRPr="007A4B1F">
        <w:rPr>
          <w:b/>
          <w:szCs w:val="22"/>
        </w:rPr>
        <w:t>Company, d/b/a AT&amp;T Arkansas, AT&amp;T Kansas, AT&amp;T Missouri, AT&amp;T Oklahoma, and</w:t>
      </w:r>
      <w:r w:rsidRPr="007A4B1F" w:rsidR="007A4B1F">
        <w:rPr>
          <w:b/>
          <w:szCs w:val="22"/>
        </w:rPr>
        <w:t xml:space="preserve"> </w:t>
      </w:r>
      <w:r w:rsidRPr="007A4B1F">
        <w:rPr>
          <w:b/>
          <w:szCs w:val="22"/>
        </w:rPr>
        <w:t>AT&amp;T Texas; The Ohio Bell Telephone Company, d/b/a AT&amp;T Ohio; and Wisconsin Bell,</w:t>
      </w:r>
      <w:r w:rsidRPr="007A4B1F" w:rsidR="007A4B1F">
        <w:rPr>
          <w:b/>
          <w:szCs w:val="22"/>
        </w:rPr>
        <w:t xml:space="preserve"> </w:t>
      </w:r>
      <w:r w:rsidRPr="007A4B1F">
        <w:rPr>
          <w:b/>
          <w:szCs w:val="22"/>
        </w:rPr>
        <w:t>Inc., d/b/a AT&amp;T Wisconsin</w:t>
      </w:r>
    </w:p>
    <w:p w:rsidR="00F21346" w:rsidRPr="00134CD1" w:rsidP="00DE5EFB">
      <w:pPr>
        <w:pStyle w:val="ListParagraph"/>
        <w:spacing w:after="120"/>
        <w:contextualSpacing w:val="0"/>
        <w:rPr>
          <w:b/>
          <w:szCs w:val="22"/>
        </w:rPr>
      </w:pPr>
      <w:r w:rsidRPr="00134CD1">
        <w:rPr>
          <w:b/>
          <w:szCs w:val="22"/>
        </w:rPr>
        <w:t>WC Docket No. 1</w:t>
      </w:r>
      <w:r w:rsidRPr="00134CD1" w:rsidR="00134CD1">
        <w:rPr>
          <w:b/>
          <w:szCs w:val="22"/>
        </w:rPr>
        <w:t>9</w:t>
      </w:r>
      <w:r w:rsidRPr="00134CD1">
        <w:rPr>
          <w:b/>
          <w:szCs w:val="22"/>
        </w:rPr>
        <w:t>-</w:t>
      </w:r>
      <w:r w:rsidR="001B0857">
        <w:rPr>
          <w:b/>
          <w:szCs w:val="22"/>
        </w:rPr>
        <w:t>2</w:t>
      </w:r>
      <w:r w:rsidRPr="00134CD1" w:rsidR="00F44D7E">
        <w:rPr>
          <w:b/>
          <w:szCs w:val="22"/>
        </w:rPr>
        <w:t>3</w:t>
      </w:r>
      <w:r w:rsidR="001B0857">
        <w:rPr>
          <w:b/>
          <w:szCs w:val="22"/>
        </w:rPr>
        <w:t>8</w:t>
      </w:r>
      <w:r w:rsidRPr="00134CD1">
        <w:rPr>
          <w:b/>
          <w:szCs w:val="22"/>
        </w:rPr>
        <w:t>, Comp. Pol. File No. 1</w:t>
      </w:r>
      <w:r w:rsidRPr="00134CD1" w:rsidR="00576A65">
        <w:rPr>
          <w:b/>
          <w:szCs w:val="22"/>
        </w:rPr>
        <w:t>5</w:t>
      </w:r>
      <w:r w:rsidR="001B0857">
        <w:rPr>
          <w:b/>
          <w:szCs w:val="22"/>
        </w:rPr>
        <w:t>61</w:t>
      </w:r>
    </w:p>
    <w:p w:rsidR="00F21346" w:rsidRPr="00F21346" w:rsidP="00DE5EFB">
      <w:pPr>
        <w:pStyle w:val="ListParagraph"/>
        <w:spacing w:after="120"/>
        <w:contextualSpacing w:val="0"/>
        <w:rPr>
          <w:szCs w:val="22"/>
        </w:rPr>
      </w:pPr>
      <w:r w:rsidRPr="00EE7D60">
        <w:rPr>
          <w:b/>
          <w:szCs w:val="22"/>
        </w:rPr>
        <w:t xml:space="preserve">Link </w:t>
      </w:r>
      <w:r w:rsidRPr="00F21346">
        <w:rPr>
          <w:szCs w:val="22"/>
        </w:rPr>
        <w:t>–</w:t>
      </w:r>
      <w:r w:rsidR="00425100">
        <w:rPr>
          <w:szCs w:val="22"/>
        </w:rPr>
        <w:t xml:space="preserve"> </w:t>
      </w:r>
      <w:hyperlink r:id="rId12" w:history="1">
        <w:r w:rsidRPr="00425100" w:rsidR="00425100">
          <w:rPr>
            <w:rStyle w:val="Hyperlink"/>
            <w:szCs w:val="22"/>
          </w:rPr>
          <w:t>https://www.fcc.gov/ecfs/search/filings?proceedings_name=19-238&amp;sort=date_disseminated,DESC</w:t>
        </w:r>
      </w:hyperlink>
    </w:p>
    <w:p w:rsidR="003B4142" w:rsidP="00DE5EFB">
      <w:pPr>
        <w:pStyle w:val="ListParagraph"/>
        <w:spacing w:after="120"/>
        <w:contextualSpacing w:val="0"/>
        <w:rPr>
          <w:szCs w:val="22"/>
        </w:rPr>
      </w:pPr>
      <w:r w:rsidRPr="008C0C60">
        <w:rPr>
          <w:b/>
          <w:szCs w:val="22"/>
        </w:rPr>
        <w:t>Affected Service(s)</w:t>
      </w:r>
      <w:r w:rsidRPr="00F21346">
        <w:rPr>
          <w:szCs w:val="22"/>
        </w:rPr>
        <w:t xml:space="preserve"> –</w:t>
      </w:r>
      <w:r>
        <w:rPr>
          <w:szCs w:val="22"/>
        </w:rPr>
        <w:t xml:space="preserve"> </w:t>
      </w:r>
      <w:r w:rsidRPr="007A4B1F" w:rsidR="007A4B1F">
        <w:rPr>
          <w:szCs w:val="22"/>
        </w:rPr>
        <w:t>Metallic, Telegraph Grade, Voice Grade, Direct Analog, Base Rate (DS0), MegaLink Data, High Capacity</w:t>
      </w:r>
      <w:r w:rsidR="007A4B1F">
        <w:rPr>
          <w:szCs w:val="22"/>
        </w:rPr>
        <w:t xml:space="preserve"> </w:t>
      </w:r>
      <w:r w:rsidRPr="007A4B1F" w:rsidR="007A4B1F">
        <w:rPr>
          <w:szCs w:val="22"/>
        </w:rPr>
        <w:t>(64K), Digital Data, Digital Data Access, Derived Data Channel, Generic Digital</w:t>
      </w:r>
      <w:r w:rsidR="0059467E">
        <w:rPr>
          <w:szCs w:val="22"/>
        </w:rPr>
        <w:t xml:space="preserve"> </w:t>
      </w:r>
      <w:r w:rsidRPr="007A4B1F" w:rsidR="007A4B1F">
        <w:rPr>
          <w:szCs w:val="22"/>
        </w:rPr>
        <w:t>Transport, and Program Audio Service</w:t>
      </w:r>
    </w:p>
    <w:p w:rsidR="00C77BAF" w:rsidRPr="00C77BAF" w:rsidP="00DE5EFB">
      <w:pPr>
        <w:pStyle w:val="ListParagraph"/>
        <w:spacing w:after="120"/>
        <w:contextualSpacing w:val="0"/>
        <w:rPr>
          <w:szCs w:val="22"/>
        </w:rPr>
      </w:pPr>
      <w:r w:rsidRPr="008C0C60">
        <w:rPr>
          <w:b/>
          <w:szCs w:val="22"/>
        </w:rPr>
        <w:t>Service Area(s)</w:t>
      </w:r>
      <w:r w:rsidRPr="00F21346">
        <w:rPr>
          <w:szCs w:val="22"/>
        </w:rPr>
        <w:t xml:space="preserve"> –</w:t>
      </w:r>
      <w:r w:rsidR="00C12515">
        <w:rPr>
          <w:szCs w:val="22"/>
        </w:rPr>
        <w:t xml:space="preserve"> </w:t>
      </w:r>
      <w:r w:rsidRPr="00C77BAF">
        <w:rPr>
          <w:szCs w:val="22"/>
        </w:rPr>
        <w:t>Alabama, Arkansas, California, Florida, Georgia, Illinois, Indiana, Kansas,</w:t>
      </w:r>
    </w:p>
    <w:p w:rsidR="0059467E" w:rsidP="00DE5EFB">
      <w:pPr>
        <w:pStyle w:val="ListParagraph"/>
        <w:spacing w:after="120"/>
        <w:contextualSpacing w:val="0"/>
        <w:rPr>
          <w:szCs w:val="22"/>
        </w:rPr>
      </w:pPr>
      <w:r w:rsidRPr="00C77BAF">
        <w:rPr>
          <w:szCs w:val="22"/>
        </w:rPr>
        <w:t>Kentucky, Louisiana, Michigan, Missouri, Mississippi, Nevada, North Carolina, Ohio, Oklahoma, South Carolina, Tennessee, Texas, and Wisconsin</w:t>
      </w:r>
    </w:p>
    <w:p w:rsidR="002F05CB" w:rsidP="00DE5EFB">
      <w:pPr>
        <w:pStyle w:val="ListParagraph"/>
        <w:spacing w:after="120"/>
        <w:contextualSpacing w:val="0"/>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4E1EEB">
        <w:rPr>
          <w:szCs w:val="22"/>
        </w:rPr>
        <w:t>November 1</w:t>
      </w:r>
      <w:r w:rsidR="008E1429">
        <w:rPr>
          <w:szCs w:val="22"/>
        </w:rPr>
        <w:t xml:space="preserve">, 2019 </w:t>
      </w:r>
    </w:p>
    <w:p w:rsidR="00F21346" w:rsidP="00DE5EFB">
      <w:pPr>
        <w:pStyle w:val="ListParagraph"/>
        <w:spacing w:after="120"/>
        <w:contextualSpacing w:val="0"/>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1B1F17" w:rsidP="00DE5EFB">
      <w:pPr>
        <w:pStyle w:val="ListParagraph"/>
        <w:spacing w:after="120"/>
        <w:contextualSpacing w:val="0"/>
        <w:rPr>
          <w:szCs w:val="22"/>
        </w:rPr>
      </w:pPr>
      <w:r>
        <w:rPr>
          <w:b/>
          <w:szCs w:val="22"/>
        </w:rPr>
        <w:t>Note</w:t>
      </w:r>
      <w:r w:rsidRPr="008E1429">
        <w:rPr>
          <w:szCs w:val="22"/>
        </w:rPr>
        <w:t>:</w:t>
      </w:r>
      <w:r>
        <w:rPr>
          <w:szCs w:val="22"/>
        </w:rPr>
        <w:t xml:space="preserve">  </w:t>
      </w:r>
      <w:r w:rsidR="000C0B8F">
        <w:rPr>
          <w:szCs w:val="22"/>
        </w:rPr>
        <w:t xml:space="preserve">On or after </w:t>
      </w:r>
      <w:r w:rsidRPr="00A066C4" w:rsidR="000C0B8F">
        <w:rPr>
          <w:b/>
          <w:szCs w:val="22"/>
        </w:rPr>
        <w:t>November 1, 2019</w:t>
      </w:r>
      <w:r w:rsidRPr="000C0B8F" w:rsidR="000C0B8F">
        <w:rPr>
          <w:szCs w:val="22"/>
        </w:rPr>
        <w:t>, the Affected Services</w:t>
      </w:r>
      <w:r w:rsidR="000C0B8F">
        <w:rPr>
          <w:szCs w:val="22"/>
        </w:rPr>
        <w:t xml:space="preserve"> </w:t>
      </w:r>
      <w:r w:rsidRPr="000C0B8F" w:rsidR="000C0B8F">
        <w:rPr>
          <w:szCs w:val="22"/>
        </w:rPr>
        <w:t xml:space="preserve">will no longer be </w:t>
      </w:r>
      <w:r w:rsidR="000C0B8F">
        <w:rPr>
          <w:szCs w:val="22"/>
        </w:rPr>
        <w:t>available</w:t>
      </w:r>
      <w:r w:rsidRPr="000C0B8F" w:rsidR="000C0B8F">
        <w:rPr>
          <w:szCs w:val="22"/>
        </w:rPr>
        <w:t xml:space="preserve"> to new customers or existing customers seeking to renew their</w:t>
      </w:r>
      <w:r w:rsidR="000C0B8F">
        <w:rPr>
          <w:szCs w:val="22"/>
        </w:rPr>
        <w:t xml:space="preserve"> </w:t>
      </w:r>
      <w:r w:rsidRPr="000C0B8F" w:rsidR="000C0B8F">
        <w:rPr>
          <w:szCs w:val="22"/>
        </w:rPr>
        <w:t>service agreement. Current customers subscribing to these services may retain their</w:t>
      </w:r>
      <w:r w:rsidR="000C0B8F">
        <w:rPr>
          <w:szCs w:val="22"/>
        </w:rPr>
        <w:t xml:space="preserve"> </w:t>
      </w:r>
      <w:r w:rsidRPr="000C0B8F" w:rsidR="000C0B8F">
        <w:rPr>
          <w:szCs w:val="22"/>
        </w:rPr>
        <w:t xml:space="preserve">existing services subject to the following changes: </w:t>
      </w:r>
      <w:r w:rsidR="000C0B8F">
        <w:rPr>
          <w:szCs w:val="22"/>
        </w:rPr>
        <w:t xml:space="preserve">on or after </w:t>
      </w:r>
      <w:r w:rsidRPr="00A066C4" w:rsidR="000C0B8F">
        <w:rPr>
          <w:b/>
          <w:szCs w:val="22"/>
        </w:rPr>
        <w:t>November 1, 2019</w:t>
      </w:r>
      <w:r w:rsidRPr="000C0B8F" w:rsidR="000C0B8F">
        <w:rPr>
          <w:szCs w:val="22"/>
        </w:rPr>
        <w:t>, AT&amp;T will</w:t>
      </w:r>
      <w:r w:rsidR="000C0B8F">
        <w:rPr>
          <w:szCs w:val="22"/>
        </w:rPr>
        <w:t xml:space="preserve"> </w:t>
      </w:r>
      <w:r w:rsidRPr="000C0B8F" w:rsidR="000C0B8F">
        <w:rPr>
          <w:szCs w:val="22"/>
        </w:rPr>
        <w:t>no longer renew service agreements for the Affected Services, and following the expiration</w:t>
      </w:r>
      <w:r w:rsidR="000C0B8F">
        <w:rPr>
          <w:szCs w:val="22"/>
        </w:rPr>
        <w:t xml:space="preserve"> </w:t>
      </w:r>
      <w:r w:rsidRPr="000C0B8F" w:rsidR="000C0B8F">
        <w:rPr>
          <w:szCs w:val="22"/>
        </w:rPr>
        <w:t>of existing term agreements, AT&amp;T will provide the services on a month-to-month basis</w:t>
      </w:r>
      <w:r w:rsidR="000C0B8F">
        <w:rPr>
          <w:szCs w:val="22"/>
        </w:rPr>
        <w:t xml:space="preserve"> </w:t>
      </w:r>
      <w:r w:rsidRPr="000C0B8F" w:rsidR="000C0B8F">
        <w:rPr>
          <w:szCs w:val="22"/>
        </w:rPr>
        <w:t>until the service is discontinued.</w:t>
      </w:r>
      <w:r w:rsidR="00A066C4">
        <w:rPr>
          <w:szCs w:val="22"/>
        </w:rPr>
        <w:t xml:space="preserve"> </w:t>
      </w:r>
      <w:r w:rsidRPr="000C0B8F" w:rsidR="000C0B8F">
        <w:rPr>
          <w:szCs w:val="22"/>
        </w:rPr>
        <w:t xml:space="preserve"> </w:t>
      </w:r>
      <w:r w:rsidR="00A066C4">
        <w:rPr>
          <w:szCs w:val="22"/>
        </w:rPr>
        <w:t xml:space="preserve">On or after </w:t>
      </w:r>
      <w:r w:rsidRPr="00A066C4" w:rsidR="00A066C4">
        <w:rPr>
          <w:b/>
          <w:szCs w:val="22"/>
        </w:rPr>
        <w:t>November 1, 2019</w:t>
      </w:r>
      <w:r w:rsidR="00A066C4">
        <w:rPr>
          <w:szCs w:val="22"/>
        </w:rPr>
        <w:t xml:space="preserve">, </w:t>
      </w:r>
      <w:r w:rsidRPr="00A066C4" w:rsidR="00A066C4">
        <w:rPr>
          <w:szCs w:val="22"/>
        </w:rPr>
        <w:t>AT&amp;T will no longer accept new</w:t>
      </w:r>
      <w:r w:rsidR="00A066C4">
        <w:rPr>
          <w:szCs w:val="22"/>
        </w:rPr>
        <w:t xml:space="preserve"> </w:t>
      </w:r>
      <w:r w:rsidRPr="00A066C4" w:rsidR="00A066C4">
        <w:rPr>
          <w:szCs w:val="22"/>
        </w:rPr>
        <w:t>requests for physical changes to existing service arrangements including the upgrade or</w:t>
      </w:r>
      <w:r w:rsidR="00A066C4">
        <w:rPr>
          <w:szCs w:val="22"/>
        </w:rPr>
        <w:t xml:space="preserve"> </w:t>
      </w:r>
      <w:r w:rsidRPr="00A066C4" w:rsidR="00A066C4">
        <w:rPr>
          <w:szCs w:val="22"/>
        </w:rPr>
        <w:t>downgrade of access/port speed, installation of new service, or moves to different service</w:t>
      </w:r>
      <w:r w:rsidR="00A066C4">
        <w:rPr>
          <w:szCs w:val="22"/>
        </w:rPr>
        <w:t xml:space="preserve"> </w:t>
      </w:r>
      <w:r w:rsidRPr="00A066C4" w:rsidR="00A066C4">
        <w:rPr>
          <w:szCs w:val="22"/>
        </w:rPr>
        <w:t>addresses.</w:t>
      </w:r>
      <w:r w:rsidR="00A066C4">
        <w:rPr>
          <w:szCs w:val="22"/>
        </w:rPr>
        <w:t xml:space="preserve">  </w:t>
      </w:r>
      <w:r w:rsidRPr="00A066C4" w:rsidR="00A066C4">
        <w:rPr>
          <w:szCs w:val="22"/>
        </w:rPr>
        <w:t>AT&amp;T plans to discontinue Program Audio Service on or</w:t>
      </w:r>
      <w:r w:rsidR="00A066C4">
        <w:rPr>
          <w:szCs w:val="22"/>
        </w:rPr>
        <w:t xml:space="preserve"> </w:t>
      </w:r>
      <w:r w:rsidRPr="00A066C4" w:rsidR="00A066C4">
        <w:rPr>
          <w:szCs w:val="22"/>
        </w:rPr>
        <w:t xml:space="preserve">after </w:t>
      </w:r>
      <w:r w:rsidRPr="00A066C4" w:rsidR="00A066C4">
        <w:rPr>
          <w:b/>
          <w:szCs w:val="22"/>
        </w:rPr>
        <w:t>November 1, 2020</w:t>
      </w:r>
      <w:r w:rsidRPr="00A066C4" w:rsidR="00A066C4">
        <w:rPr>
          <w:szCs w:val="22"/>
        </w:rPr>
        <w:t>, or upon the expiration of the customer’s existing term agreement,</w:t>
      </w:r>
      <w:r w:rsidR="00A066C4">
        <w:rPr>
          <w:szCs w:val="22"/>
        </w:rPr>
        <w:t xml:space="preserve"> </w:t>
      </w:r>
      <w:r w:rsidRPr="00A066C4" w:rsidR="00A066C4">
        <w:rPr>
          <w:szCs w:val="22"/>
        </w:rPr>
        <w:t>whichever is later.</w:t>
      </w:r>
      <w:r w:rsidR="00A066C4">
        <w:rPr>
          <w:szCs w:val="22"/>
        </w:rPr>
        <w:t xml:space="preserve">  </w:t>
      </w:r>
      <w:r w:rsidRPr="000C0B8F" w:rsidR="000C0B8F">
        <w:rPr>
          <w:szCs w:val="22"/>
        </w:rPr>
        <w:t>AT&amp;T plans to discontinue Metallic, Telegraph Grade,</w:t>
      </w:r>
      <w:r w:rsidR="000C0B8F">
        <w:rPr>
          <w:szCs w:val="22"/>
        </w:rPr>
        <w:t xml:space="preserve"> V</w:t>
      </w:r>
      <w:r w:rsidRPr="000C0B8F" w:rsidR="000C0B8F">
        <w:rPr>
          <w:szCs w:val="22"/>
        </w:rPr>
        <w:t>oice Grade, Direct Analog, Base Rate (DS0), MegaLink Data, High Capacity (64K),</w:t>
      </w:r>
      <w:r w:rsidR="00A066C4">
        <w:rPr>
          <w:szCs w:val="22"/>
        </w:rPr>
        <w:t xml:space="preserve"> </w:t>
      </w:r>
      <w:r w:rsidRPr="000C0B8F" w:rsidR="000C0B8F">
        <w:rPr>
          <w:szCs w:val="22"/>
        </w:rPr>
        <w:t>Digital Data, Digital Data Access, Derived Data Channel, and Generic Digital Transport</w:t>
      </w:r>
      <w:r w:rsidR="00A066C4">
        <w:rPr>
          <w:szCs w:val="22"/>
        </w:rPr>
        <w:t xml:space="preserve"> </w:t>
      </w:r>
      <w:r w:rsidRPr="000C0B8F" w:rsidR="000C0B8F">
        <w:rPr>
          <w:szCs w:val="22"/>
        </w:rPr>
        <w:t xml:space="preserve">Services on or after </w:t>
      </w:r>
      <w:r w:rsidRPr="00A066C4" w:rsidR="000C0B8F">
        <w:rPr>
          <w:b/>
          <w:szCs w:val="22"/>
        </w:rPr>
        <w:t>June 30, 2024</w:t>
      </w:r>
      <w:r w:rsidRPr="000C0B8F" w:rsidR="000C0B8F">
        <w:rPr>
          <w:szCs w:val="22"/>
        </w:rPr>
        <w:t xml:space="preserve"> or upon the expiration of the customer’s existing term</w:t>
      </w:r>
      <w:r w:rsidR="00A066C4">
        <w:rPr>
          <w:szCs w:val="22"/>
        </w:rPr>
        <w:t xml:space="preserve"> </w:t>
      </w:r>
      <w:r w:rsidRPr="000C0B8F" w:rsidR="000C0B8F">
        <w:rPr>
          <w:szCs w:val="22"/>
        </w:rPr>
        <w:t>agreement, whichever is later.</w:t>
      </w:r>
      <w:r w:rsidR="00A066C4">
        <w:rPr>
          <w:szCs w:val="22"/>
        </w:rPr>
        <w:t xml:space="preserve">  </w:t>
      </w:r>
    </w:p>
    <w:sectPr w:rsidSect="00DE5EFB">
      <w:headerReference w:type="first" r:id="rId13"/>
      <w:footerReference w:type="first" r:id="rId14"/>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rsidP="00DE5EFB">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rsidP="00DE5EFB">
    <w:pPr>
      <w:pStyle w:val="Footer"/>
      <w:tabs>
        <w:tab w:val="clear" w:pos="4320"/>
        <w:tab w:val="center" w:pos="468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EFB" w:rsidP="00DE5EF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83B">
      <w:r>
        <w:separator/>
      </w:r>
    </w:p>
  </w:footnote>
  <w:footnote w:type="continuationSeparator" w:id="1">
    <w:p w:rsidR="00A3283B">
      <w:r>
        <w:continuationSeparator/>
      </w:r>
    </w:p>
  </w:footnote>
  <w:footnote w:id="2">
    <w:p w:rsidR="00D33FBA" w:rsidRPr="00C91996">
      <w:pPr>
        <w:pStyle w:val="FootnoteText"/>
      </w:pPr>
      <w:r w:rsidRPr="00C91996">
        <w:rPr>
          <w:rStyle w:val="FootnoteReference"/>
          <w:sz w:val="20"/>
        </w:rPr>
        <w:footnoteRef/>
      </w:r>
      <w:r w:rsidRPr="00C91996">
        <w:t xml:space="preserve"> </w:t>
      </w:r>
      <w:r w:rsidRPr="007F5954">
        <w:t>47 CFR § 63.71.</w:t>
      </w:r>
      <w:r w:rsidR="00B45BF0">
        <w:t xml:space="preserve">  </w:t>
      </w:r>
      <w:r w:rsidRPr="00B45BF0" w:rsidR="00B45BF0">
        <w:rPr>
          <w:i/>
        </w:rPr>
        <w:t xml:space="preserve">See </w:t>
      </w:r>
      <w:r w:rsidRPr="00B45BF0" w:rsidR="00B45BF0">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t>47 U.S.C</w:t>
      </w:r>
      <w:r w:rsidR="003836D5">
        <w:t>.</w:t>
      </w:r>
      <w:r w:rsidRPr="00E31736">
        <w:t xml:space="preserve"> </w:t>
      </w:r>
      <w:r w:rsidRPr="00E31736">
        <w:rPr>
          <w:rFonts w:eastAsia="MS Mincho"/>
        </w:rPr>
        <w:t>§ 214</w:t>
      </w:r>
      <w:r>
        <w:rPr>
          <w:rFonts w:eastAsia="MS Mincho"/>
        </w:rPr>
        <w:t>.</w:t>
      </w:r>
    </w:p>
  </w:footnote>
  <w:footnote w:id="4">
    <w:p w:rsidR="00E31736" w:rsidP="00E31736">
      <w:pPr>
        <w:pStyle w:val="FootnoteText"/>
      </w:pPr>
      <w:r>
        <w:rPr>
          <w:rStyle w:val="FootnoteReference"/>
        </w:rPr>
        <w:footnoteRef/>
      </w:r>
      <w:r>
        <w:t xml:space="preserve"> </w:t>
      </w:r>
      <w:r w:rsidRPr="00E31736">
        <w:rPr>
          <w:rFonts w:eastAsia="MS Mincho"/>
        </w:rPr>
        <w:t>47 CFR § 63.71</w:t>
      </w:r>
      <w:r>
        <w:rPr>
          <w:rFonts w:eastAsia="MS Mincho"/>
        </w:rPr>
        <w:t>.</w:t>
      </w:r>
    </w:p>
  </w:footnote>
  <w:footnote w:id="5">
    <w:p w:rsidR="0027042D" w:rsidRPr="007F5954" w:rsidP="0027042D">
      <w:pPr>
        <w:pStyle w:val="FootnoteText"/>
      </w:pPr>
      <w:r w:rsidRPr="007F5954">
        <w:rPr>
          <w:rStyle w:val="FootnoteReference"/>
          <w:sz w:val="20"/>
        </w:rPr>
        <w:footnoteRef/>
      </w:r>
      <w:r w:rsidRPr="007F5954">
        <w:t xml:space="preserve"> </w:t>
      </w:r>
      <w:r w:rsidRPr="007F5954">
        <w:rPr>
          <w:i/>
        </w:rPr>
        <w:t xml:space="preserve">See </w:t>
      </w:r>
      <w:r w:rsidR="00A10681">
        <w:t>47 CFR § 63.71(</w:t>
      </w:r>
      <w:r w:rsidR="009977BD">
        <w:t>f</w:t>
      </w:r>
      <w:r w:rsidR="00A10681">
        <w:t xml:space="preserve">) </w:t>
      </w:r>
      <w:r w:rsidRPr="00A10681" w:rsidR="00A10681">
        <w:t xml:space="preserve">(stating, in relevant part, that an application filed by a dominant carrier “shall be automatically granted on the </w:t>
      </w:r>
      <w:r w:rsidR="00FE6B4B">
        <w:t>60th</w:t>
      </w:r>
      <w:r w:rsidRPr="00A10681" w:rsidR="00A10681">
        <w:t xml:space="preserve"> day</w:t>
      </w:r>
      <w:r w:rsidR="001C46DB">
        <w:t xml:space="preserve"> after its filing</w:t>
      </w:r>
      <w:r w:rsidRPr="00A10681" w:rsidR="00A10681">
        <w:t>… unless the Commission has notified the applicant that the grant will not be automatically effective.”)</w:t>
      </w:r>
      <w:r w:rsidRPr="00CB6186">
        <w:t>.</w:t>
      </w:r>
    </w:p>
  </w:footnote>
  <w:footnote w:id="6">
    <w:p w:rsidR="00D33FBA" w:rsidRPr="00C91996">
      <w:pPr>
        <w:pStyle w:val="FootnoteText"/>
      </w:pPr>
      <w:r w:rsidRPr="00C91996">
        <w:rPr>
          <w:rStyle w:val="FootnoteReference"/>
          <w:sz w:val="20"/>
        </w:rPr>
        <w:footnoteRef/>
      </w:r>
      <w:r w:rsidRPr="00C91996">
        <w:t xml:space="preserve"> </w:t>
      </w:r>
      <w:r w:rsidRPr="007F5954">
        <w:rPr>
          <w:i/>
        </w:rPr>
        <w:t>See Electronic Filing of Documents in Rulemaking Proceedings</w:t>
      </w:r>
      <w:r w:rsidRPr="007F5954">
        <w:t>, 63 FR 24121 (1998).</w:t>
      </w:r>
    </w:p>
  </w:footnote>
  <w:footnote w:id="7">
    <w:p w:rsidR="00D33FBA" w:rsidRPr="007F5954" w:rsidP="00490A6C">
      <w:pPr>
        <w:pStyle w:val="FootnoteText"/>
      </w:pPr>
      <w:r w:rsidRPr="00C91996">
        <w:rPr>
          <w:rStyle w:val="FootnoteReference"/>
          <w:sz w:val="20"/>
        </w:rPr>
        <w:footnoteRef/>
      </w:r>
      <w:r w:rsidRPr="00C91996">
        <w:t xml:space="preserve"> </w:t>
      </w:r>
      <w:r w:rsidRPr="007F5954">
        <w:t>47 CFR §</w:t>
      </w:r>
      <w:r w:rsidR="00B10543">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EFB" w:rsidP="00DE5EFB">
    <w:pPr>
      <w:tabs>
        <w:tab w:val="center" w:pos="4680"/>
        <w:tab w:val="right" w:pos="9360"/>
      </w:tabs>
      <w:rPr>
        <w:snapToGrid/>
      </w:rPr>
    </w:pPr>
    <w:r>
      <w:rPr>
        <w:b/>
      </w:rPr>
      <w:tab/>
      <w:t>Federal Communications Commission</w:t>
    </w:r>
    <w:r>
      <w:rPr>
        <w:b/>
      </w:rPr>
      <w:tab/>
      <w:t>DA 19-815</w:t>
    </w:r>
  </w:p>
  <w:p w:rsidR="00DE5EFB" w:rsidP="00DE5EFB">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DE5EFB" w:rsidP="00DE5EFB">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082603">
    <w:pPr>
      <w:pStyle w:val="Header"/>
      <w:ind w:firstLine="0"/>
    </w:pPr>
    <w:r>
      <w:rPr>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6pt;margin-left:-51pt;mso-wrap-edited:f;position:absolute;visibility:visible;z-index:251660288" o:oleicon="f" o:allowincell="f">
          <v:imagedata r:id="rId1" o:title=""/>
        </v:shape>
        <o:OLEObject Type="Embed" ProgID="Word.Picture.8" ShapeID="_x0000_s2050" DrawAspect="Content" ObjectID="_1633335476" r:id="rId2"/>
      </w:pict>
    </w:r>
    <w:r w:rsidR="00A3283B">
      <w:t>PUBLIC NOTICE</w:t>
    </w:r>
  </w:p>
  <w:p w:rsidR="00DE5EFB" w:rsidP="00082603">
    <w:pPr>
      <w:pStyle w:val="Header"/>
      <w:ind w:firstLine="0"/>
    </w:pPr>
    <w:r>
      <w:rPr>
        <w:noProof/>
      </w:rPr>
      <w:pict>
        <v:shapetype id="_x0000_t202" coordsize="21600,21600" o:spt="202" path="m,l,21600r21600,l21600,xe">
          <v:stroke joinstyle="miter"/>
          <v:path gradientshapeok="t" o:connecttype="rect"/>
        </v:shapetype>
        <v:shape id="Text Box 4" o:spid="_x0000_s2051" type="#_x0000_t202" style="width:207pt;height:35.25pt;margin-top:13.75pt;margin-left:264.75pt;position:absolute;visibility:visible;z-index:251661312" stroked="f">
          <v:textbox inset=",0,,0">
            <w:txbxContent>
              <w:p w:rsidR="00F44B48" w:rsidRPr="00D56232" w:rsidP="00F44B48">
                <w:pPr>
                  <w:jc w:val="right"/>
                  <w:rPr>
                    <w:rFonts w:ascii="Arial" w:hAnsi="Arial"/>
                    <w:b/>
                    <w:sz w:val="16"/>
                  </w:rPr>
                </w:pP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Internet:  http://www.fcc.gov</w:t>
                </w:r>
              </w:p>
              <w:p w:rsidR="00F44B48" w:rsidRPr="00D56232" w:rsidP="00DE5EFB">
                <w:pPr>
                  <w:jc w:val="right"/>
                  <w:rPr>
                    <w:rFonts w:ascii="Arial" w:hAnsi="Arial"/>
                    <w:b/>
                    <w:sz w:val="16"/>
                  </w:rPr>
                </w:pP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txbxContent>
          </v:textbox>
        </v:shape>
      </w:pict>
    </w:r>
    <w:r>
      <w:rPr>
        <w:noProof/>
      </w:rPr>
      <w:pict>
        <v:shape id="Text Box 2" o:spid="_x0000_s2052" type="#_x0000_t202" style="width:244.8pt;height:45pt;margin-top:8.75pt;margin-left:-3.45pt;position:absolute;visibility:visible;z-index:251658240"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p>
  <w:p w:rsidR="00D33FBA" w:rsidP="00082603">
    <w:pPr>
      <w:pStyle w:val="Header"/>
      <w:ind w:firstLine="0"/>
      <w:rPr>
        <w:sz w:val="28"/>
      </w:rPr>
    </w:pPr>
    <w:r>
      <w:rPr>
        <w:noProof/>
      </w:rPr>
      <w:pict>
        <v:line id="Line 3" o:spid="_x0000_s2053" style="position:absolute;visibility:visible;z-index:251659264" from="-3.45pt,2.25pt" to="464.55pt,2.2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EFB" w:rsidP="00DE5EFB">
    <w:pPr>
      <w:tabs>
        <w:tab w:val="center" w:pos="4680"/>
        <w:tab w:val="right" w:pos="9360"/>
      </w:tabs>
      <w:rPr>
        <w:snapToGrid/>
      </w:rPr>
    </w:pPr>
    <w:r>
      <w:rPr>
        <w:b/>
      </w:rPr>
      <w:tab/>
      <w:t>Federal Communications Commission</w:t>
    </w:r>
    <w:r>
      <w:rPr>
        <w:b/>
      </w:rPr>
      <w:tab/>
      <w:t>DA 19-815</w:t>
    </w:r>
  </w:p>
  <w:p w:rsidR="00DE5EFB" w:rsidP="00DE5EFB">
    <w:pPr>
      <w:tabs>
        <w:tab w:val="left" w:pos="-720"/>
      </w:tabs>
      <w:suppressAutoHyphens/>
      <w:spacing w:line="19" w:lineRule="exact"/>
      <w:rPr>
        <w:spacing w:val="-2"/>
      </w:rPr>
    </w:pPr>
    <w:r>
      <w:rPr>
        <w:noProof/>
      </w:rPr>
      <w:pict>
        <v:rect id="Rectangle 4" o:spid="_x0000_s2054" style="width:468pt;height:0.95pt;margin-top:0;margin-left:0;mso-position-horizontal-relative:margin;position:absolute;visibility:visible;z-index:-251653120" o:allowincell="f" fillcolor="black" stroked="f" strokeweight="0.05pt">
          <w10:wrap anchorx="margin"/>
        </v:rect>
      </w:pict>
    </w:r>
  </w:p>
  <w:p w:rsidR="00DE5EFB" w:rsidP="00DE5EFB">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
  </w:num>
  <w:num w:numId="4">
    <w:abstractNumId w:val="11"/>
  </w:num>
  <w:num w:numId="5">
    <w:abstractNumId w:val="7"/>
  </w:num>
  <w:num w:numId="6">
    <w:abstractNumId w:val="6"/>
  </w:num>
  <w:num w:numId="7">
    <w:abstractNumId w:val="3"/>
  </w:num>
  <w:num w:numId="8">
    <w:abstractNumId w:val="10"/>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1AFB"/>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803C7"/>
    <w:rsid w:val="00081990"/>
    <w:rsid w:val="00081F7A"/>
    <w:rsid w:val="00081FD8"/>
    <w:rsid w:val="00082603"/>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A7B61"/>
    <w:rsid w:val="001B0857"/>
    <w:rsid w:val="001B0BFB"/>
    <w:rsid w:val="001B1F17"/>
    <w:rsid w:val="001B2C99"/>
    <w:rsid w:val="001B47C5"/>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10C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6AAB"/>
    <w:rsid w:val="008E74CD"/>
    <w:rsid w:val="008F065B"/>
    <w:rsid w:val="008F23F3"/>
    <w:rsid w:val="008F6CD5"/>
    <w:rsid w:val="008F744F"/>
    <w:rsid w:val="008F757C"/>
    <w:rsid w:val="00900772"/>
    <w:rsid w:val="0090233C"/>
    <w:rsid w:val="00902A28"/>
    <w:rsid w:val="00906687"/>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30316"/>
    <w:rsid w:val="00A30C8E"/>
    <w:rsid w:val="00A31EE6"/>
    <w:rsid w:val="00A3283B"/>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A20"/>
    <w:rsid w:val="00DE1D8F"/>
    <w:rsid w:val="00DE2DC6"/>
    <w:rsid w:val="00DE5EFB"/>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03"/>
    <w:pPr>
      <w:widowControl w:val="0"/>
    </w:pPr>
    <w:rPr>
      <w:rFonts w:eastAsia="Times New Roman"/>
      <w:snapToGrid w:val="0"/>
      <w:kern w:val="28"/>
      <w:sz w:val="22"/>
    </w:rPr>
  </w:style>
  <w:style w:type="paragraph" w:styleId="Heading1">
    <w:name w:val="heading 1"/>
    <w:basedOn w:val="Normal"/>
    <w:next w:val="ParaNum"/>
    <w:link w:val="Heading1Char"/>
    <w:qFormat/>
    <w:rsid w:val="00082603"/>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82603"/>
    <w:pPr>
      <w:keepNext/>
      <w:numPr>
        <w:ilvl w:val="1"/>
        <w:numId w:val="9"/>
      </w:numPr>
      <w:spacing w:after="120"/>
      <w:outlineLvl w:val="1"/>
    </w:pPr>
    <w:rPr>
      <w:b/>
    </w:rPr>
  </w:style>
  <w:style w:type="paragraph" w:styleId="Heading3">
    <w:name w:val="heading 3"/>
    <w:basedOn w:val="Normal"/>
    <w:next w:val="ParaNum"/>
    <w:link w:val="Heading3Char"/>
    <w:qFormat/>
    <w:rsid w:val="00082603"/>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082603"/>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082603"/>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082603"/>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082603"/>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082603"/>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82603"/>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semiHidden/>
    <w:rsid w:val="000826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82603"/>
  </w:style>
  <w:style w:type="paragraph" w:styleId="Header">
    <w:name w:val="header"/>
    <w:basedOn w:val="Normal"/>
    <w:link w:val="HeaderChar"/>
    <w:autoRedefine/>
    <w:rsid w:val="0008260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82603"/>
    <w:pPr>
      <w:tabs>
        <w:tab w:val="center" w:pos="4320"/>
        <w:tab w:val="right" w:pos="8640"/>
      </w:tabs>
    </w:pPr>
  </w:style>
  <w:style w:type="character" w:styleId="FootnoteReference">
    <w:name w:val="footnote reference"/>
    <w:semiHidden/>
    <w:rsid w:val="00082603"/>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82603"/>
    <w:pPr>
      <w:spacing w:after="120"/>
    </w:pPr>
    <w:rPr>
      <w:rFonts w:eastAsia="Times New Roman"/>
    </w:rPr>
  </w:style>
  <w:style w:type="character" w:styleId="PageNumber">
    <w:name w:val="page number"/>
    <w:basedOn w:val="DefaultParagraphFont"/>
    <w:rsid w:val="00082603"/>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082603"/>
    <w:pPr>
      <w:spacing w:after="240"/>
      <w:ind w:left="1440" w:right="1440"/>
    </w:pPr>
  </w:style>
  <w:style w:type="character" w:styleId="Hyperlink">
    <w:name w:val="Hyperlink"/>
    <w:rsid w:val="00082603"/>
    <w:rPr>
      <w:color w:val="0000FF"/>
      <w:u w:val="single"/>
    </w:rPr>
  </w:style>
  <w:style w:type="character" w:customStyle="1" w:styleId="ptext-18">
    <w:name w:val="ptext-18"/>
    <w:basedOn w:val="DefaultParagraphFont"/>
    <w:rsid w:val="00EA11D9"/>
  </w:style>
  <w:style w:type="character" w:styleId="CommentReference">
    <w:name w:val="annotation reference"/>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link w:val="Header"/>
    <w:rsid w:val="00DE5EFB"/>
    <w:rPr>
      <w:rFonts w:ascii="Arial" w:eastAsia="Times New Roman" w:hAnsi="Arial" w:cs="Arial"/>
      <w:b/>
      <w:snapToGrid w:val="0"/>
      <w:kern w:val="28"/>
      <w:sz w:val="96"/>
      <w:szCs w:val="96"/>
    </w:rPr>
  </w:style>
  <w:style w:type="paragraph" w:styleId="ListParagraph">
    <w:name w:val="List Paragraph"/>
    <w:basedOn w:val="Normal"/>
    <w:uiPriority w:val="34"/>
    <w:qFormat/>
    <w:rsid w:val="0059454C"/>
    <w:pPr>
      <w:ind w:left="720"/>
      <w:contextualSpacing/>
    </w:pPr>
  </w:style>
  <w:style w:type="character" w:styleId="FollowedHyperlink">
    <w:name w:val="FollowedHyperlink"/>
    <w:semiHidden/>
    <w:unhideWhenUsed/>
    <w:rsid w:val="009B2C1F"/>
    <w:rPr>
      <w:color w:val="800080"/>
      <w:u w:val="single"/>
    </w:rPr>
  </w:style>
  <w:style w:type="paragraph" w:customStyle="1" w:styleId="paragraph">
    <w:name w:val="paragraph"/>
    <w:basedOn w:val="Normal"/>
    <w:rsid w:val="00F83516"/>
    <w:rPr>
      <w:rFonts w:eastAsia="Calibr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uiPriority w:val="99"/>
    <w:semiHidden/>
    <w:unhideWhenUsed/>
    <w:rsid w:val="0055166F"/>
    <w:rPr>
      <w:color w:val="2B579A"/>
      <w:shd w:val="clear" w:color="auto" w:fill="E6E6E6"/>
    </w:rPr>
  </w:style>
  <w:style w:type="character" w:customStyle="1" w:styleId="UnresolvedMention1">
    <w:name w:val="Unresolved Mention1"/>
    <w:uiPriority w:val="99"/>
    <w:semiHidden/>
    <w:unhideWhenUsed/>
    <w:rsid w:val="00B553C4"/>
    <w:rPr>
      <w:color w:val="808080"/>
      <w:shd w:val="clear" w:color="auto" w:fill="E6E6E6"/>
    </w:rPr>
  </w:style>
  <w:style w:type="character" w:customStyle="1" w:styleId="Heading1Char">
    <w:name w:val="Heading 1 Char"/>
    <w:link w:val="Heading1"/>
    <w:rsid w:val="00DE5EFB"/>
    <w:rPr>
      <w:rFonts w:ascii="Times New Roman Bold" w:eastAsia="Times New Roman" w:hAnsi="Times New Roman Bold"/>
      <w:b/>
      <w:caps/>
      <w:snapToGrid w:val="0"/>
      <w:kern w:val="28"/>
      <w:sz w:val="22"/>
    </w:rPr>
  </w:style>
  <w:style w:type="character" w:customStyle="1" w:styleId="Heading2Char">
    <w:name w:val="Heading 2 Char"/>
    <w:link w:val="Heading2"/>
    <w:rsid w:val="00DE5EFB"/>
    <w:rPr>
      <w:rFonts w:eastAsia="Times New Roman"/>
      <w:b/>
      <w:snapToGrid w:val="0"/>
      <w:kern w:val="28"/>
      <w:sz w:val="22"/>
    </w:rPr>
  </w:style>
  <w:style w:type="character" w:customStyle="1" w:styleId="Heading3Char">
    <w:name w:val="Heading 3 Char"/>
    <w:link w:val="Heading3"/>
    <w:rsid w:val="00DE5EFB"/>
    <w:rPr>
      <w:rFonts w:eastAsia="Times New Roman"/>
      <w:b/>
      <w:snapToGrid w:val="0"/>
      <w:kern w:val="28"/>
      <w:sz w:val="22"/>
    </w:rPr>
  </w:style>
  <w:style w:type="character" w:customStyle="1" w:styleId="Heading4Char">
    <w:name w:val="Heading 4 Char"/>
    <w:link w:val="Heading4"/>
    <w:rsid w:val="00DE5EFB"/>
    <w:rPr>
      <w:rFonts w:eastAsia="Times New Roman"/>
      <w:b/>
      <w:snapToGrid w:val="0"/>
      <w:kern w:val="28"/>
      <w:sz w:val="22"/>
    </w:rPr>
  </w:style>
  <w:style w:type="character" w:customStyle="1" w:styleId="Heading5Char">
    <w:name w:val="Heading 5 Char"/>
    <w:link w:val="Heading5"/>
    <w:rsid w:val="00DE5EFB"/>
    <w:rPr>
      <w:rFonts w:eastAsia="Times New Roman"/>
      <w:b/>
      <w:snapToGrid w:val="0"/>
      <w:kern w:val="28"/>
      <w:sz w:val="22"/>
    </w:rPr>
  </w:style>
  <w:style w:type="character" w:customStyle="1" w:styleId="Heading6Char">
    <w:name w:val="Heading 6 Char"/>
    <w:link w:val="Heading6"/>
    <w:rsid w:val="00DE5EFB"/>
    <w:rPr>
      <w:rFonts w:eastAsia="Times New Roman"/>
      <w:b/>
      <w:snapToGrid w:val="0"/>
      <w:kern w:val="28"/>
      <w:sz w:val="22"/>
    </w:rPr>
  </w:style>
  <w:style w:type="character" w:customStyle="1" w:styleId="Heading7Char">
    <w:name w:val="Heading 7 Char"/>
    <w:link w:val="Heading7"/>
    <w:rsid w:val="00DE5EFB"/>
    <w:rPr>
      <w:rFonts w:eastAsia="Times New Roman"/>
      <w:b/>
      <w:snapToGrid w:val="0"/>
      <w:kern w:val="28"/>
      <w:sz w:val="22"/>
    </w:rPr>
  </w:style>
  <w:style w:type="character" w:customStyle="1" w:styleId="Heading8Char">
    <w:name w:val="Heading 8 Char"/>
    <w:link w:val="Heading8"/>
    <w:rsid w:val="00DE5EFB"/>
    <w:rPr>
      <w:rFonts w:eastAsia="Times New Roman"/>
      <w:b/>
      <w:snapToGrid w:val="0"/>
      <w:kern w:val="28"/>
      <w:sz w:val="22"/>
    </w:rPr>
  </w:style>
  <w:style w:type="character" w:customStyle="1" w:styleId="Heading9Char">
    <w:name w:val="Heading 9 Char"/>
    <w:link w:val="Heading9"/>
    <w:rsid w:val="00DE5EFB"/>
    <w:rPr>
      <w:rFonts w:eastAsia="Times New Roman"/>
      <w:b/>
      <w:snapToGrid w:val="0"/>
      <w:kern w:val="28"/>
      <w:sz w:val="22"/>
    </w:rPr>
  </w:style>
  <w:style w:type="paragraph" w:customStyle="1" w:styleId="ParaNum">
    <w:name w:val="ParaNum"/>
    <w:basedOn w:val="Normal"/>
    <w:rsid w:val="00082603"/>
    <w:pPr>
      <w:numPr>
        <w:numId w:val="8"/>
      </w:numPr>
      <w:tabs>
        <w:tab w:val="clear" w:pos="1080"/>
        <w:tab w:val="num" w:pos="1440"/>
      </w:tabs>
      <w:spacing w:after="120"/>
    </w:pPr>
  </w:style>
  <w:style w:type="paragraph" w:styleId="EndnoteText">
    <w:name w:val="endnote text"/>
    <w:basedOn w:val="Normal"/>
    <w:link w:val="EndnoteTextChar"/>
    <w:semiHidden/>
    <w:rsid w:val="00082603"/>
    <w:rPr>
      <w:sz w:val="20"/>
    </w:rPr>
  </w:style>
  <w:style w:type="character" w:customStyle="1" w:styleId="EndnoteTextChar">
    <w:name w:val="Endnote Text Char"/>
    <w:link w:val="EndnoteText"/>
    <w:semiHidden/>
    <w:rsid w:val="00DE5EFB"/>
    <w:rPr>
      <w:rFonts w:eastAsia="Times New Roman"/>
      <w:snapToGrid w:val="0"/>
      <w:kern w:val="28"/>
    </w:rPr>
  </w:style>
  <w:style w:type="character" w:styleId="EndnoteReference">
    <w:name w:val="endnote reference"/>
    <w:semiHidden/>
    <w:rsid w:val="00082603"/>
    <w:rPr>
      <w:vertAlign w:val="superscript"/>
    </w:rPr>
  </w:style>
  <w:style w:type="paragraph" w:styleId="TOC1">
    <w:name w:val="toc 1"/>
    <w:basedOn w:val="Normal"/>
    <w:next w:val="Normal"/>
    <w:uiPriority w:val="39"/>
    <w:rsid w:val="000826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2603"/>
    <w:pPr>
      <w:tabs>
        <w:tab w:val="left" w:pos="720"/>
        <w:tab w:val="right" w:leader="dot" w:pos="9360"/>
      </w:tabs>
      <w:suppressAutoHyphens/>
      <w:ind w:left="720" w:right="720" w:hanging="360"/>
    </w:pPr>
    <w:rPr>
      <w:noProof/>
    </w:rPr>
  </w:style>
  <w:style w:type="paragraph" w:styleId="TOC3">
    <w:name w:val="toc 3"/>
    <w:basedOn w:val="Normal"/>
    <w:next w:val="Normal"/>
    <w:semiHidden/>
    <w:rsid w:val="000826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26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26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26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26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26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26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2603"/>
    <w:pPr>
      <w:tabs>
        <w:tab w:val="right" w:pos="9360"/>
      </w:tabs>
      <w:suppressAutoHyphens/>
    </w:pPr>
  </w:style>
  <w:style w:type="character" w:customStyle="1" w:styleId="EquationCaption">
    <w:name w:val="_Equation Caption"/>
    <w:rsid w:val="00082603"/>
  </w:style>
  <w:style w:type="paragraph" w:customStyle="1" w:styleId="Paratitle">
    <w:name w:val="Para title"/>
    <w:basedOn w:val="Normal"/>
    <w:rsid w:val="00082603"/>
    <w:pPr>
      <w:tabs>
        <w:tab w:val="center" w:pos="9270"/>
      </w:tabs>
      <w:spacing w:after="240"/>
    </w:pPr>
    <w:rPr>
      <w:spacing w:val="-2"/>
    </w:rPr>
  </w:style>
  <w:style w:type="paragraph" w:customStyle="1" w:styleId="Bullet">
    <w:name w:val="Bullet"/>
    <w:basedOn w:val="Normal"/>
    <w:rsid w:val="00082603"/>
    <w:pPr>
      <w:numPr>
        <w:numId w:val="1"/>
      </w:numPr>
      <w:tabs>
        <w:tab w:val="left" w:pos="2160"/>
      </w:tabs>
      <w:spacing w:after="220"/>
      <w:ind w:left="2160" w:hanging="720"/>
    </w:pPr>
  </w:style>
  <w:style w:type="paragraph" w:customStyle="1" w:styleId="TableFormat">
    <w:name w:val="TableFormat"/>
    <w:basedOn w:val="Bullet"/>
    <w:rsid w:val="00082603"/>
    <w:pPr>
      <w:numPr>
        <w:numId w:val="0"/>
      </w:numPr>
      <w:tabs>
        <w:tab w:val="clear" w:pos="2160"/>
        <w:tab w:val="left" w:pos="5040"/>
      </w:tabs>
      <w:ind w:left="5040" w:hanging="3600"/>
    </w:pPr>
  </w:style>
  <w:style w:type="paragraph" w:customStyle="1" w:styleId="TOCTitle">
    <w:name w:val="TOC Title"/>
    <w:basedOn w:val="Normal"/>
    <w:rsid w:val="000826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2603"/>
    <w:pPr>
      <w:jc w:val="center"/>
    </w:pPr>
    <w:rPr>
      <w:rFonts w:ascii="Times New Roman Bold" w:hAnsi="Times New Roman Bold"/>
      <w:b/>
      <w:bCs/>
      <w:caps/>
      <w:szCs w:val="22"/>
    </w:rPr>
  </w:style>
  <w:style w:type="character" w:customStyle="1" w:styleId="FooterChar">
    <w:name w:val="Footer Char"/>
    <w:link w:val="Footer"/>
    <w:uiPriority w:val="99"/>
    <w:rsid w:val="00082603"/>
    <w:rPr>
      <w:rFonts w:eastAsia="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www.fcc.gov/ecfs/search/filings?proceedings_name=19-238&amp;sort=date_disseminated,DESC" TargetMode="Externa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