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4C07" w:rsidRPr="001106B2" w:rsidP="00804C07" w14:paraId="3D018E5B" w14:textId="77777777">
      <w:pPr>
        <w:jc w:val="center"/>
        <w:rPr>
          <w:b/>
        </w:rPr>
      </w:pPr>
      <w:bookmarkStart w:id="0" w:name="_GoBack"/>
      <w:bookmarkEnd w:id="0"/>
      <w:r w:rsidRPr="001106B2">
        <w:rPr>
          <w:b/>
        </w:rPr>
        <w:t>Before the</w:t>
      </w:r>
    </w:p>
    <w:p w:rsidR="00804C07" w:rsidRPr="001106B2" w:rsidP="00804C07" w14:paraId="7FBF1FB5" w14:textId="77777777">
      <w:pPr>
        <w:jc w:val="center"/>
        <w:rPr>
          <w:b/>
        </w:rPr>
      </w:pPr>
      <w:r w:rsidRPr="001106B2">
        <w:rPr>
          <w:b/>
        </w:rPr>
        <w:t>Federal Communications Commission</w:t>
      </w:r>
    </w:p>
    <w:p w:rsidR="00804C07" w:rsidRPr="001106B2" w:rsidP="00804C07" w14:paraId="62305D1C" w14:textId="77777777">
      <w:pPr>
        <w:jc w:val="center"/>
        <w:rPr>
          <w:b/>
        </w:rPr>
      </w:pPr>
      <w:r w:rsidRPr="001106B2">
        <w:rPr>
          <w:b/>
        </w:rPr>
        <w:t>Washington, D.C. 20554</w:t>
      </w:r>
    </w:p>
    <w:p w:rsidR="00804C07" w:rsidRPr="001106B2" w:rsidP="00804C07" w14:paraId="7470ECD6" w14:textId="77777777"/>
    <w:p w:rsidR="00804C07" w:rsidRPr="001106B2" w:rsidP="00804C07" w14:paraId="2B3ABCA3" w14:textId="77777777"/>
    <w:tbl>
      <w:tblPr>
        <w:tblW w:w="18792" w:type="dxa"/>
        <w:tblLayout w:type="fixed"/>
        <w:tblLook w:val="0000"/>
      </w:tblPr>
      <w:tblGrid>
        <w:gridCol w:w="4698"/>
        <w:gridCol w:w="4698"/>
        <w:gridCol w:w="4698"/>
        <w:gridCol w:w="4698"/>
      </w:tblGrid>
      <w:tr w14:paraId="075256A3" w14:textId="77777777" w:rsidTr="00521484">
        <w:tblPrEx>
          <w:tblW w:w="18792" w:type="dxa"/>
          <w:tblLayout w:type="fixed"/>
          <w:tblLook w:val="0000"/>
        </w:tblPrEx>
        <w:tc>
          <w:tcPr>
            <w:tcW w:w="4698" w:type="dxa"/>
          </w:tcPr>
          <w:p w:rsidR="00804C07" w:rsidP="00521484" w14:paraId="07638C77" w14:textId="77777777">
            <w:pPr>
              <w:tabs>
                <w:tab w:val="center" w:pos="4680"/>
              </w:tabs>
              <w:suppressAutoHyphens/>
              <w:rPr>
                <w:spacing w:val="-2"/>
              </w:rPr>
            </w:pPr>
            <w:r w:rsidRPr="001106B2">
              <w:rPr>
                <w:spacing w:val="-2"/>
              </w:rPr>
              <w:t>In the Matter of</w:t>
            </w:r>
          </w:p>
          <w:p w:rsidR="00F8372D" w:rsidP="00521484" w14:paraId="11105D24" w14:textId="77777777">
            <w:pPr>
              <w:tabs>
                <w:tab w:val="center" w:pos="4680"/>
              </w:tabs>
              <w:suppressAutoHyphens/>
              <w:rPr>
                <w:spacing w:val="-2"/>
              </w:rPr>
            </w:pPr>
          </w:p>
          <w:p w:rsidR="00387F0E" w:rsidP="00387F0E" w14:paraId="0E12A87D" w14:textId="77777777">
            <w:pPr>
              <w:tabs>
                <w:tab w:val="center" w:pos="4680"/>
              </w:tabs>
              <w:suppressAutoHyphens/>
              <w:rPr>
                <w:spacing w:val="-2"/>
              </w:rPr>
            </w:pPr>
            <w:r>
              <w:rPr>
                <w:szCs w:val="22"/>
              </w:rPr>
              <w:t>Tribune Media Company</w:t>
            </w:r>
          </w:p>
          <w:p w:rsidR="00F8372D" w:rsidP="00521484" w14:paraId="3BD1F27D" w14:textId="1F6E306F">
            <w:pPr>
              <w:tabs>
                <w:tab w:val="center" w:pos="4680"/>
              </w:tabs>
              <w:suppressAutoHyphens/>
              <w:rPr>
                <w:spacing w:val="-2"/>
              </w:rPr>
            </w:pPr>
            <w:r>
              <w:rPr>
                <w:spacing w:val="-2"/>
              </w:rPr>
              <w:t>(Transferor)</w:t>
            </w:r>
          </w:p>
          <w:p w:rsidR="00F8372D" w:rsidP="00521484" w14:paraId="00507909" w14:textId="77777777">
            <w:pPr>
              <w:tabs>
                <w:tab w:val="center" w:pos="4680"/>
              </w:tabs>
              <w:suppressAutoHyphens/>
              <w:rPr>
                <w:spacing w:val="-2"/>
              </w:rPr>
            </w:pPr>
          </w:p>
          <w:p w:rsidR="00F8372D" w:rsidP="00521484" w14:paraId="2A3FF6A8" w14:textId="77777777">
            <w:pPr>
              <w:tabs>
                <w:tab w:val="center" w:pos="4680"/>
              </w:tabs>
              <w:suppressAutoHyphens/>
              <w:rPr>
                <w:spacing w:val="-2"/>
              </w:rPr>
            </w:pPr>
            <w:r>
              <w:rPr>
                <w:spacing w:val="-2"/>
              </w:rPr>
              <w:t>and</w:t>
            </w:r>
          </w:p>
          <w:p w:rsidR="00F8372D" w:rsidRPr="001106B2" w:rsidP="00521484" w14:paraId="72E66133" w14:textId="77777777">
            <w:pPr>
              <w:tabs>
                <w:tab w:val="center" w:pos="4680"/>
              </w:tabs>
              <w:suppressAutoHyphens/>
              <w:rPr>
                <w:spacing w:val="-2"/>
              </w:rPr>
            </w:pPr>
          </w:p>
          <w:p w:rsidR="00F8372D" w:rsidP="00521484" w14:paraId="29410591" w14:textId="7B15EE91">
            <w:pPr>
              <w:tabs>
                <w:tab w:val="center" w:pos="4680"/>
              </w:tabs>
              <w:suppressAutoHyphens/>
              <w:rPr>
                <w:spacing w:val="-2"/>
              </w:rPr>
            </w:pPr>
            <w:r>
              <w:rPr>
                <w:spacing w:val="-2"/>
              </w:rPr>
              <w:t xml:space="preserve">Nexstar Media </w:t>
            </w:r>
            <w:r w:rsidR="00387F0E">
              <w:rPr>
                <w:spacing w:val="-2"/>
              </w:rPr>
              <w:t>Group, Inc.</w:t>
            </w:r>
          </w:p>
          <w:p w:rsidR="00387F0E" w:rsidP="00521484" w14:paraId="2EEBFF07" w14:textId="3C7A4DCC">
            <w:pPr>
              <w:tabs>
                <w:tab w:val="center" w:pos="4680"/>
              </w:tabs>
              <w:suppressAutoHyphens/>
              <w:rPr>
                <w:spacing w:val="-2"/>
              </w:rPr>
            </w:pPr>
            <w:r>
              <w:rPr>
                <w:spacing w:val="-2"/>
              </w:rPr>
              <w:t>(Transferee)</w:t>
            </w:r>
          </w:p>
          <w:p w:rsidR="00387F0E" w:rsidRPr="001106B2" w:rsidP="00521484" w14:paraId="3B07501E" w14:textId="77777777">
            <w:pPr>
              <w:tabs>
                <w:tab w:val="center" w:pos="4680"/>
              </w:tabs>
              <w:suppressAutoHyphens/>
              <w:rPr>
                <w:spacing w:val="-2"/>
              </w:rPr>
            </w:pPr>
          </w:p>
          <w:p w:rsidR="00F8372D" w:rsidP="00F8372D" w14:paraId="3E7F5CE6" w14:textId="77777777">
            <w:r>
              <w:t xml:space="preserve">Consolidated </w:t>
            </w:r>
            <w:r w:rsidR="00F704B5">
              <w:t>Applications</w:t>
            </w:r>
            <w:r>
              <w:t xml:space="preserve"> for Consent to </w:t>
            </w:r>
          </w:p>
          <w:p w:rsidR="00804C07" w:rsidRPr="001106B2" w:rsidP="00685C01" w14:paraId="371BB980" w14:textId="77777777">
            <w:r>
              <w:t xml:space="preserve">Transfer Control </w:t>
            </w:r>
          </w:p>
        </w:tc>
        <w:tc>
          <w:tcPr>
            <w:tcW w:w="4698" w:type="dxa"/>
          </w:tcPr>
          <w:p w:rsidR="00804C07" w:rsidRPr="001106B2" w:rsidP="00521484" w14:paraId="3DA82417" w14:textId="77777777">
            <w:pPr>
              <w:rPr>
                <w:b/>
              </w:rPr>
            </w:pPr>
            <w:r w:rsidRPr="001106B2">
              <w:rPr>
                <w:b/>
              </w:rPr>
              <w:t>)</w:t>
            </w:r>
          </w:p>
          <w:p w:rsidR="00804C07" w:rsidRPr="001106B2" w:rsidP="00521484" w14:paraId="767D4FDB" w14:textId="77777777">
            <w:pPr>
              <w:rPr>
                <w:b/>
              </w:rPr>
            </w:pPr>
            <w:r w:rsidRPr="001106B2">
              <w:rPr>
                <w:b/>
              </w:rPr>
              <w:t>)</w:t>
            </w:r>
          </w:p>
          <w:p w:rsidR="00804C07" w:rsidRPr="001106B2" w:rsidP="00521484" w14:paraId="406D8C07" w14:textId="77777777">
            <w:r w:rsidRPr="001106B2">
              <w:rPr>
                <w:b/>
              </w:rPr>
              <w:t xml:space="preserve">)     </w:t>
            </w:r>
          </w:p>
          <w:p w:rsidR="00804C07" w:rsidRPr="00F44475" w:rsidP="00521484" w14:paraId="45A1D1F8" w14:textId="641B66D9">
            <w:r w:rsidRPr="001106B2">
              <w:rPr>
                <w:b/>
              </w:rPr>
              <w:t>)</w:t>
            </w:r>
            <w:r w:rsidR="00F44475">
              <w:rPr>
                <w:b/>
              </w:rPr>
              <w:t xml:space="preserve">      </w:t>
            </w:r>
            <w:r w:rsidR="00685C01">
              <w:t xml:space="preserve">MB </w:t>
            </w:r>
            <w:r w:rsidR="00F44475">
              <w:t>Docket No. 1</w:t>
            </w:r>
            <w:r w:rsidR="009D12B9">
              <w:t>9-</w:t>
            </w:r>
            <w:r w:rsidR="001A6004">
              <w:t>30</w:t>
            </w:r>
          </w:p>
          <w:p w:rsidR="00804C07" w:rsidRPr="001106B2" w:rsidP="00521484" w14:paraId="6C00E05F" w14:textId="77777777">
            <w:pPr>
              <w:rPr>
                <w:b/>
              </w:rPr>
            </w:pPr>
            <w:r w:rsidRPr="001106B2">
              <w:rPr>
                <w:b/>
              </w:rPr>
              <w:t>)</w:t>
            </w:r>
          </w:p>
          <w:p w:rsidR="00F44475" w:rsidP="00521484" w14:paraId="78AC8F13" w14:textId="77777777">
            <w:pPr>
              <w:rPr>
                <w:b/>
              </w:rPr>
            </w:pPr>
            <w:r w:rsidRPr="001106B2">
              <w:rPr>
                <w:b/>
              </w:rPr>
              <w:t>)</w:t>
            </w:r>
          </w:p>
          <w:p w:rsidR="00F8372D" w:rsidP="00521484" w14:paraId="0EF9C1C5" w14:textId="77777777">
            <w:pPr>
              <w:rPr>
                <w:b/>
              </w:rPr>
            </w:pPr>
            <w:r>
              <w:rPr>
                <w:b/>
              </w:rPr>
              <w:t xml:space="preserve">)     </w:t>
            </w:r>
          </w:p>
          <w:p w:rsidR="00F8372D" w:rsidRPr="009D12B9" w:rsidP="00521484" w14:paraId="1E8B4B68" w14:textId="51052B7F">
            <w:r>
              <w:rPr>
                <w:b/>
              </w:rPr>
              <w:t>)</w:t>
            </w:r>
            <w:r w:rsidR="009D12B9">
              <w:rPr>
                <w:b/>
              </w:rPr>
              <w:t xml:space="preserve">      </w:t>
            </w:r>
            <w:r w:rsidRPr="009D12B9" w:rsidR="009D12B9">
              <w:t>File No.</w:t>
            </w:r>
            <w:r w:rsidR="009D12B9">
              <w:rPr>
                <w:b/>
              </w:rPr>
              <w:t xml:space="preserve"> </w:t>
            </w:r>
            <w:r w:rsidRPr="009D12B9" w:rsidR="009D12B9">
              <w:t>BTCCDT 20190107ADJ,</w:t>
            </w:r>
            <w:r w:rsidR="009D12B9">
              <w:rPr>
                <w:b/>
              </w:rPr>
              <w:t xml:space="preserve"> </w:t>
            </w:r>
            <w:r w:rsidR="009D12B9">
              <w:rPr>
                <w:i/>
              </w:rPr>
              <w:t>et al.</w:t>
            </w:r>
          </w:p>
          <w:p w:rsidR="00804C07" w:rsidP="00521484" w14:paraId="60D88808" w14:textId="77777777">
            <w:pPr>
              <w:rPr>
                <w:b/>
              </w:rPr>
            </w:pPr>
            <w:r>
              <w:rPr>
                <w:b/>
              </w:rPr>
              <w:t>)</w:t>
            </w:r>
          </w:p>
          <w:p w:rsidR="00F8372D" w:rsidP="00521484" w14:paraId="6DE77E09" w14:textId="77777777">
            <w:pPr>
              <w:rPr>
                <w:b/>
              </w:rPr>
            </w:pPr>
            <w:r>
              <w:rPr>
                <w:b/>
              </w:rPr>
              <w:t>)</w:t>
            </w:r>
          </w:p>
          <w:p w:rsidR="00F8372D" w:rsidP="00521484" w14:paraId="64DB0505" w14:textId="782A25FF">
            <w:pPr>
              <w:rPr>
                <w:b/>
              </w:rPr>
            </w:pPr>
            <w:r>
              <w:rPr>
                <w:b/>
              </w:rPr>
              <w:t>)</w:t>
            </w:r>
          </w:p>
          <w:p w:rsidR="00F8372D" w:rsidRPr="001106B2" w:rsidP="00521484" w14:paraId="415C846E" w14:textId="746876B8">
            <w:pPr>
              <w:rPr>
                <w:b/>
              </w:rPr>
            </w:pPr>
            <w:r>
              <w:rPr>
                <w:b/>
              </w:rPr>
              <w:t>)</w:t>
            </w:r>
          </w:p>
        </w:tc>
        <w:tc>
          <w:tcPr>
            <w:tcW w:w="4698" w:type="dxa"/>
          </w:tcPr>
          <w:p w:rsidR="00804C07" w:rsidRPr="001106B2" w:rsidP="00521484" w14:paraId="15515438" w14:textId="77777777">
            <w:pPr>
              <w:snapToGrid w:val="0"/>
            </w:pPr>
          </w:p>
        </w:tc>
        <w:tc>
          <w:tcPr>
            <w:tcW w:w="4698" w:type="dxa"/>
          </w:tcPr>
          <w:p w:rsidR="00804C07" w:rsidRPr="001106B2" w:rsidP="00521484" w14:paraId="6C189D2A" w14:textId="77777777">
            <w:pPr>
              <w:rPr>
                <w:b/>
              </w:rPr>
            </w:pPr>
          </w:p>
        </w:tc>
      </w:tr>
    </w:tbl>
    <w:p w:rsidR="00804C07" w:rsidRPr="001106B2" w:rsidP="00804C07" w14:paraId="7CD260C9" w14:textId="77777777">
      <w:pPr>
        <w:snapToGrid w:val="0"/>
        <w:jc w:val="center"/>
        <w:rPr>
          <w:b/>
          <w:bCs/>
        </w:rPr>
      </w:pPr>
    </w:p>
    <w:p w:rsidR="00804C07" w:rsidP="00804C07" w14:paraId="2DD7FA5A" w14:textId="55D66360">
      <w:pPr>
        <w:snapToGrid w:val="0"/>
        <w:jc w:val="center"/>
        <w:rPr>
          <w:b/>
          <w:bCs/>
        </w:rPr>
      </w:pPr>
      <w:r w:rsidRPr="001106B2">
        <w:rPr>
          <w:b/>
          <w:bCs/>
        </w:rPr>
        <w:t>ORDER</w:t>
      </w:r>
    </w:p>
    <w:p w:rsidR="00956514" w:rsidP="00804C07" w14:paraId="51AC27EF" w14:textId="77777777">
      <w:pPr>
        <w:snapToGrid w:val="0"/>
        <w:jc w:val="center"/>
        <w:rPr>
          <w:b/>
          <w:bCs/>
        </w:rPr>
      </w:pPr>
    </w:p>
    <w:p w:rsidR="00956514" w:rsidRPr="001106B2" w:rsidP="00956514" w14:paraId="5484E27A" w14:textId="3B0384C4">
      <w:pPr>
        <w:snapToGrid w:val="0"/>
        <w:rPr>
          <w:b/>
          <w:bCs/>
        </w:rPr>
      </w:pPr>
      <w:r>
        <w:rPr>
          <w:b/>
          <w:bCs/>
        </w:rPr>
        <w:t xml:space="preserve">Adopted:  </w:t>
      </w:r>
      <w:r w:rsidR="009D12B9">
        <w:rPr>
          <w:b/>
          <w:bCs/>
        </w:rPr>
        <w:t xml:space="preserve">February </w:t>
      </w:r>
      <w:r w:rsidR="000C5C61">
        <w:rPr>
          <w:b/>
          <w:bCs/>
        </w:rPr>
        <w:t>14</w:t>
      </w:r>
      <w:r>
        <w:rPr>
          <w:b/>
          <w:bCs/>
        </w:rPr>
        <w:t>, 201</w:t>
      </w:r>
      <w:r w:rsidR="00CA33C8">
        <w:rPr>
          <w:b/>
          <w:bCs/>
        </w:rPr>
        <w:t>9</w:t>
      </w:r>
      <w:r>
        <w:rPr>
          <w:b/>
          <w:bCs/>
        </w:rPr>
        <w:tab/>
      </w:r>
      <w:r>
        <w:rPr>
          <w:b/>
          <w:bCs/>
        </w:rPr>
        <w:tab/>
      </w:r>
      <w:r>
        <w:rPr>
          <w:b/>
          <w:bCs/>
        </w:rPr>
        <w:tab/>
      </w:r>
      <w:r>
        <w:rPr>
          <w:b/>
          <w:bCs/>
        </w:rPr>
        <w:tab/>
      </w:r>
      <w:r>
        <w:rPr>
          <w:b/>
          <w:bCs/>
        </w:rPr>
        <w:tab/>
      </w:r>
      <w:r>
        <w:rPr>
          <w:b/>
          <w:bCs/>
        </w:rPr>
        <w:tab/>
        <w:t xml:space="preserve">Released:  </w:t>
      </w:r>
      <w:r w:rsidR="009D12B9">
        <w:rPr>
          <w:b/>
          <w:bCs/>
        </w:rPr>
        <w:t xml:space="preserve">February </w:t>
      </w:r>
      <w:r w:rsidR="000C5C61">
        <w:rPr>
          <w:b/>
          <w:bCs/>
        </w:rPr>
        <w:t>14</w:t>
      </w:r>
      <w:r>
        <w:rPr>
          <w:b/>
          <w:bCs/>
        </w:rPr>
        <w:t>, 201</w:t>
      </w:r>
      <w:r w:rsidR="009D12B9">
        <w:rPr>
          <w:b/>
          <w:bCs/>
        </w:rPr>
        <w:t>9</w:t>
      </w:r>
    </w:p>
    <w:p w:rsidR="00804C07" w:rsidRPr="001106B2" w:rsidP="00804C07" w14:paraId="08F13652" w14:textId="77777777">
      <w:pPr>
        <w:spacing w:after="120"/>
      </w:pPr>
    </w:p>
    <w:p w:rsidR="00804C07" w:rsidP="00804C07" w14:paraId="28BD8CA8" w14:textId="26678456">
      <w:pPr>
        <w:snapToGrid w:val="0"/>
      </w:pPr>
      <w:r>
        <w:t xml:space="preserve">By the Chief, </w:t>
      </w:r>
      <w:r w:rsidR="00CA33C8">
        <w:t>Media Bureau</w:t>
      </w:r>
      <w:r w:rsidRPr="001106B2">
        <w:t xml:space="preserve">:  </w:t>
      </w:r>
    </w:p>
    <w:p w:rsidR="006019DB" w:rsidP="00804C07" w14:paraId="667FEE91" w14:textId="54F0263D">
      <w:pPr>
        <w:snapToGrid w:val="0"/>
      </w:pPr>
    </w:p>
    <w:p w:rsidR="00547249" w:rsidRPr="00C677A8" w:rsidP="00C677A8" w14:paraId="35D45A57" w14:textId="2EFDEB66">
      <w:pPr>
        <w:pStyle w:val="ParaNum"/>
        <w:tabs>
          <w:tab w:val="num" w:pos="1080"/>
          <w:tab w:val="clear" w:pos="1440"/>
        </w:tabs>
      </w:pPr>
      <w:r w:rsidRPr="00F47103">
        <w:rPr>
          <w:szCs w:val="18"/>
        </w:rPr>
        <w:t>Tribune Media Company (Tribune)</w:t>
      </w:r>
      <w:r>
        <w:rPr>
          <w:szCs w:val="18"/>
        </w:rPr>
        <w:t xml:space="preserve"> and Nexstar Media Group, Inc. (Nexstar, jointly Applicants) have filed a set of applications (Nexstar Applications) with the </w:t>
      </w:r>
      <w:r w:rsidRPr="00F47103">
        <w:rPr>
          <w:szCs w:val="18"/>
        </w:rPr>
        <w:t xml:space="preserve">Federal Communications Commission (Commission) </w:t>
      </w:r>
      <w:bookmarkStart w:id="1" w:name="_Hlk536706778"/>
      <w:r w:rsidRPr="00F47103">
        <w:rPr>
          <w:szCs w:val="18"/>
        </w:rPr>
        <w:t xml:space="preserve">seeking consent to the transfer of control of subsidiaries </w:t>
      </w:r>
      <w:bookmarkEnd w:id="1"/>
      <w:r w:rsidRPr="00F47103">
        <w:rPr>
          <w:color w:val="000000"/>
          <w:szCs w:val="22"/>
        </w:rPr>
        <w:t>holding the licenses of full-power broadcast television stations (and related broadcast auxiliary facilities), low-power television</w:t>
      </w:r>
      <w:r>
        <w:rPr>
          <w:color w:val="000000"/>
          <w:szCs w:val="22"/>
        </w:rPr>
        <w:t xml:space="preserve"> stations</w:t>
      </w:r>
      <w:r w:rsidRPr="004B7A88">
        <w:rPr>
          <w:color w:val="000000"/>
          <w:szCs w:val="22"/>
        </w:rPr>
        <w:t xml:space="preserve">, </w:t>
      </w:r>
      <w:r>
        <w:rPr>
          <w:color w:val="000000"/>
          <w:szCs w:val="22"/>
        </w:rPr>
        <w:t xml:space="preserve">TV translator </w:t>
      </w:r>
      <w:r w:rsidRPr="004B7A88">
        <w:rPr>
          <w:color w:val="000000"/>
          <w:szCs w:val="22"/>
        </w:rPr>
        <w:t>station</w:t>
      </w:r>
      <w:r>
        <w:rPr>
          <w:color w:val="000000"/>
          <w:szCs w:val="22"/>
        </w:rPr>
        <w:t>s</w:t>
      </w:r>
      <w:r w:rsidR="000134AC">
        <w:rPr>
          <w:color w:val="000000"/>
          <w:szCs w:val="22"/>
        </w:rPr>
        <w:t xml:space="preserve"> and </w:t>
      </w:r>
      <w:r w:rsidR="00E62EA6">
        <w:rPr>
          <w:color w:val="000000"/>
          <w:szCs w:val="22"/>
        </w:rPr>
        <w:t>radio stations</w:t>
      </w:r>
      <w:r>
        <w:rPr>
          <w:color w:val="000000"/>
          <w:sz w:val="20"/>
        </w:rPr>
        <w:t xml:space="preserve"> </w:t>
      </w:r>
      <w:r>
        <w:rPr>
          <w:szCs w:val="18"/>
        </w:rPr>
        <w:t>from Tribune to Nexstar.</w:t>
      </w:r>
      <w:r>
        <w:rPr>
          <w:rStyle w:val="FootnoteReference"/>
          <w:szCs w:val="18"/>
        </w:rPr>
        <w:footnoteReference w:id="3"/>
      </w:r>
      <w:r>
        <w:rPr>
          <w:szCs w:val="18"/>
        </w:rPr>
        <w:t xml:space="preserve"> </w:t>
      </w:r>
      <w:r>
        <w:t>Concurrently with this Order, the Commission has released a Public Notice seeking comment on the Nexstar Applications</w:t>
      </w:r>
      <w:r>
        <w:rPr>
          <w:color w:val="000000"/>
          <w:szCs w:val="22"/>
        </w:rPr>
        <w:t>.</w:t>
      </w:r>
      <w:r>
        <w:rPr>
          <w:rStyle w:val="FootnoteReference"/>
          <w:szCs w:val="18"/>
        </w:rPr>
        <w:footnoteReference w:id="4"/>
      </w:r>
      <w:r>
        <w:t xml:space="preserve">  </w:t>
      </w:r>
      <w:r w:rsidR="00241C39">
        <w:rPr>
          <w:szCs w:val="18"/>
        </w:rPr>
        <w:t>In connection with the Nexstar Applications, the parties have also filed a motion for waiver of  Sec</w:t>
      </w:r>
      <w:r w:rsidR="00CA33C8">
        <w:rPr>
          <w:szCs w:val="18"/>
        </w:rPr>
        <w:t>tion</w:t>
      </w:r>
      <w:r w:rsidR="00241C39">
        <w:rPr>
          <w:szCs w:val="18"/>
        </w:rPr>
        <w:t xml:space="preserve"> 73.3518,</w:t>
      </w:r>
      <w:r>
        <w:rPr>
          <w:rStyle w:val="FootnoteReference"/>
          <w:szCs w:val="18"/>
        </w:rPr>
        <w:footnoteReference w:id="5"/>
      </w:r>
      <w:r w:rsidR="00241C39">
        <w:rPr>
          <w:szCs w:val="18"/>
        </w:rPr>
        <w:t xml:space="preserve"> the Commission’s inconsistent application rule.</w:t>
      </w:r>
      <w:r>
        <w:rPr>
          <w:rStyle w:val="FootnoteReference"/>
          <w:szCs w:val="18"/>
        </w:rPr>
        <w:footnoteReference w:id="6"/>
      </w:r>
      <w:r w:rsidR="00241C39">
        <w:rPr>
          <w:szCs w:val="18"/>
        </w:rPr>
        <w:t xml:space="preserve">  For the reasons stated below, we grant the motion.</w:t>
      </w:r>
    </w:p>
    <w:p w:rsidR="0088485F" w:rsidP="0088485F" w14:paraId="2537A896" w14:textId="39B58C68">
      <w:pPr>
        <w:pStyle w:val="ParaNum"/>
        <w:rPr>
          <w:szCs w:val="18"/>
        </w:rPr>
      </w:pPr>
      <w:r>
        <w:rPr>
          <w:i/>
          <w:szCs w:val="18"/>
        </w:rPr>
        <w:t xml:space="preserve">Background. </w:t>
      </w:r>
      <w:r w:rsidRPr="0088485F">
        <w:rPr>
          <w:szCs w:val="18"/>
        </w:rPr>
        <w:t xml:space="preserve">On June 28, 2017, Tribune and Sinclair Broadcast Group, Inc. (Sinclair) filed applications seeking Commission consent to the transfer of control of Tribune licensee subsidiaries </w:t>
      </w:r>
      <w:r w:rsidRPr="0088485F">
        <w:rPr>
          <w:szCs w:val="18"/>
        </w:rPr>
        <w:t>to Sinclair (Sinclair Applications) as part of a proposed merger between Sinclair and Tribune.</w:t>
      </w:r>
      <w:r>
        <w:rPr>
          <w:rStyle w:val="FootnoteReference"/>
          <w:szCs w:val="18"/>
        </w:rPr>
        <w:footnoteReference w:id="7"/>
      </w:r>
      <w:r w:rsidRPr="0088485F">
        <w:rPr>
          <w:szCs w:val="18"/>
        </w:rPr>
        <w:t xml:space="preserve">  The Tribune subsidiaries that </w:t>
      </w:r>
      <w:r w:rsidR="005700BC">
        <w:rPr>
          <w:szCs w:val="18"/>
        </w:rPr>
        <w:t>are</w:t>
      </w:r>
      <w:r w:rsidRPr="0088485F">
        <w:rPr>
          <w:szCs w:val="18"/>
        </w:rPr>
        <w:t xml:space="preserve"> the subject of the </w:t>
      </w:r>
      <w:bookmarkStart w:id="2" w:name="_Hlk531555"/>
      <w:r w:rsidRPr="0088485F">
        <w:rPr>
          <w:szCs w:val="18"/>
        </w:rPr>
        <w:t>Sinclair Applications</w:t>
      </w:r>
      <w:bookmarkEnd w:id="2"/>
      <w:r w:rsidRPr="0088485F">
        <w:rPr>
          <w:szCs w:val="18"/>
        </w:rPr>
        <w:t xml:space="preserve"> are the same ones at issue in this proceeding</w:t>
      </w:r>
      <w:r>
        <w:rPr>
          <w:szCs w:val="18"/>
        </w:rPr>
        <w:t xml:space="preserve">.  </w:t>
      </w:r>
      <w:r w:rsidRPr="0088485F">
        <w:rPr>
          <w:szCs w:val="18"/>
        </w:rPr>
        <w:t xml:space="preserve">Under the Commission’s inconsistent application rule, </w:t>
      </w:r>
      <w:r w:rsidRPr="0088485F">
        <w:rPr>
          <w:szCs w:val="22"/>
        </w:rPr>
        <w:t>“[w]</w:t>
      </w:r>
      <w:r w:rsidRPr="0088485F">
        <w:rPr>
          <w:szCs w:val="22"/>
        </w:rPr>
        <w:t>hile</w:t>
      </w:r>
      <w:r w:rsidRPr="0088485F">
        <w:rPr>
          <w:szCs w:val="22"/>
        </w:rPr>
        <w:t xml:space="preserve"> an application is pending, no subsequent</w:t>
      </w:r>
      <w:r w:rsidR="00241C39">
        <w:rPr>
          <w:szCs w:val="22"/>
        </w:rPr>
        <w:t xml:space="preserve"> </w:t>
      </w:r>
      <w:r w:rsidRPr="0088485F">
        <w:rPr>
          <w:szCs w:val="22"/>
        </w:rPr>
        <w:t>inconsistent or conflicting application may be filed by or on behalf of or for the benefit of the same applicant.”</w:t>
      </w:r>
      <w:r>
        <w:rPr>
          <w:rStyle w:val="FootnoteReference"/>
          <w:szCs w:val="22"/>
        </w:rPr>
        <w:footnoteReference w:id="8"/>
      </w:r>
      <w:r w:rsidRPr="0088485F">
        <w:rPr>
          <w:szCs w:val="18"/>
        </w:rPr>
        <w:t xml:space="preserve">  </w:t>
      </w:r>
      <w:r w:rsidR="00D56448">
        <w:rPr>
          <w:szCs w:val="18"/>
        </w:rPr>
        <w:t>Because it</w:t>
      </w:r>
      <w:r w:rsidRPr="0088485F" w:rsidR="00D56448">
        <w:rPr>
          <w:szCs w:val="18"/>
        </w:rPr>
        <w:t xml:space="preserve"> is not possible for the Commission to grant both </w:t>
      </w:r>
      <w:r w:rsidR="00D56448">
        <w:rPr>
          <w:szCs w:val="18"/>
        </w:rPr>
        <w:t>the Nexstar Applications and the Sinclair Applications, it cannot accept the subsequently filed Nexstar Applications</w:t>
      </w:r>
      <w:r w:rsidR="005700BC">
        <w:rPr>
          <w:szCs w:val="18"/>
        </w:rPr>
        <w:t xml:space="preserve"> for filing</w:t>
      </w:r>
      <w:r w:rsidR="00D56448">
        <w:rPr>
          <w:szCs w:val="18"/>
        </w:rPr>
        <w:t>, absent a waiver</w:t>
      </w:r>
      <w:r w:rsidRPr="0088485F" w:rsidR="00D56448">
        <w:rPr>
          <w:szCs w:val="18"/>
        </w:rPr>
        <w:t>.</w:t>
      </w:r>
      <w:r>
        <w:rPr>
          <w:rStyle w:val="FootnoteReference"/>
          <w:szCs w:val="18"/>
        </w:rPr>
        <w:footnoteReference w:id="9"/>
      </w:r>
      <w:r w:rsidRPr="0088485F" w:rsidR="00D56448">
        <w:rPr>
          <w:szCs w:val="18"/>
        </w:rPr>
        <w:t xml:space="preserve">  </w:t>
      </w:r>
      <w:r w:rsidRPr="0088485F">
        <w:rPr>
          <w:szCs w:val="18"/>
        </w:rPr>
        <w:t xml:space="preserve">On July 19, 2018, the Commission released the </w:t>
      </w:r>
      <w:r w:rsidRPr="0088485F">
        <w:rPr>
          <w:i/>
          <w:szCs w:val="18"/>
        </w:rPr>
        <w:t>Sinclair HDO</w:t>
      </w:r>
      <w:r w:rsidRPr="0088485F">
        <w:rPr>
          <w:szCs w:val="18"/>
        </w:rPr>
        <w:t>, referring the Sinclair Applications to an Administrative Law Judge (ALJ) for an evidentiary hearing to “resolve substantial and material questions of fact” and to determine whether the applications should be granted.</w:t>
      </w:r>
      <w:r>
        <w:rPr>
          <w:rStyle w:val="FootnoteReference"/>
          <w:szCs w:val="18"/>
        </w:rPr>
        <w:footnoteReference w:id="10"/>
      </w:r>
      <w:r w:rsidRPr="0088485F">
        <w:rPr>
          <w:szCs w:val="18"/>
        </w:rPr>
        <w:t xml:space="preserve">  </w:t>
      </w:r>
      <w:r w:rsidR="001E0BCE">
        <w:rPr>
          <w:szCs w:val="18"/>
        </w:rPr>
        <w:t xml:space="preserve">As required by the </w:t>
      </w:r>
      <w:r w:rsidRPr="0088485F" w:rsidR="001E0BCE">
        <w:rPr>
          <w:i/>
          <w:szCs w:val="18"/>
        </w:rPr>
        <w:t>Sinclair HDO</w:t>
      </w:r>
      <w:r w:rsidRPr="0088485F">
        <w:rPr>
          <w:szCs w:val="18"/>
        </w:rPr>
        <w:t>, the Media Bureau has held the Sinclair Applications in abeyance pending a final order in the proceeding, which remains before the ALJ with no hearing date yet established.</w:t>
      </w:r>
      <w:r>
        <w:rPr>
          <w:rStyle w:val="FootnoteReference"/>
          <w:szCs w:val="18"/>
        </w:rPr>
        <w:footnoteReference w:id="11"/>
      </w:r>
      <w:r w:rsidRPr="0088485F">
        <w:rPr>
          <w:szCs w:val="18"/>
        </w:rPr>
        <w:t xml:space="preserve"> </w:t>
      </w:r>
      <w:r w:rsidR="001E0BCE">
        <w:rPr>
          <w:szCs w:val="18"/>
        </w:rPr>
        <w:t xml:space="preserve"> In the </w:t>
      </w:r>
      <w:r w:rsidRPr="0088485F" w:rsidR="001E0BCE">
        <w:rPr>
          <w:i/>
          <w:szCs w:val="18"/>
        </w:rPr>
        <w:t>Sinclair HDO</w:t>
      </w:r>
      <w:r w:rsidR="001E0BCE">
        <w:rPr>
          <w:szCs w:val="18"/>
        </w:rPr>
        <w:t>, the Commission explained that the Sinclair Applications are</w:t>
      </w:r>
      <w:r w:rsidRPr="00712600" w:rsidR="001E0BCE">
        <w:t xml:space="preserve"> restricted under </w:t>
      </w:r>
      <w:r w:rsidR="001E0BCE">
        <w:t>the</w:t>
      </w:r>
      <w:r w:rsidRPr="00712600" w:rsidR="001E0BCE">
        <w:t xml:space="preserve"> </w:t>
      </w:r>
      <w:r w:rsidRPr="001D3A15" w:rsidR="001E0BCE">
        <w:rPr>
          <w:i/>
        </w:rPr>
        <w:t>ex parte</w:t>
      </w:r>
      <w:r w:rsidRPr="00712600" w:rsidR="001E0BCE">
        <w:t xml:space="preserve"> rules</w:t>
      </w:r>
      <w:r w:rsidR="001E0BCE">
        <w:t>.</w:t>
      </w:r>
      <w:r>
        <w:rPr>
          <w:rStyle w:val="FootnoteReference"/>
        </w:rPr>
        <w:footnoteReference w:id="12"/>
      </w:r>
    </w:p>
    <w:p w:rsidR="0088485F" w:rsidP="0088485F" w14:paraId="71437178" w14:textId="05C0CA6C">
      <w:pPr>
        <w:pStyle w:val="ParaNum"/>
        <w:rPr>
          <w:szCs w:val="18"/>
        </w:rPr>
      </w:pPr>
      <w:r w:rsidRPr="0088485F">
        <w:rPr>
          <w:szCs w:val="18"/>
        </w:rPr>
        <w:t xml:space="preserve">According to the </w:t>
      </w:r>
      <w:r w:rsidR="00CA33C8">
        <w:rPr>
          <w:szCs w:val="18"/>
        </w:rPr>
        <w:t>Applicants</w:t>
      </w:r>
      <w:r w:rsidRPr="0088485F">
        <w:rPr>
          <w:szCs w:val="18"/>
        </w:rPr>
        <w:t>, because Tribune terminated its merger agreement with Sinclair on August 9, 2018, it no longer seeks, nor has any basis to seek, approval for the transfers of control contemplated by the Sinclair Applications.</w:t>
      </w:r>
      <w:r>
        <w:rPr>
          <w:rStyle w:val="FootnoteReference"/>
          <w:szCs w:val="18"/>
        </w:rPr>
        <w:footnoteReference w:id="13"/>
      </w:r>
      <w:r w:rsidRPr="0088485F">
        <w:rPr>
          <w:szCs w:val="18"/>
        </w:rPr>
        <w:t xml:space="preserve">  Furthermore, on the same date the agreement was terminated, Sinclair filed a Notice of Withdrawal of Applications and Motion to Terminate Hearing  (Sinclair Notice).</w:t>
      </w:r>
      <w:r>
        <w:rPr>
          <w:rStyle w:val="FootnoteReference"/>
          <w:szCs w:val="18"/>
        </w:rPr>
        <w:footnoteReference w:id="14"/>
      </w:r>
      <w:r w:rsidRPr="0088485F">
        <w:rPr>
          <w:szCs w:val="18"/>
        </w:rPr>
        <w:t xml:space="preserve">  On August 10, 2018, the Enforcement Bureau filed a response to Sinclair’s Notice in which it stated, </w:t>
      </w:r>
      <w:r w:rsidRPr="0088485F">
        <w:rPr>
          <w:i/>
          <w:szCs w:val="18"/>
        </w:rPr>
        <w:t>inter alia</w:t>
      </w:r>
      <w:r w:rsidRPr="0088485F">
        <w:rPr>
          <w:szCs w:val="18"/>
        </w:rPr>
        <w:t>, that it did not oppose dismissal with prejudice of the Sinclair Applications.</w:t>
      </w:r>
      <w:r>
        <w:rPr>
          <w:rStyle w:val="FootnoteReference"/>
          <w:szCs w:val="18"/>
        </w:rPr>
        <w:footnoteReference w:id="15"/>
      </w:r>
      <w:r w:rsidRPr="0088485F">
        <w:rPr>
          <w:szCs w:val="18"/>
        </w:rPr>
        <w:t xml:space="preserve">  The Sinclair Notice is pending.  </w:t>
      </w:r>
    </w:p>
    <w:p w:rsidR="008306DB" w:rsidP="0088485F" w14:paraId="52C48625" w14:textId="4A0B4156">
      <w:pPr>
        <w:pStyle w:val="ParaNum"/>
        <w:snapToGrid w:val="0"/>
      </w:pPr>
      <w:r>
        <w:rPr>
          <w:i/>
          <w:szCs w:val="18"/>
        </w:rPr>
        <w:t xml:space="preserve">Discussion. </w:t>
      </w:r>
      <w:r w:rsidRPr="0088485F" w:rsidR="0088485F">
        <w:rPr>
          <w:szCs w:val="18"/>
        </w:rPr>
        <w:t>Without in any way prejudging the ongoing hearing proceeding</w:t>
      </w:r>
      <w:r>
        <w:rPr>
          <w:szCs w:val="18"/>
        </w:rPr>
        <w:t xml:space="preserve">, </w:t>
      </w:r>
      <w:r w:rsidRPr="0088485F" w:rsidR="0088485F">
        <w:rPr>
          <w:szCs w:val="18"/>
        </w:rPr>
        <w:t xml:space="preserve">we find that a waiver of </w:t>
      </w:r>
      <w:r>
        <w:rPr>
          <w:szCs w:val="18"/>
        </w:rPr>
        <w:t>Section</w:t>
      </w:r>
      <w:r w:rsidRPr="0088485F" w:rsidR="0088485F">
        <w:rPr>
          <w:szCs w:val="18"/>
        </w:rPr>
        <w:t xml:space="preserve"> 73.3518 to allow </w:t>
      </w:r>
      <w:r w:rsidR="005700BC">
        <w:rPr>
          <w:szCs w:val="18"/>
        </w:rPr>
        <w:t xml:space="preserve">for </w:t>
      </w:r>
      <w:r w:rsidR="008B0C5B">
        <w:rPr>
          <w:szCs w:val="18"/>
        </w:rPr>
        <w:t xml:space="preserve">filing and </w:t>
      </w:r>
      <w:r w:rsidRPr="0088485F" w:rsidR="0088485F">
        <w:rPr>
          <w:szCs w:val="18"/>
        </w:rPr>
        <w:t xml:space="preserve">consideration of the Nexstar Applications is appropriate based on the unique facts of this case.  Prior to filing the Nexstar Applications, </w:t>
      </w:r>
      <w:bookmarkStart w:id="4" w:name="_Hlk531231"/>
      <w:r w:rsidRPr="0088485F" w:rsidR="0088485F">
        <w:rPr>
          <w:szCs w:val="18"/>
        </w:rPr>
        <w:t>Tribune terminated its previous agreement with Sinclair</w:t>
      </w:r>
      <w:r w:rsidR="000C5C61">
        <w:rPr>
          <w:szCs w:val="18"/>
        </w:rPr>
        <w:t>,</w:t>
      </w:r>
      <w:r w:rsidRPr="0088485F" w:rsidR="0088485F">
        <w:rPr>
          <w:szCs w:val="18"/>
        </w:rPr>
        <w:t xml:space="preserve"> and Sinclair attempted </w:t>
      </w:r>
      <w:r w:rsidR="000C5C61">
        <w:rPr>
          <w:szCs w:val="18"/>
        </w:rPr>
        <w:t xml:space="preserve">to </w:t>
      </w:r>
      <w:r w:rsidRPr="0088485F" w:rsidR="0088485F">
        <w:rPr>
          <w:szCs w:val="18"/>
        </w:rPr>
        <w:t xml:space="preserve">withdraw </w:t>
      </w:r>
      <w:r w:rsidR="005700BC">
        <w:rPr>
          <w:szCs w:val="18"/>
        </w:rPr>
        <w:t>the Sinclair Applications</w:t>
      </w:r>
      <w:bookmarkEnd w:id="4"/>
      <w:r w:rsidRPr="0088485F" w:rsidR="0088485F">
        <w:rPr>
          <w:szCs w:val="18"/>
        </w:rPr>
        <w:t xml:space="preserve">.  Both parties made clear, months before the filing of the Nexstar Applications, that they did not wish to pursue the Sinclair Applications.  Also, </w:t>
      </w:r>
      <w:r>
        <w:rPr>
          <w:szCs w:val="18"/>
        </w:rPr>
        <w:t xml:space="preserve">as stated above, </w:t>
      </w:r>
      <w:r w:rsidRPr="0088485F" w:rsidR="0088485F">
        <w:rPr>
          <w:szCs w:val="18"/>
        </w:rPr>
        <w:t xml:space="preserve">the Enforcement Bureau has stated that it </w:t>
      </w:r>
      <w:r w:rsidRPr="000834FF" w:rsidR="0088485F">
        <w:rPr>
          <w:szCs w:val="18"/>
        </w:rPr>
        <w:t>does not oppose dismissal with prejudice</w:t>
      </w:r>
      <w:r w:rsidRPr="0088485F" w:rsidR="0088485F">
        <w:rPr>
          <w:szCs w:val="18"/>
        </w:rPr>
        <w:t xml:space="preserve"> of the Sinclair Applications.  </w:t>
      </w:r>
      <w:r w:rsidR="008B0C5B">
        <w:rPr>
          <w:szCs w:val="18"/>
        </w:rPr>
        <w:t xml:space="preserve">Although </w:t>
      </w:r>
      <w:r w:rsidRPr="008B0C5B" w:rsidR="008B0C5B">
        <w:rPr>
          <w:szCs w:val="22"/>
        </w:rPr>
        <w:t xml:space="preserve">the Sinclair Applications remain pending, </w:t>
      </w:r>
      <w:r w:rsidR="008B0C5B">
        <w:rPr>
          <w:szCs w:val="22"/>
        </w:rPr>
        <w:t xml:space="preserve">because </w:t>
      </w:r>
      <w:r w:rsidR="005700BC">
        <w:rPr>
          <w:szCs w:val="22"/>
        </w:rPr>
        <w:t>Sinclair and Tribune</w:t>
      </w:r>
      <w:r w:rsidRPr="008B0C5B" w:rsidR="008B0C5B">
        <w:rPr>
          <w:szCs w:val="22"/>
        </w:rPr>
        <w:t xml:space="preserve"> no longer seek the grant of those applications</w:t>
      </w:r>
      <w:r w:rsidR="008B0C5B">
        <w:rPr>
          <w:szCs w:val="22"/>
        </w:rPr>
        <w:t xml:space="preserve">, they are not </w:t>
      </w:r>
      <w:r w:rsidRPr="008B0C5B" w:rsidR="008B0C5B">
        <w:rPr>
          <w:szCs w:val="22"/>
        </w:rPr>
        <w:t xml:space="preserve">as a practical matter inconsistent or </w:t>
      </w:r>
      <w:r w:rsidR="008B0C5B">
        <w:rPr>
          <w:szCs w:val="22"/>
        </w:rPr>
        <w:t xml:space="preserve">in </w:t>
      </w:r>
      <w:r w:rsidRPr="008B0C5B" w:rsidR="008B0C5B">
        <w:rPr>
          <w:szCs w:val="22"/>
        </w:rPr>
        <w:t xml:space="preserve">conflict </w:t>
      </w:r>
      <w:r w:rsidR="008B0C5B">
        <w:rPr>
          <w:szCs w:val="22"/>
        </w:rPr>
        <w:t xml:space="preserve">with </w:t>
      </w:r>
      <w:r w:rsidR="00D56448">
        <w:rPr>
          <w:szCs w:val="22"/>
        </w:rPr>
        <w:t xml:space="preserve">the Nexstar Applications.  Thus, </w:t>
      </w:r>
      <w:r w:rsidRPr="0088485F" w:rsidR="00D56448">
        <w:rPr>
          <w:szCs w:val="18"/>
        </w:rPr>
        <w:t>waiv</w:t>
      </w:r>
      <w:r w:rsidR="00D56448">
        <w:rPr>
          <w:szCs w:val="18"/>
        </w:rPr>
        <w:t>ing Section</w:t>
      </w:r>
      <w:r w:rsidRPr="0088485F" w:rsidR="00D56448">
        <w:rPr>
          <w:szCs w:val="18"/>
        </w:rPr>
        <w:t xml:space="preserve"> 73.3518 to allow </w:t>
      </w:r>
      <w:r w:rsidR="00D56448">
        <w:rPr>
          <w:szCs w:val="18"/>
        </w:rPr>
        <w:t xml:space="preserve">for filing and </w:t>
      </w:r>
      <w:r w:rsidRPr="0088485F" w:rsidR="00D56448">
        <w:rPr>
          <w:szCs w:val="18"/>
        </w:rPr>
        <w:t>consideration of the Nexstar Applications</w:t>
      </w:r>
      <w:r w:rsidRPr="008B0C5B" w:rsidR="008B0C5B">
        <w:rPr>
          <w:szCs w:val="22"/>
        </w:rPr>
        <w:t xml:space="preserve"> </w:t>
      </w:r>
      <w:r w:rsidR="00D56448">
        <w:rPr>
          <w:szCs w:val="22"/>
        </w:rPr>
        <w:t>do</w:t>
      </w:r>
      <w:r w:rsidR="005700BC">
        <w:rPr>
          <w:szCs w:val="22"/>
        </w:rPr>
        <w:t>es</w:t>
      </w:r>
      <w:r w:rsidR="00D56448">
        <w:rPr>
          <w:szCs w:val="22"/>
        </w:rPr>
        <w:t xml:space="preserve"> not </w:t>
      </w:r>
      <w:r w:rsidR="005700BC">
        <w:rPr>
          <w:szCs w:val="22"/>
        </w:rPr>
        <w:t>undermine the purpose of t</w:t>
      </w:r>
      <w:r w:rsidRPr="008B0C5B" w:rsidR="008B0C5B">
        <w:rPr>
          <w:szCs w:val="22"/>
        </w:rPr>
        <w:t xml:space="preserve">he rule </w:t>
      </w:r>
      <w:r w:rsidR="005700BC">
        <w:rPr>
          <w:szCs w:val="22"/>
        </w:rPr>
        <w:t>to avoid a</w:t>
      </w:r>
      <w:r w:rsidRPr="008B0C5B" w:rsidR="008B0C5B">
        <w:rPr>
          <w:szCs w:val="22"/>
        </w:rPr>
        <w:t xml:space="preserve"> waste of resources, </w:t>
      </w:r>
      <w:r w:rsidRPr="008B0C5B" w:rsidR="008B0C5B">
        <w:rPr>
          <w:color w:val="212121"/>
          <w:szCs w:val="22"/>
        </w:rPr>
        <w:t xml:space="preserve">prejudice to other applicants, or delay in service to the </w:t>
      </w:r>
      <w:r w:rsidRPr="008B0C5B" w:rsidR="008B0C5B">
        <w:rPr>
          <w:color w:val="212121"/>
          <w:szCs w:val="22"/>
        </w:rPr>
        <w:t>public.</w:t>
      </w:r>
      <w:r>
        <w:rPr>
          <w:rStyle w:val="FootnoteReference"/>
          <w:color w:val="212121"/>
          <w:sz w:val="24"/>
          <w:szCs w:val="24"/>
        </w:rPr>
        <w:footnoteReference w:id="16"/>
      </w:r>
      <w:r w:rsidR="00D56448">
        <w:rPr>
          <w:color w:val="212121"/>
          <w:szCs w:val="22"/>
        </w:rPr>
        <w:t xml:space="preserve">  </w:t>
      </w:r>
      <w:r w:rsidRPr="0088485F" w:rsidR="0088485F">
        <w:rPr>
          <w:szCs w:val="18"/>
        </w:rPr>
        <w:t xml:space="preserve">Recognizing that </w:t>
      </w:r>
      <w:r w:rsidRPr="00E16DA6" w:rsidR="0088485F">
        <w:rPr>
          <w:szCs w:val="18"/>
        </w:rPr>
        <w:t xml:space="preserve">the </w:t>
      </w:r>
      <w:r w:rsidRPr="0088485F" w:rsidR="0088485F">
        <w:rPr>
          <w:szCs w:val="18"/>
        </w:rPr>
        <w:t xml:space="preserve">decision regarding the disposal of the Sinclair Applications, the resolution of the issues pending in those applications, and </w:t>
      </w:r>
      <w:r w:rsidR="00A777B0">
        <w:rPr>
          <w:szCs w:val="18"/>
        </w:rPr>
        <w:t xml:space="preserve">the </w:t>
      </w:r>
      <w:r w:rsidRPr="0088485F" w:rsidR="0088485F">
        <w:rPr>
          <w:szCs w:val="18"/>
        </w:rPr>
        <w:t>impact of such a resolution on the parties to that proceeding rests with the ALJ</w:t>
      </w:r>
      <w:r w:rsidR="001E0BCE">
        <w:rPr>
          <w:szCs w:val="18"/>
        </w:rPr>
        <w:t xml:space="preserve"> in the first instance</w:t>
      </w:r>
      <w:r w:rsidRPr="0088485F" w:rsidR="0088485F">
        <w:rPr>
          <w:szCs w:val="18"/>
        </w:rPr>
        <w:t xml:space="preserve">, we believe that processing the Nexstar Applications, putting them out for public comment, and commencing staff review is administratively efficient and will facilitate public participation in this process.  Therefore, </w:t>
      </w:r>
      <w:r w:rsidR="001E0BCE">
        <w:rPr>
          <w:szCs w:val="18"/>
        </w:rPr>
        <w:t xml:space="preserve">in these unique circumstances, </w:t>
      </w:r>
      <w:r w:rsidRPr="0088485F" w:rsidR="0088485F">
        <w:rPr>
          <w:szCs w:val="18"/>
        </w:rPr>
        <w:t xml:space="preserve">we waive </w:t>
      </w:r>
      <w:r>
        <w:rPr>
          <w:szCs w:val="18"/>
        </w:rPr>
        <w:t xml:space="preserve">Section </w:t>
      </w:r>
      <w:r w:rsidRPr="0088485F" w:rsidR="0088485F">
        <w:rPr>
          <w:szCs w:val="18"/>
        </w:rPr>
        <w:t>73.3518</w:t>
      </w:r>
      <w:r w:rsidR="003B77B2">
        <w:rPr>
          <w:szCs w:val="18"/>
        </w:rPr>
        <w:t xml:space="preserve"> of our rules</w:t>
      </w:r>
      <w:r w:rsidRPr="0088485F" w:rsidR="0088485F">
        <w:rPr>
          <w:szCs w:val="18"/>
        </w:rPr>
        <w:t xml:space="preserve"> to permit filing of the Nexstar Applications.</w:t>
      </w:r>
      <w:r>
        <w:rPr>
          <w:rStyle w:val="FootnoteReference"/>
          <w:szCs w:val="18"/>
        </w:rPr>
        <w:footnoteReference w:id="17"/>
      </w:r>
    </w:p>
    <w:p w:rsidR="007E7B03" w:rsidRPr="001106B2" w:rsidP="008306DB" w14:paraId="05295352" w14:textId="4274DD78">
      <w:pPr>
        <w:pStyle w:val="ParaNum"/>
        <w:snapToGrid w:val="0"/>
      </w:pPr>
      <w:r>
        <w:rPr>
          <w:b/>
        </w:rPr>
        <w:t>ACCORDINGLY, IT IS ORDERED</w:t>
      </w:r>
      <w:r w:rsidR="006A72DA">
        <w:rPr>
          <w:b/>
        </w:rPr>
        <w:t>,</w:t>
      </w:r>
      <w:r>
        <w:rPr>
          <w:b/>
        </w:rPr>
        <w:t xml:space="preserve"> </w:t>
      </w:r>
      <w:r w:rsidRPr="00BF0FA0">
        <w:t>That</w:t>
      </w:r>
      <w:r>
        <w:rPr>
          <w:b/>
        </w:rPr>
        <w:t xml:space="preserve"> </w:t>
      </w:r>
      <w:r>
        <w:t xml:space="preserve">the Motion for </w:t>
      </w:r>
      <w:r w:rsidR="000867CC">
        <w:t xml:space="preserve">Waiver of 47 CFR Section 73.3518 by Tribune Media </w:t>
      </w:r>
      <w:r w:rsidR="0088485F">
        <w:t>Company</w:t>
      </w:r>
      <w:r w:rsidR="000867CC">
        <w:t xml:space="preserve"> and Nexstar Media Group, Inc. is GRANTED.</w:t>
      </w:r>
      <w:r>
        <w:t xml:space="preserve"> This action is taken pursuant to authority delega</w:t>
      </w:r>
      <w:r w:rsidR="00765440">
        <w:t>ted by Section 0.283</w:t>
      </w:r>
      <w:r>
        <w:t xml:space="preserve"> of the Commission’s Rules.</w:t>
      </w:r>
      <w:r>
        <w:rPr>
          <w:rStyle w:val="FootnoteReference"/>
        </w:rPr>
        <w:footnoteReference w:id="18"/>
      </w:r>
    </w:p>
    <w:p w:rsidR="00804C07" w:rsidRPr="001106B2" w:rsidP="00804C07" w14:paraId="0AC9CA99" w14:textId="77777777">
      <w:pPr>
        <w:snapToGrid w:val="0"/>
      </w:pPr>
      <w:r w:rsidRPr="001106B2">
        <w:rPr>
          <w:spacing w:val="-2"/>
        </w:rPr>
        <w:t> </w:t>
      </w:r>
    </w:p>
    <w:p w:rsidR="00804C07" w:rsidP="00804C07" w14:paraId="620E99B3" w14:textId="77777777"/>
    <w:p w:rsidR="00804C07" w:rsidP="00804C07" w14:paraId="652B4DC7" w14:textId="77777777">
      <w:r>
        <w:tab/>
      </w:r>
      <w:r>
        <w:tab/>
      </w:r>
      <w:r>
        <w:tab/>
      </w:r>
      <w:r>
        <w:tab/>
      </w:r>
      <w:r>
        <w:tab/>
      </w:r>
      <w:r>
        <w:tab/>
        <w:t>FEDERAL COMMUNICATIONS COMMISSION</w:t>
      </w:r>
    </w:p>
    <w:p w:rsidR="00804C07" w:rsidP="00804C07" w14:paraId="4953BEC2" w14:textId="77777777"/>
    <w:p w:rsidR="00804C07" w:rsidP="00804C07" w14:paraId="2CC9EECC" w14:textId="77777777"/>
    <w:p w:rsidR="00804C07" w:rsidP="00804C07" w14:paraId="59DAC52D" w14:textId="77777777"/>
    <w:p w:rsidR="00804C07" w:rsidP="00804C07" w14:paraId="38CB2A9C" w14:textId="77777777"/>
    <w:p w:rsidR="00804C07" w:rsidP="00804C07" w14:paraId="652E85A6" w14:textId="5F1B5F5C">
      <w:r>
        <w:tab/>
      </w:r>
      <w:r>
        <w:tab/>
      </w:r>
      <w:r>
        <w:tab/>
      </w:r>
      <w:r>
        <w:tab/>
      </w:r>
      <w:r>
        <w:tab/>
      </w:r>
      <w:r>
        <w:tab/>
      </w:r>
      <w:r w:rsidR="00A9329E">
        <w:t>Michelle M. Carey</w:t>
      </w:r>
      <w:r w:rsidR="00937FB9">
        <w:t xml:space="preserve"> </w:t>
      </w:r>
    </w:p>
    <w:p w:rsidR="00A9329E" w:rsidP="00A9329E" w14:paraId="07F528EF" w14:textId="76B1D3FE">
      <w:r>
        <w:tab/>
      </w:r>
      <w:r>
        <w:tab/>
      </w:r>
      <w:r>
        <w:tab/>
      </w:r>
      <w:r>
        <w:tab/>
      </w:r>
      <w:r>
        <w:tab/>
      </w:r>
      <w:r>
        <w:tab/>
      </w:r>
      <w:r w:rsidR="00F704B5">
        <w:t>Chief</w:t>
      </w:r>
      <w:r w:rsidR="00CA33C8">
        <w:t xml:space="preserve">, Media Bureau </w:t>
      </w:r>
    </w:p>
    <w:p w:rsidR="00975D77" w:rsidP="00A9329E" w14:paraId="467BC239" w14:textId="4A6C7679">
      <w:pPr>
        <w:ind w:left="3600" w:firstLine="720"/>
      </w:pPr>
    </w:p>
    <w:p w:rsidR="002C00E8" w:rsidRPr="002C00E8" w:rsidP="005901F6" w14:paraId="5515A2DF" w14:textId="77777777">
      <w:pPr>
        <w:widowControl/>
      </w:pPr>
    </w:p>
    <w:sectPr w:rsidSect="00E81791">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835B0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4EAF35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7309C6A" w14:textId="62A18AF4">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2EED6E0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791" w14:paraId="7C823E66" w14:textId="5C92FD29">
    <w:pPr>
      <w:pStyle w:val="Footer"/>
      <w:jc w:val="center"/>
    </w:pPr>
    <w:r>
      <w:fldChar w:fldCharType="begin"/>
    </w:r>
    <w:r>
      <w:instrText xml:space="preserve"> PAGE   \* MERGEFORMAT </w:instrText>
    </w:r>
    <w:r>
      <w:fldChar w:fldCharType="separate"/>
    </w:r>
    <w:r w:rsidR="00C342D7">
      <w:rPr>
        <w:noProof/>
      </w:rPr>
      <w:t>1</w:t>
    </w:r>
    <w:r>
      <w:rPr>
        <w:noProof/>
      </w:rPr>
      <w:fldChar w:fldCharType="end"/>
    </w:r>
  </w:p>
  <w:p w:rsidR="00840C2D" w14:paraId="2BA0C8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79C4" w14:paraId="25FF7BBF" w14:textId="77777777">
      <w:r>
        <w:separator/>
      </w:r>
    </w:p>
  </w:footnote>
  <w:footnote w:type="continuationSeparator" w:id="1">
    <w:p w:rsidR="000B79C4" w:rsidP="00C721AC" w14:paraId="5441C744" w14:textId="77777777">
      <w:pPr>
        <w:spacing w:before="120"/>
        <w:rPr>
          <w:sz w:val="20"/>
        </w:rPr>
      </w:pPr>
      <w:r>
        <w:rPr>
          <w:sz w:val="20"/>
        </w:rPr>
        <w:t xml:space="preserve">(Continued from previous page)  </w:t>
      </w:r>
      <w:r>
        <w:rPr>
          <w:sz w:val="20"/>
        </w:rPr>
        <w:separator/>
      </w:r>
    </w:p>
  </w:footnote>
  <w:footnote w:type="continuationNotice" w:id="2">
    <w:p w:rsidR="000B79C4" w:rsidP="00C721AC" w14:paraId="100DB5D7" w14:textId="77777777">
      <w:pPr>
        <w:jc w:val="right"/>
        <w:rPr>
          <w:sz w:val="20"/>
        </w:rPr>
      </w:pPr>
      <w:r>
        <w:rPr>
          <w:sz w:val="20"/>
        </w:rPr>
        <w:t>(continued….)</w:t>
      </w:r>
    </w:p>
  </w:footnote>
  <w:footnote w:id="3">
    <w:p w:rsidR="00AD1B59" w:rsidRPr="00652E02" w:rsidP="00AD1B59" w14:paraId="7C1FD157" w14:textId="7244A6A7">
      <w:pPr>
        <w:pStyle w:val="FootnoteText"/>
      </w:pPr>
      <w:r>
        <w:rPr>
          <w:rStyle w:val="FootnoteReference"/>
        </w:rPr>
        <w:footnoteRef/>
      </w:r>
      <w:r>
        <w:t xml:space="preserve"> </w:t>
      </w:r>
      <w:r>
        <w:rPr>
          <w:szCs w:val="18"/>
        </w:rPr>
        <w:t xml:space="preserve">The jointly filed applications are listed in the </w:t>
      </w:r>
      <w:r w:rsidR="00975D77">
        <w:rPr>
          <w:szCs w:val="18"/>
        </w:rPr>
        <w:t>Attachment</w:t>
      </w:r>
      <w:r>
        <w:rPr>
          <w:szCs w:val="18"/>
        </w:rPr>
        <w:t xml:space="preserve"> to this Order.</w:t>
      </w:r>
      <w:r w:rsidRPr="00C27BC2">
        <w:t xml:space="preserve"> Copies of the applications are available in the Commission’s Consolidated Database System (CDBS)</w:t>
      </w:r>
      <w:r w:rsidR="00364549">
        <w:t>.</w:t>
      </w:r>
    </w:p>
  </w:footnote>
  <w:footnote w:id="4">
    <w:p w:rsidR="00547249" w:rsidP="00547249" w14:paraId="2B861F69" w14:textId="34E4C1D3">
      <w:pPr>
        <w:pStyle w:val="FootnoteText"/>
      </w:pPr>
      <w:r>
        <w:rPr>
          <w:rStyle w:val="FootnoteReference"/>
        </w:rPr>
        <w:footnoteRef/>
      </w:r>
      <w:r>
        <w:t xml:space="preserve"> </w:t>
      </w:r>
      <w:r w:rsidRPr="00652E02">
        <w:rPr>
          <w:i/>
          <w:szCs w:val="18"/>
        </w:rPr>
        <w:t>Media Bureau Establishes Pleading Cycle for Applications to Transfer Control of Tribune Media Company to Nexstar Media Group, Inc.</w:t>
      </w:r>
      <w:r w:rsidRPr="00652E02">
        <w:rPr>
          <w:i/>
          <w:szCs w:val="18"/>
        </w:rPr>
        <w:t xml:space="preserve"> </w:t>
      </w:r>
      <w:r w:rsidRPr="00652E02">
        <w:rPr>
          <w:i/>
          <w:szCs w:val="18"/>
        </w:rPr>
        <w:t>and Permit-But-Disclose Ex Parte Status for the Proceeding</w:t>
      </w:r>
      <w:r>
        <w:rPr>
          <w:szCs w:val="18"/>
        </w:rPr>
        <w:t xml:space="preserve">, Public Notice, </w:t>
      </w:r>
      <w:r w:rsidR="00CD41F7">
        <w:rPr>
          <w:szCs w:val="18"/>
        </w:rPr>
        <w:t xml:space="preserve">MB Docket No. 19-30, </w:t>
      </w:r>
      <w:r>
        <w:rPr>
          <w:szCs w:val="18"/>
        </w:rPr>
        <w:t>DA 19-</w:t>
      </w:r>
      <w:r w:rsidR="003D7C3C">
        <w:rPr>
          <w:szCs w:val="18"/>
        </w:rPr>
        <w:t>82</w:t>
      </w:r>
      <w:r>
        <w:rPr>
          <w:szCs w:val="18"/>
        </w:rPr>
        <w:t xml:space="preserve"> (Med. Bur.</w:t>
      </w:r>
      <w:r w:rsidR="00FA201D">
        <w:rPr>
          <w:szCs w:val="18"/>
        </w:rPr>
        <w:t xml:space="preserve"> rel. Feb. 14 2019</w:t>
      </w:r>
      <w:r>
        <w:rPr>
          <w:szCs w:val="18"/>
        </w:rPr>
        <w:t>) (</w:t>
      </w:r>
      <w:r w:rsidRPr="00241C39">
        <w:rPr>
          <w:szCs w:val="18"/>
        </w:rPr>
        <w:t>Public Notice</w:t>
      </w:r>
      <w:r>
        <w:rPr>
          <w:szCs w:val="18"/>
        </w:rPr>
        <w:t xml:space="preserve">).  </w:t>
      </w:r>
      <w:r w:rsidR="005901F6">
        <w:t xml:space="preserve">The Public Notice established </w:t>
      </w:r>
      <w:r w:rsidR="00E62EA6">
        <w:t>March 18</w:t>
      </w:r>
      <w:r w:rsidR="005901F6">
        <w:t xml:space="preserve">, 2019, as the date for filing comments and petitions to deny; </w:t>
      </w:r>
      <w:r w:rsidR="00E62EA6">
        <w:t>April 2</w:t>
      </w:r>
      <w:r w:rsidR="005901F6">
        <w:t xml:space="preserve">, 2019 as the deadline for filing responses to comments and oppositions to petitions to deny; and </w:t>
      </w:r>
      <w:r w:rsidR="00E62EA6">
        <w:t>April 9</w:t>
      </w:r>
      <w:r w:rsidR="005901F6">
        <w:t xml:space="preserve">, 2019 as the deadline for filing replies to responses and oppositions to petitions to deny.  </w:t>
      </w:r>
      <w:r>
        <w:t xml:space="preserve">The Public Notice also established the proceeding as permit-but-disclose for </w:t>
      </w:r>
      <w:r>
        <w:rPr>
          <w:i/>
        </w:rPr>
        <w:t xml:space="preserve">ex parte </w:t>
      </w:r>
      <w:r>
        <w:t>purposes.</w:t>
      </w:r>
    </w:p>
  </w:footnote>
  <w:footnote w:id="5">
    <w:p w:rsidR="00241C39" w:rsidRPr="00824903" w:rsidP="00241C39" w14:paraId="71BD8BCB" w14:textId="77777777">
      <w:pPr>
        <w:pStyle w:val="FootnoteText"/>
      </w:pPr>
      <w:r>
        <w:rPr>
          <w:rStyle w:val="FootnoteReference"/>
        </w:rPr>
        <w:footnoteRef/>
      </w:r>
      <w:r>
        <w:t xml:space="preserve"> </w:t>
      </w:r>
      <w:r>
        <w:rPr>
          <w:i/>
        </w:rPr>
        <w:t xml:space="preserve">See </w:t>
      </w:r>
      <w:r w:rsidRPr="00174062">
        <w:t xml:space="preserve">Comprehensive Exhibit </w:t>
      </w:r>
      <w:r>
        <w:t xml:space="preserve">to the Nexstar Applications </w:t>
      </w:r>
      <w:r w:rsidRPr="00174062">
        <w:t>at 34</w:t>
      </w:r>
      <w:r>
        <w:t>.</w:t>
      </w:r>
    </w:p>
  </w:footnote>
  <w:footnote w:id="6">
    <w:p w:rsidR="00241C39" w:rsidP="00241C39" w14:paraId="0FA8D213" w14:textId="088F066C">
      <w:pPr>
        <w:pStyle w:val="FootnoteText"/>
      </w:pPr>
      <w:r>
        <w:rPr>
          <w:rStyle w:val="FootnoteReference"/>
        </w:rPr>
        <w:footnoteRef/>
      </w:r>
      <w:r>
        <w:t xml:space="preserve"> </w:t>
      </w:r>
      <w:r w:rsidRPr="00B31B9C">
        <w:t>47 CFR § 73.3518</w:t>
      </w:r>
      <w:r w:rsidRPr="00824903">
        <w:t xml:space="preserve"> </w:t>
      </w:r>
      <w:r w:rsidRPr="00B31B9C">
        <w:t>(“While an application is pending, no subsequent inconsistent or conflicting application may be filed by or on behalf of or for the benefit of the same applicant, successor, or assignee.”)</w:t>
      </w:r>
      <w:r w:rsidR="00364549">
        <w:t>.</w:t>
      </w:r>
    </w:p>
  </w:footnote>
  <w:footnote w:id="7">
    <w:p w:rsidR="0088485F" w:rsidRPr="005B5042" w:rsidP="0088485F" w14:paraId="18AD19E6" w14:textId="15FE23C3">
      <w:pPr>
        <w:pStyle w:val="FootnoteText"/>
      </w:pPr>
      <w:r>
        <w:rPr>
          <w:rStyle w:val="FootnoteReference"/>
        </w:rPr>
        <w:footnoteRef/>
      </w:r>
      <w:r w:rsidRPr="007244FE">
        <w:rPr>
          <w:i/>
        </w:rPr>
        <w:t xml:space="preserve"> Media Bureau Establishes Pleading Cycle for Applications to Transfer Control of Tribune Media Company to Sinclair Broadcast Group, Inc. and Permit-But-Disclose Ex Parte Status for the Proceeding</w:t>
      </w:r>
      <w:r w:rsidRPr="007244FE">
        <w:t xml:space="preserve">, MB Docket </w:t>
      </w:r>
      <w:r w:rsidR="00CD41F7">
        <w:t>No.</w:t>
      </w:r>
      <w:r w:rsidRPr="007244FE">
        <w:t>17-179, Public Notice, 32 FCC Rcd 5481 (MB 2017).</w:t>
      </w:r>
    </w:p>
  </w:footnote>
  <w:footnote w:id="8">
    <w:p w:rsidR="0088485F" w:rsidP="0088485F" w14:paraId="5068A820" w14:textId="77777777">
      <w:pPr>
        <w:pStyle w:val="FootnoteText"/>
      </w:pPr>
      <w:r>
        <w:rPr>
          <w:rStyle w:val="FootnoteReference"/>
        </w:rPr>
        <w:footnoteRef/>
      </w:r>
      <w:r>
        <w:t xml:space="preserve"> </w:t>
      </w:r>
      <w:r w:rsidRPr="00B31B9C">
        <w:t>47 CFR § 73.3518</w:t>
      </w:r>
      <w:r>
        <w:t>.</w:t>
      </w:r>
    </w:p>
  </w:footnote>
  <w:footnote w:id="9">
    <w:p w:rsidR="00D56448" w:rsidP="00D56448" w14:paraId="298924CF" w14:textId="77777777">
      <w:pPr>
        <w:pStyle w:val="FootnoteText"/>
      </w:pPr>
      <w:r>
        <w:rPr>
          <w:rStyle w:val="FootnoteReference"/>
        </w:rPr>
        <w:footnoteRef/>
      </w:r>
      <w:r>
        <w:t xml:space="preserve"> </w:t>
      </w:r>
      <w:r>
        <w:rPr>
          <w:i/>
        </w:rPr>
        <w:t xml:space="preserve">See </w:t>
      </w:r>
      <w:r w:rsidRPr="00174062">
        <w:t>Comprehensive Exhibit at 34</w:t>
      </w:r>
      <w:r>
        <w:t>.</w:t>
      </w:r>
    </w:p>
  </w:footnote>
  <w:footnote w:id="10">
    <w:p w:rsidR="0088485F" w:rsidP="0088485F" w14:paraId="5A06BB1A" w14:textId="0892A04B">
      <w:pPr>
        <w:pStyle w:val="FootnoteText"/>
      </w:pPr>
      <w:r>
        <w:rPr>
          <w:rStyle w:val="FootnoteReference"/>
        </w:rPr>
        <w:footnoteRef/>
      </w:r>
      <w:r>
        <w:t xml:space="preserve"> </w:t>
      </w:r>
      <w:r w:rsidRPr="005B5042">
        <w:rPr>
          <w:i/>
        </w:rPr>
        <w:t xml:space="preserve">See Applications of Tribune Media Company (Transferor) and Sinclair Broadcast Group, Inc. (Transferee), </w:t>
      </w:r>
      <w:r w:rsidRPr="005B5042">
        <w:t xml:space="preserve">Hearing Designation Order, MB Docket No. 17-179, </w:t>
      </w:r>
      <w:r w:rsidR="00364549">
        <w:t>33 FCC Rcd 6830, 6831, para. 3</w:t>
      </w:r>
      <w:r w:rsidRPr="005B5042">
        <w:t xml:space="preserve"> (2018) (</w:t>
      </w:r>
      <w:r w:rsidRPr="009329C1">
        <w:rPr>
          <w:i/>
        </w:rPr>
        <w:t>Sinclair HDO</w:t>
      </w:r>
      <w:r w:rsidRPr="005B5042">
        <w:t>)</w:t>
      </w:r>
      <w:r>
        <w:t>.</w:t>
      </w:r>
    </w:p>
  </w:footnote>
  <w:footnote w:id="11">
    <w:p w:rsidR="001E0BCE" w14:paraId="48A88EE7" w14:textId="02E9AF7C">
      <w:pPr>
        <w:pStyle w:val="FootnoteText"/>
      </w:pPr>
      <w:r>
        <w:rPr>
          <w:rStyle w:val="FootnoteReference"/>
        </w:rPr>
        <w:footnoteRef/>
      </w:r>
      <w:r>
        <w:t xml:space="preserve"> </w:t>
      </w:r>
      <w:r w:rsidRPr="001E0BCE">
        <w:rPr>
          <w:i/>
        </w:rPr>
        <w:t>Id</w:t>
      </w:r>
      <w:r>
        <w:t xml:space="preserve">.  </w:t>
      </w:r>
    </w:p>
  </w:footnote>
  <w:footnote w:id="12">
    <w:p w:rsidR="001E0BCE" w14:paraId="207BEE58" w14:textId="5A55EAEA">
      <w:pPr>
        <w:pStyle w:val="FootnoteText"/>
      </w:pPr>
      <w:r>
        <w:rPr>
          <w:rStyle w:val="FootnoteReference"/>
        </w:rPr>
        <w:footnoteRef/>
      </w:r>
      <w:r>
        <w:t xml:space="preserve"> </w:t>
      </w:r>
      <w:r w:rsidRPr="001E0BCE">
        <w:rPr>
          <w:i/>
        </w:rPr>
        <w:t>Id</w:t>
      </w:r>
      <w:r>
        <w:t xml:space="preserve">. at n.6.  </w:t>
      </w:r>
      <w:r w:rsidRPr="001E0BCE">
        <w:rPr>
          <w:i/>
        </w:rPr>
        <w:t>See</w:t>
      </w:r>
      <w:r>
        <w:t xml:space="preserve"> </w:t>
      </w:r>
      <w:r w:rsidRPr="00712600">
        <w:t>47 CFR</w:t>
      </w:r>
      <w:r w:rsidR="00364549">
        <w:t xml:space="preserve"> </w:t>
      </w:r>
      <w:r w:rsidRPr="00B31B9C" w:rsidR="00364549">
        <w:t>§</w:t>
      </w:r>
      <w:r w:rsidRPr="00712600">
        <w:t xml:space="preserve"> 1.1208</w:t>
      </w:r>
      <w:r>
        <w:t>.</w:t>
      </w:r>
    </w:p>
  </w:footnote>
  <w:footnote w:id="13">
    <w:p w:rsidR="0088485F" w:rsidP="0088485F" w14:paraId="4F44A85D" w14:textId="77777777">
      <w:pPr>
        <w:pStyle w:val="FootnoteText"/>
      </w:pPr>
      <w:r>
        <w:rPr>
          <w:rStyle w:val="FootnoteReference"/>
        </w:rPr>
        <w:footnoteRef/>
      </w:r>
      <w:r>
        <w:t xml:space="preserve"> </w:t>
      </w:r>
      <w:r w:rsidRPr="00D10A84">
        <w:t>Comprehensive Exhibit at 35.</w:t>
      </w:r>
    </w:p>
  </w:footnote>
  <w:footnote w:id="14">
    <w:p w:rsidR="0088485F" w:rsidP="0088485F" w14:paraId="17FBE269" w14:textId="77777777">
      <w:pPr>
        <w:autoSpaceDE w:val="0"/>
        <w:autoSpaceDN w:val="0"/>
        <w:adjustRightInd w:val="0"/>
        <w:spacing w:after="120"/>
      </w:pPr>
      <w:r>
        <w:rPr>
          <w:rStyle w:val="FootnoteReference"/>
        </w:rPr>
        <w:footnoteRef/>
      </w:r>
      <w:r>
        <w:t xml:space="preserve"> </w:t>
      </w:r>
      <w:bookmarkStart w:id="3" w:name="_Hlk536711007"/>
      <w:r w:rsidRPr="00D10A84">
        <w:rPr>
          <w:i/>
          <w:iCs/>
          <w:sz w:val="20"/>
        </w:rPr>
        <w:t>See Applications of Tribune Media Company (Transferor) and Sinclair Broadcasting Group,</w:t>
      </w:r>
      <w:r>
        <w:rPr>
          <w:i/>
          <w:iCs/>
          <w:sz w:val="20"/>
        </w:rPr>
        <w:t xml:space="preserve"> </w:t>
      </w:r>
      <w:r w:rsidRPr="00D10A84">
        <w:rPr>
          <w:i/>
          <w:iCs/>
          <w:sz w:val="20"/>
        </w:rPr>
        <w:t>Inc. (Transferee)</w:t>
      </w:r>
      <w:r w:rsidRPr="00D10A84">
        <w:rPr>
          <w:rFonts w:eastAsia="TimesNewRoman"/>
          <w:sz w:val="20"/>
        </w:rPr>
        <w:t>, Sinclair Notice of Withdrawal of Applications and Motion to Terminate</w:t>
      </w:r>
      <w:r>
        <w:rPr>
          <w:rFonts w:eastAsia="TimesNewRoman"/>
          <w:sz w:val="20"/>
        </w:rPr>
        <w:t xml:space="preserve"> </w:t>
      </w:r>
      <w:r w:rsidRPr="00D10A84">
        <w:rPr>
          <w:rFonts w:eastAsia="TimesNewRoman"/>
          <w:sz w:val="20"/>
        </w:rPr>
        <w:t xml:space="preserve">Hearing, MB Docket No. 17-179, File Nos. BTCCDT-20170626AGW, </w:t>
      </w:r>
      <w:r w:rsidRPr="00D10A84">
        <w:rPr>
          <w:i/>
          <w:iCs/>
          <w:sz w:val="20"/>
        </w:rPr>
        <w:t xml:space="preserve">et al. </w:t>
      </w:r>
      <w:r w:rsidRPr="00D10A84">
        <w:rPr>
          <w:rFonts w:eastAsia="TimesNewRoman"/>
          <w:sz w:val="20"/>
        </w:rPr>
        <w:t>(Aug. 9, 2018).</w:t>
      </w:r>
    </w:p>
    <w:bookmarkEnd w:id="3"/>
  </w:footnote>
  <w:footnote w:id="15">
    <w:p w:rsidR="0088485F" w:rsidP="0088485F" w14:paraId="35299BD4" w14:textId="77777777">
      <w:pPr>
        <w:autoSpaceDE w:val="0"/>
        <w:autoSpaceDN w:val="0"/>
        <w:adjustRightInd w:val="0"/>
        <w:spacing w:after="120"/>
      </w:pPr>
      <w:r>
        <w:rPr>
          <w:rStyle w:val="FootnoteReference"/>
        </w:rPr>
        <w:footnoteRef/>
      </w:r>
      <w:r>
        <w:t xml:space="preserve"> </w:t>
      </w:r>
      <w:r w:rsidRPr="00D10A84">
        <w:rPr>
          <w:i/>
          <w:iCs/>
          <w:sz w:val="20"/>
        </w:rPr>
        <w:t>See Applications of Tribune Media Company (Transferor) and Sinclair Broadcasting Group,</w:t>
      </w:r>
      <w:r>
        <w:rPr>
          <w:i/>
          <w:iCs/>
          <w:sz w:val="20"/>
        </w:rPr>
        <w:t xml:space="preserve"> </w:t>
      </w:r>
      <w:r w:rsidRPr="00D10A84">
        <w:rPr>
          <w:i/>
          <w:iCs/>
          <w:sz w:val="20"/>
        </w:rPr>
        <w:t>Inc. (Transferee)</w:t>
      </w:r>
      <w:r w:rsidRPr="00D10A84">
        <w:rPr>
          <w:rFonts w:eastAsia="TimesNewRoman"/>
          <w:sz w:val="20"/>
        </w:rPr>
        <w:t xml:space="preserve">, </w:t>
      </w:r>
      <w:r>
        <w:rPr>
          <w:rFonts w:eastAsia="TimesNewRoman"/>
          <w:sz w:val="20"/>
        </w:rPr>
        <w:t xml:space="preserve">Enforcement Bureau’s Response to </w:t>
      </w:r>
      <w:r w:rsidRPr="00D10A84">
        <w:rPr>
          <w:rFonts w:eastAsia="TimesNewRoman"/>
          <w:sz w:val="20"/>
        </w:rPr>
        <w:t>Sinclair Notice of Withdrawal of Applications and Motion to Terminate</w:t>
      </w:r>
      <w:r>
        <w:rPr>
          <w:rFonts w:eastAsia="TimesNewRoman"/>
          <w:sz w:val="20"/>
        </w:rPr>
        <w:t xml:space="preserve"> </w:t>
      </w:r>
      <w:r w:rsidRPr="00D10A84">
        <w:rPr>
          <w:rFonts w:eastAsia="TimesNewRoman"/>
          <w:sz w:val="20"/>
        </w:rPr>
        <w:t xml:space="preserve">Hearing, MB Docket No. 17-179, File Nos. BTCCDT-20170626AGW, </w:t>
      </w:r>
      <w:r w:rsidRPr="00D10A84">
        <w:rPr>
          <w:i/>
          <w:iCs/>
          <w:sz w:val="20"/>
        </w:rPr>
        <w:t xml:space="preserve">et al. </w:t>
      </w:r>
      <w:r w:rsidRPr="00D10A84">
        <w:rPr>
          <w:rFonts w:eastAsia="TimesNewRoman"/>
          <w:sz w:val="20"/>
        </w:rPr>
        <w:t xml:space="preserve">(Aug. </w:t>
      </w:r>
      <w:r>
        <w:rPr>
          <w:rFonts w:eastAsia="TimesNewRoman"/>
          <w:sz w:val="20"/>
        </w:rPr>
        <w:t>10</w:t>
      </w:r>
      <w:r w:rsidRPr="00D10A84">
        <w:rPr>
          <w:rFonts w:eastAsia="TimesNewRoman"/>
          <w:sz w:val="20"/>
        </w:rPr>
        <w:t>, 2018).</w:t>
      </w:r>
    </w:p>
  </w:footnote>
  <w:footnote w:id="16">
    <w:p w:rsidR="008B0C5B" w:rsidRPr="007C5413" w:rsidP="008B0C5B" w14:paraId="6D194D07" w14:textId="75126669">
      <w:pPr>
        <w:pStyle w:val="FootnoteText"/>
      </w:pPr>
      <w:r w:rsidRPr="007C5413">
        <w:rPr>
          <w:rStyle w:val="FootnoteReference"/>
        </w:rPr>
        <w:footnoteRef/>
      </w:r>
      <w:r w:rsidRPr="007C5413">
        <w:t xml:space="preserve"> </w:t>
      </w:r>
      <w:r w:rsidRPr="007C5413">
        <w:rPr>
          <w:i/>
          <w:iCs/>
        </w:rPr>
        <w:t>Hispanic Broadcasting Institute, Inc</w:t>
      </w:r>
      <w:r w:rsidRPr="007C5413">
        <w:t xml:space="preserve">., Memorandum Opinion and Order, 30 FCC Rcd 10560, </w:t>
      </w:r>
      <w:r w:rsidR="00364549">
        <w:t xml:space="preserve">10562, </w:t>
      </w:r>
      <w:r w:rsidRPr="007C5413">
        <w:t>para. 4 (2015).</w:t>
      </w:r>
    </w:p>
  </w:footnote>
  <w:footnote w:id="17">
    <w:p w:rsidR="0088485F" w:rsidP="0088485F" w14:paraId="184BEB03" w14:textId="0B53FDD1">
      <w:pPr>
        <w:spacing w:after="120"/>
      </w:pPr>
      <w:r>
        <w:rPr>
          <w:rStyle w:val="FootnoteReference"/>
        </w:rPr>
        <w:footnoteRef/>
      </w:r>
      <w:r>
        <w:t xml:space="preserve"> </w:t>
      </w:r>
      <w:r w:rsidRPr="00E030FF">
        <w:rPr>
          <w:sz w:val="20"/>
        </w:rPr>
        <w:t xml:space="preserve">We remind interested parties that the applications designated for hearing in the HDO are restricted under our </w:t>
      </w:r>
      <w:r w:rsidRPr="00E030FF">
        <w:rPr>
          <w:i/>
          <w:iCs/>
          <w:sz w:val="20"/>
        </w:rPr>
        <w:t>ex parte</w:t>
      </w:r>
      <w:r w:rsidRPr="00E030FF">
        <w:rPr>
          <w:sz w:val="20"/>
        </w:rPr>
        <w:t xml:space="preserve"> rules.  </w:t>
      </w:r>
      <w:r w:rsidRPr="006C789F" w:rsidR="006C789F">
        <w:rPr>
          <w:i/>
          <w:sz w:val="20"/>
        </w:rPr>
        <w:t>Sinclair HDO</w:t>
      </w:r>
      <w:r w:rsidR="00364549">
        <w:rPr>
          <w:sz w:val="20"/>
        </w:rPr>
        <w:t>, 33 FCC Rcd at 6831,</w:t>
      </w:r>
      <w:r w:rsidRPr="006C789F" w:rsidR="006C789F">
        <w:rPr>
          <w:sz w:val="20"/>
        </w:rPr>
        <w:t xml:space="preserve"> n.6.</w:t>
      </w:r>
      <w:r w:rsidR="006C789F">
        <w:t xml:space="preserve">  </w:t>
      </w:r>
      <w:r w:rsidRPr="00E030FF">
        <w:rPr>
          <w:i/>
          <w:iCs/>
          <w:sz w:val="20"/>
        </w:rPr>
        <w:t>E</w:t>
      </w:r>
      <w:r w:rsidRPr="00E030FF">
        <w:rPr>
          <w:i/>
          <w:iCs/>
          <w:color w:val="212121"/>
          <w:sz w:val="20"/>
        </w:rPr>
        <w:t>x parte</w:t>
      </w:r>
      <w:r w:rsidRPr="00E030FF">
        <w:rPr>
          <w:color w:val="212121"/>
          <w:sz w:val="20"/>
        </w:rPr>
        <w:t xml:space="preserve"> presentations with respect to these applications are prohibited until the proceeding is no longer subject to administrative reconsideration or review or judicial review. </w:t>
      </w:r>
      <w:r w:rsidRPr="00E030FF">
        <w:rPr>
          <w:sz w:val="20"/>
        </w:rPr>
        <w:t xml:space="preserve">47 CFR </w:t>
      </w:r>
      <w:r w:rsidR="00364549">
        <w:t xml:space="preserve">§ </w:t>
      </w:r>
      <w:r w:rsidRPr="00E030FF">
        <w:rPr>
          <w:sz w:val="20"/>
        </w:rPr>
        <w:t>1.1208.</w:t>
      </w:r>
    </w:p>
  </w:footnote>
  <w:footnote w:id="18">
    <w:p w:rsidR="007E7B03" w14:paraId="59611C9A" w14:textId="237895E6">
      <w:pPr>
        <w:pStyle w:val="FootnoteText"/>
      </w:pPr>
      <w:r>
        <w:rPr>
          <w:rStyle w:val="FootnoteReference"/>
        </w:rPr>
        <w:footnoteRef/>
      </w:r>
      <w:r>
        <w:t xml:space="preserve"> 47 CFR §</w:t>
      </w:r>
      <w:r w:rsidR="00765440">
        <w:t xml:space="preserve">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004" w14:paraId="26553D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36CEAA9A" w14:textId="6EB91A07">
    <w:pPr>
      <w:pStyle w:val="Header"/>
    </w:pPr>
    <w:r>
      <w:tab/>
      <w:t>Federal Communications Commission</w:t>
    </w:r>
    <w:r>
      <w:tab/>
    </w:r>
    <w:r w:rsidR="00BF48FD">
      <w:t>DA</w:t>
    </w:r>
    <w:r w:rsidR="001C2F02">
      <w:t xml:space="preserve"> </w:t>
    </w:r>
    <w:r w:rsidR="001403A9">
      <w:t>1</w:t>
    </w:r>
    <w:r w:rsidR="00A9329E">
      <w:t>9-</w:t>
    </w:r>
    <w:r w:rsidR="001A6004">
      <w:t>81</w:t>
    </w:r>
    <w:r w:rsidR="001C2F02">
      <w:t xml:space="preserve"> </w:t>
    </w:r>
  </w:p>
  <w:p w:rsidR="00840C2D" w14:paraId="31739D21" w14:textId="66D4B29D">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840C2D" w14:paraId="3B5FC3E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8939F71" w14:textId="714BEE96">
    <w:pPr>
      <w:pStyle w:val="Heade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F73C45">
      <w:t>DA 1</w:t>
    </w:r>
    <w:r w:rsidR="00A9329E">
      <w:t>9-</w:t>
    </w:r>
    <w:r w:rsidR="001A6004">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112B"/>
    <w:rsid w:val="00001B55"/>
    <w:rsid w:val="0000253F"/>
    <w:rsid w:val="000134AC"/>
    <w:rsid w:val="000135CD"/>
    <w:rsid w:val="000145F0"/>
    <w:rsid w:val="000154B7"/>
    <w:rsid w:val="00017A8D"/>
    <w:rsid w:val="0003268C"/>
    <w:rsid w:val="00036039"/>
    <w:rsid w:val="00037008"/>
    <w:rsid w:val="00037F90"/>
    <w:rsid w:val="00043B9F"/>
    <w:rsid w:val="00047DF1"/>
    <w:rsid w:val="000632CB"/>
    <w:rsid w:val="000834FF"/>
    <w:rsid w:val="000867CC"/>
    <w:rsid w:val="000875BF"/>
    <w:rsid w:val="00090FC0"/>
    <w:rsid w:val="00093167"/>
    <w:rsid w:val="000941D6"/>
    <w:rsid w:val="00096D8C"/>
    <w:rsid w:val="000A0DC7"/>
    <w:rsid w:val="000A1055"/>
    <w:rsid w:val="000A2A74"/>
    <w:rsid w:val="000B4832"/>
    <w:rsid w:val="000B79C4"/>
    <w:rsid w:val="000C0B65"/>
    <w:rsid w:val="000C5C61"/>
    <w:rsid w:val="000C700B"/>
    <w:rsid w:val="000D225A"/>
    <w:rsid w:val="000D50DC"/>
    <w:rsid w:val="000E05FE"/>
    <w:rsid w:val="000E27A9"/>
    <w:rsid w:val="000E3D42"/>
    <w:rsid w:val="000E59A7"/>
    <w:rsid w:val="000E75B6"/>
    <w:rsid w:val="001106B2"/>
    <w:rsid w:val="00120612"/>
    <w:rsid w:val="00121BED"/>
    <w:rsid w:val="00122BD5"/>
    <w:rsid w:val="00125821"/>
    <w:rsid w:val="00127BDA"/>
    <w:rsid w:val="00127C24"/>
    <w:rsid w:val="00133F79"/>
    <w:rsid w:val="00135E70"/>
    <w:rsid w:val="001403A9"/>
    <w:rsid w:val="00141192"/>
    <w:rsid w:val="00141E2E"/>
    <w:rsid w:val="00145BB5"/>
    <w:rsid w:val="00145FC9"/>
    <w:rsid w:val="00153EF4"/>
    <w:rsid w:val="00154BDB"/>
    <w:rsid w:val="00155175"/>
    <w:rsid w:val="001613D0"/>
    <w:rsid w:val="001658F2"/>
    <w:rsid w:val="00174062"/>
    <w:rsid w:val="00182DF0"/>
    <w:rsid w:val="0018325B"/>
    <w:rsid w:val="00183CF7"/>
    <w:rsid w:val="00194A66"/>
    <w:rsid w:val="001A6004"/>
    <w:rsid w:val="001A66B6"/>
    <w:rsid w:val="001B2E94"/>
    <w:rsid w:val="001C2F02"/>
    <w:rsid w:val="001C6843"/>
    <w:rsid w:val="001D3A15"/>
    <w:rsid w:val="001D6BCF"/>
    <w:rsid w:val="001E01CA"/>
    <w:rsid w:val="001E0BCE"/>
    <w:rsid w:val="001E449A"/>
    <w:rsid w:val="001E52ED"/>
    <w:rsid w:val="001E5988"/>
    <w:rsid w:val="001E6379"/>
    <w:rsid w:val="001E6789"/>
    <w:rsid w:val="002031E7"/>
    <w:rsid w:val="00205E3A"/>
    <w:rsid w:val="002142BB"/>
    <w:rsid w:val="00240082"/>
    <w:rsid w:val="0024008C"/>
    <w:rsid w:val="00241C39"/>
    <w:rsid w:val="00275CF5"/>
    <w:rsid w:val="0028301F"/>
    <w:rsid w:val="00285017"/>
    <w:rsid w:val="0029478E"/>
    <w:rsid w:val="00296B57"/>
    <w:rsid w:val="002A17AC"/>
    <w:rsid w:val="002A2D2E"/>
    <w:rsid w:val="002C00E8"/>
    <w:rsid w:val="002C0A43"/>
    <w:rsid w:val="002C5DFB"/>
    <w:rsid w:val="002C7595"/>
    <w:rsid w:val="002D7F24"/>
    <w:rsid w:val="00324C9C"/>
    <w:rsid w:val="0033059C"/>
    <w:rsid w:val="00332053"/>
    <w:rsid w:val="00334B7F"/>
    <w:rsid w:val="00340C7B"/>
    <w:rsid w:val="00343749"/>
    <w:rsid w:val="00350D34"/>
    <w:rsid w:val="003529AA"/>
    <w:rsid w:val="003543E6"/>
    <w:rsid w:val="00364549"/>
    <w:rsid w:val="00364B46"/>
    <w:rsid w:val="003660ED"/>
    <w:rsid w:val="00373305"/>
    <w:rsid w:val="00374C00"/>
    <w:rsid w:val="003764D0"/>
    <w:rsid w:val="00376D17"/>
    <w:rsid w:val="00377041"/>
    <w:rsid w:val="00387F0E"/>
    <w:rsid w:val="00394FD3"/>
    <w:rsid w:val="003A015B"/>
    <w:rsid w:val="003A0CCE"/>
    <w:rsid w:val="003B0550"/>
    <w:rsid w:val="003B12D8"/>
    <w:rsid w:val="003B1A03"/>
    <w:rsid w:val="003B694F"/>
    <w:rsid w:val="003B77B2"/>
    <w:rsid w:val="003C2499"/>
    <w:rsid w:val="003D254E"/>
    <w:rsid w:val="003D7C3C"/>
    <w:rsid w:val="003E5C24"/>
    <w:rsid w:val="003F1598"/>
    <w:rsid w:val="003F171C"/>
    <w:rsid w:val="003F511A"/>
    <w:rsid w:val="003F61C1"/>
    <w:rsid w:val="00412FC5"/>
    <w:rsid w:val="0041565E"/>
    <w:rsid w:val="00422276"/>
    <w:rsid w:val="004242F1"/>
    <w:rsid w:val="00433E63"/>
    <w:rsid w:val="00444DE3"/>
    <w:rsid w:val="00445300"/>
    <w:rsid w:val="0044578D"/>
    <w:rsid w:val="00445A00"/>
    <w:rsid w:val="00450F98"/>
    <w:rsid w:val="00451B0F"/>
    <w:rsid w:val="00462B0F"/>
    <w:rsid w:val="00471AEF"/>
    <w:rsid w:val="00472D43"/>
    <w:rsid w:val="00473DE2"/>
    <w:rsid w:val="00474A7C"/>
    <w:rsid w:val="00486EE8"/>
    <w:rsid w:val="0048755D"/>
    <w:rsid w:val="004A2FFA"/>
    <w:rsid w:val="004A7085"/>
    <w:rsid w:val="004B37AC"/>
    <w:rsid w:val="004B44F6"/>
    <w:rsid w:val="004B7A88"/>
    <w:rsid w:val="004B7DAC"/>
    <w:rsid w:val="004C2EE3"/>
    <w:rsid w:val="004E4A22"/>
    <w:rsid w:val="004E50F3"/>
    <w:rsid w:val="005007C3"/>
    <w:rsid w:val="00511968"/>
    <w:rsid w:val="00520FED"/>
    <w:rsid w:val="00521484"/>
    <w:rsid w:val="00525D79"/>
    <w:rsid w:val="00533970"/>
    <w:rsid w:val="00536F5B"/>
    <w:rsid w:val="005406BB"/>
    <w:rsid w:val="00547249"/>
    <w:rsid w:val="0055614C"/>
    <w:rsid w:val="00557AD3"/>
    <w:rsid w:val="005700BC"/>
    <w:rsid w:val="00572760"/>
    <w:rsid w:val="00573D12"/>
    <w:rsid w:val="0057641A"/>
    <w:rsid w:val="005901F6"/>
    <w:rsid w:val="005B5042"/>
    <w:rsid w:val="005C00F1"/>
    <w:rsid w:val="005C1971"/>
    <w:rsid w:val="005C2CBD"/>
    <w:rsid w:val="005D04A6"/>
    <w:rsid w:val="005E14C2"/>
    <w:rsid w:val="005E778E"/>
    <w:rsid w:val="005F4CF8"/>
    <w:rsid w:val="006019DB"/>
    <w:rsid w:val="0060223B"/>
    <w:rsid w:val="00604632"/>
    <w:rsid w:val="006070C2"/>
    <w:rsid w:val="00607BA5"/>
    <w:rsid w:val="0061180A"/>
    <w:rsid w:val="0062630F"/>
    <w:rsid w:val="00626EB6"/>
    <w:rsid w:val="00643D7B"/>
    <w:rsid w:val="00652E02"/>
    <w:rsid w:val="00655D03"/>
    <w:rsid w:val="00670307"/>
    <w:rsid w:val="00672E60"/>
    <w:rsid w:val="00677748"/>
    <w:rsid w:val="0068070E"/>
    <w:rsid w:val="00683388"/>
    <w:rsid w:val="00683F84"/>
    <w:rsid w:val="00685C01"/>
    <w:rsid w:val="0068612D"/>
    <w:rsid w:val="006950C5"/>
    <w:rsid w:val="006A1E0D"/>
    <w:rsid w:val="006A303E"/>
    <w:rsid w:val="006A6A81"/>
    <w:rsid w:val="006A6B1A"/>
    <w:rsid w:val="006A72DA"/>
    <w:rsid w:val="006B64F0"/>
    <w:rsid w:val="006C4FFF"/>
    <w:rsid w:val="006C73CA"/>
    <w:rsid w:val="006C789F"/>
    <w:rsid w:val="006D00E3"/>
    <w:rsid w:val="006D010D"/>
    <w:rsid w:val="006D49D7"/>
    <w:rsid w:val="006D6652"/>
    <w:rsid w:val="006E3889"/>
    <w:rsid w:val="006E3B9F"/>
    <w:rsid w:val="006E4037"/>
    <w:rsid w:val="006F48BD"/>
    <w:rsid w:val="006F7393"/>
    <w:rsid w:val="0070224F"/>
    <w:rsid w:val="00707BB9"/>
    <w:rsid w:val="007115F7"/>
    <w:rsid w:val="00712600"/>
    <w:rsid w:val="007244FE"/>
    <w:rsid w:val="00734B6E"/>
    <w:rsid w:val="0075332C"/>
    <w:rsid w:val="00761BF4"/>
    <w:rsid w:val="00765440"/>
    <w:rsid w:val="007656F2"/>
    <w:rsid w:val="007704B3"/>
    <w:rsid w:val="00781F6C"/>
    <w:rsid w:val="00785689"/>
    <w:rsid w:val="007901EC"/>
    <w:rsid w:val="0079561F"/>
    <w:rsid w:val="0079754B"/>
    <w:rsid w:val="007A0B96"/>
    <w:rsid w:val="007A1E6D"/>
    <w:rsid w:val="007B0EB2"/>
    <w:rsid w:val="007B0FC6"/>
    <w:rsid w:val="007C1531"/>
    <w:rsid w:val="007C284E"/>
    <w:rsid w:val="007C5413"/>
    <w:rsid w:val="007C56C9"/>
    <w:rsid w:val="007E2872"/>
    <w:rsid w:val="007E7716"/>
    <w:rsid w:val="007E7B03"/>
    <w:rsid w:val="007F359D"/>
    <w:rsid w:val="007F4C50"/>
    <w:rsid w:val="00804B69"/>
    <w:rsid w:val="00804C07"/>
    <w:rsid w:val="00810B6F"/>
    <w:rsid w:val="00811B52"/>
    <w:rsid w:val="00822CE0"/>
    <w:rsid w:val="00824903"/>
    <w:rsid w:val="00827BD1"/>
    <w:rsid w:val="008306DB"/>
    <w:rsid w:val="00840C2D"/>
    <w:rsid w:val="00841AB1"/>
    <w:rsid w:val="00842777"/>
    <w:rsid w:val="008613A5"/>
    <w:rsid w:val="0087585B"/>
    <w:rsid w:val="0088485F"/>
    <w:rsid w:val="008868EA"/>
    <w:rsid w:val="00890058"/>
    <w:rsid w:val="008912E9"/>
    <w:rsid w:val="008A224B"/>
    <w:rsid w:val="008A3346"/>
    <w:rsid w:val="008A688E"/>
    <w:rsid w:val="008B0C5B"/>
    <w:rsid w:val="008B6666"/>
    <w:rsid w:val="008C68F1"/>
    <w:rsid w:val="008D14ED"/>
    <w:rsid w:val="008F541D"/>
    <w:rsid w:val="008F76A4"/>
    <w:rsid w:val="0090258D"/>
    <w:rsid w:val="00907CBD"/>
    <w:rsid w:val="0091529A"/>
    <w:rsid w:val="00921803"/>
    <w:rsid w:val="00926503"/>
    <w:rsid w:val="00931728"/>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920A9"/>
    <w:rsid w:val="009C5DAD"/>
    <w:rsid w:val="009D12B9"/>
    <w:rsid w:val="009D4904"/>
    <w:rsid w:val="009E202F"/>
    <w:rsid w:val="009E21AB"/>
    <w:rsid w:val="009F34B6"/>
    <w:rsid w:val="009F5786"/>
    <w:rsid w:val="009F76DB"/>
    <w:rsid w:val="00A004B5"/>
    <w:rsid w:val="00A32C3B"/>
    <w:rsid w:val="00A44182"/>
    <w:rsid w:val="00A45F4F"/>
    <w:rsid w:val="00A466DA"/>
    <w:rsid w:val="00A57523"/>
    <w:rsid w:val="00A600A9"/>
    <w:rsid w:val="00A616CF"/>
    <w:rsid w:val="00A759B6"/>
    <w:rsid w:val="00A777B0"/>
    <w:rsid w:val="00A81277"/>
    <w:rsid w:val="00A85DF8"/>
    <w:rsid w:val="00A9329E"/>
    <w:rsid w:val="00A95035"/>
    <w:rsid w:val="00A95AB3"/>
    <w:rsid w:val="00AA55B7"/>
    <w:rsid w:val="00AA5B9E"/>
    <w:rsid w:val="00AB2392"/>
    <w:rsid w:val="00AB2407"/>
    <w:rsid w:val="00AB53DF"/>
    <w:rsid w:val="00AB796A"/>
    <w:rsid w:val="00AC798F"/>
    <w:rsid w:val="00AD110F"/>
    <w:rsid w:val="00AD1B59"/>
    <w:rsid w:val="00AD361B"/>
    <w:rsid w:val="00AD435A"/>
    <w:rsid w:val="00AD5349"/>
    <w:rsid w:val="00AE2007"/>
    <w:rsid w:val="00AE29EF"/>
    <w:rsid w:val="00AE76FD"/>
    <w:rsid w:val="00AF1727"/>
    <w:rsid w:val="00AF17D0"/>
    <w:rsid w:val="00AF5D9F"/>
    <w:rsid w:val="00AF6260"/>
    <w:rsid w:val="00B07E5C"/>
    <w:rsid w:val="00B22827"/>
    <w:rsid w:val="00B26473"/>
    <w:rsid w:val="00B31B9C"/>
    <w:rsid w:val="00B321C1"/>
    <w:rsid w:val="00B524BC"/>
    <w:rsid w:val="00B53E0F"/>
    <w:rsid w:val="00B5582A"/>
    <w:rsid w:val="00B56410"/>
    <w:rsid w:val="00B73F2A"/>
    <w:rsid w:val="00B76842"/>
    <w:rsid w:val="00B811F7"/>
    <w:rsid w:val="00B905A5"/>
    <w:rsid w:val="00B92F77"/>
    <w:rsid w:val="00BA1B20"/>
    <w:rsid w:val="00BA58D9"/>
    <w:rsid w:val="00BA5DC6"/>
    <w:rsid w:val="00BA6196"/>
    <w:rsid w:val="00BA7FBA"/>
    <w:rsid w:val="00BB2DA4"/>
    <w:rsid w:val="00BB3F24"/>
    <w:rsid w:val="00BB4BDE"/>
    <w:rsid w:val="00BC2A0C"/>
    <w:rsid w:val="00BC6D8C"/>
    <w:rsid w:val="00BD46C1"/>
    <w:rsid w:val="00BF0FA0"/>
    <w:rsid w:val="00BF48FD"/>
    <w:rsid w:val="00C000C3"/>
    <w:rsid w:val="00C072F5"/>
    <w:rsid w:val="00C27BC2"/>
    <w:rsid w:val="00C34006"/>
    <w:rsid w:val="00C342D7"/>
    <w:rsid w:val="00C375FA"/>
    <w:rsid w:val="00C426B1"/>
    <w:rsid w:val="00C503DA"/>
    <w:rsid w:val="00C50B7B"/>
    <w:rsid w:val="00C5663C"/>
    <w:rsid w:val="00C57451"/>
    <w:rsid w:val="00C66160"/>
    <w:rsid w:val="00C677A8"/>
    <w:rsid w:val="00C721AC"/>
    <w:rsid w:val="00C90D6A"/>
    <w:rsid w:val="00C93C25"/>
    <w:rsid w:val="00C96632"/>
    <w:rsid w:val="00CA0DD0"/>
    <w:rsid w:val="00CA2280"/>
    <w:rsid w:val="00CA247E"/>
    <w:rsid w:val="00CA33C8"/>
    <w:rsid w:val="00CB72B1"/>
    <w:rsid w:val="00CC72B6"/>
    <w:rsid w:val="00CD336A"/>
    <w:rsid w:val="00CD41F7"/>
    <w:rsid w:val="00CF6542"/>
    <w:rsid w:val="00D0218D"/>
    <w:rsid w:val="00D10A84"/>
    <w:rsid w:val="00D1351F"/>
    <w:rsid w:val="00D1415C"/>
    <w:rsid w:val="00D214B4"/>
    <w:rsid w:val="00D25FB5"/>
    <w:rsid w:val="00D44223"/>
    <w:rsid w:val="00D44CCE"/>
    <w:rsid w:val="00D44E9A"/>
    <w:rsid w:val="00D56448"/>
    <w:rsid w:val="00D65E63"/>
    <w:rsid w:val="00D73F82"/>
    <w:rsid w:val="00D756E0"/>
    <w:rsid w:val="00D803A6"/>
    <w:rsid w:val="00D83076"/>
    <w:rsid w:val="00D85E84"/>
    <w:rsid w:val="00D87C5D"/>
    <w:rsid w:val="00DA2529"/>
    <w:rsid w:val="00DA73C2"/>
    <w:rsid w:val="00DB130A"/>
    <w:rsid w:val="00DB2EBB"/>
    <w:rsid w:val="00DC10A1"/>
    <w:rsid w:val="00DC655F"/>
    <w:rsid w:val="00DD074B"/>
    <w:rsid w:val="00DD0B59"/>
    <w:rsid w:val="00DD3323"/>
    <w:rsid w:val="00DD44E3"/>
    <w:rsid w:val="00DD7EBD"/>
    <w:rsid w:val="00DE013C"/>
    <w:rsid w:val="00DF40BE"/>
    <w:rsid w:val="00DF62B6"/>
    <w:rsid w:val="00DF6DF0"/>
    <w:rsid w:val="00E00118"/>
    <w:rsid w:val="00E030FF"/>
    <w:rsid w:val="00E07225"/>
    <w:rsid w:val="00E16DA6"/>
    <w:rsid w:val="00E214F7"/>
    <w:rsid w:val="00E24004"/>
    <w:rsid w:val="00E24689"/>
    <w:rsid w:val="00E30307"/>
    <w:rsid w:val="00E47057"/>
    <w:rsid w:val="00E5409F"/>
    <w:rsid w:val="00E555B3"/>
    <w:rsid w:val="00E62EA6"/>
    <w:rsid w:val="00E7171F"/>
    <w:rsid w:val="00E740AC"/>
    <w:rsid w:val="00E74757"/>
    <w:rsid w:val="00E80240"/>
    <w:rsid w:val="00E81791"/>
    <w:rsid w:val="00E85E46"/>
    <w:rsid w:val="00E87C32"/>
    <w:rsid w:val="00EA5970"/>
    <w:rsid w:val="00EA7283"/>
    <w:rsid w:val="00EB27A0"/>
    <w:rsid w:val="00EB50A7"/>
    <w:rsid w:val="00EC093C"/>
    <w:rsid w:val="00EC6579"/>
    <w:rsid w:val="00ED3FD4"/>
    <w:rsid w:val="00EE15B8"/>
    <w:rsid w:val="00EE6488"/>
    <w:rsid w:val="00EF3878"/>
    <w:rsid w:val="00EF4A77"/>
    <w:rsid w:val="00F01772"/>
    <w:rsid w:val="00F021FA"/>
    <w:rsid w:val="00F15BEA"/>
    <w:rsid w:val="00F44475"/>
    <w:rsid w:val="00F47103"/>
    <w:rsid w:val="00F50486"/>
    <w:rsid w:val="00F62E57"/>
    <w:rsid w:val="00F62E97"/>
    <w:rsid w:val="00F64209"/>
    <w:rsid w:val="00F704B5"/>
    <w:rsid w:val="00F73C45"/>
    <w:rsid w:val="00F8372D"/>
    <w:rsid w:val="00F93BF5"/>
    <w:rsid w:val="00F93C74"/>
    <w:rsid w:val="00FA201D"/>
    <w:rsid w:val="00FC38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9D"/>
    <w:pPr>
      <w:widowControl w:val="0"/>
    </w:pPr>
    <w:rPr>
      <w:snapToGrid w:val="0"/>
      <w:kern w:val="28"/>
      <w:sz w:val="22"/>
    </w:rPr>
  </w:style>
  <w:style w:type="paragraph" w:styleId="Heading1">
    <w:name w:val="heading 1"/>
    <w:basedOn w:val="Normal"/>
    <w:next w:val="ParaNum"/>
    <w:qFormat/>
    <w:rsid w:val="007F35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359D"/>
    <w:pPr>
      <w:keepNext/>
      <w:numPr>
        <w:ilvl w:val="1"/>
        <w:numId w:val="3"/>
      </w:numPr>
      <w:spacing w:after="120"/>
      <w:outlineLvl w:val="1"/>
    </w:pPr>
    <w:rPr>
      <w:b/>
    </w:rPr>
  </w:style>
  <w:style w:type="paragraph" w:styleId="Heading3">
    <w:name w:val="heading 3"/>
    <w:basedOn w:val="Normal"/>
    <w:next w:val="ParaNum"/>
    <w:qFormat/>
    <w:rsid w:val="007F359D"/>
    <w:pPr>
      <w:keepNext/>
      <w:numPr>
        <w:ilvl w:val="2"/>
        <w:numId w:val="3"/>
      </w:numPr>
      <w:tabs>
        <w:tab w:val="left" w:pos="2160"/>
      </w:tabs>
      <w:spacing w:after="120"/>
      <w:outlineLvl w:val="2"/>
    </w:pPr>
    <w:rPr>
      <w:b/>
    </w:rPr>
  </w:style>
  <w:style w:type="paragraph" w:styleId="Heading4">
    <w:name w:val="heading 4"/>
    <w:basedOn w:val="Normal"/>
    <w:next w:val="ParaNum"/>
    <w:qFormat/>
    <w:rsid w:val="007F359D"/>
    <w:pPr>
      <w:keepNext/>
      <w:numPr>
        <w:ilvl w:val="3"/>
        <w:numId w:val="3"/>
      </w:numPr>
      <w:tabs>
        <w:tab w:val="left" w:pos="2880"/>
      </w:tabs>
      <w:spacing w:after="120"/>
      <w:outlineLvl w:val="3"/>
    </w:pPr>
    <w:rPr>
      <w:b/>
    </w:rPr>
  </w:style>
  <w:style w:type="paragraph" w:styleId="Heading5">
    <w:name w:val="heading 5"/>
    <w:basedOn w:val="Normal"/>
    <w:next w:val="ParaNum"/>
    <w:qFormat/>
    <w:rsid w:val="007F35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F359D"/>
    <w:pPr>
      <w:numPr>
        <w:ilvl w:val="5"/>
        <w:numId w:val="3"/>
      </w:numPr>
      <w:tabs>
        <w:tab w:val="left" w:pos="4320"/>
      </w:tabs>
      <w:spacing w:after="120"/>
      <w:outlineLvl w:val="5"/>
    </w:pPr>
    <w:rPr>
      <w:b/>
    </w:rPr>
  </w:style>
  <w:style w:type="paragraph" w:styleId="Heading7">
    <w:name w:val="heading 7"/>
    <w:basedOn w:val="Normal"/>
    <w:next w:val="ParaNum"/>
    <w:qFormat/>
    <w:rsid w:val="007F35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F35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F35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35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359D"/>
  </w:style>
  <w:style w:type="paragraph" w:customStyle="1" w:styleId="ParaNum">
    <w:name w:val="ParaNum"/>
    <w:basedOn w:val="Normal"/>
    <w:rsid w:val="007F359D"/>
    <w:pPr>
      <w:numPr>
        <w:numId w:val="2"/>
      </w:numPr>
      <w:tabs>
        <w:tab w:val="clear" w:pos="1080"/>
        <w:tab w:val="num" w:pos="1440"/>
      </w:tabs>
      <w:spacing w:after="120"/>
    </w:pPr>
  </w:style>
  <w:style w:type="paragraph" w:styleId="EndnoteText">
    <w:name w:val="endnote text"/>
    <w:basedOn w:val="Normal"/>
    <w:semiHidden/>
    <w:rsid w:val="007F359D"/>
    <w:rPr>
      <w:sz w:val="20"/>
    </w:rPr>
  </w:style>
  <w:style w:type="character" w:styleId="EndnoteReference">
    <w:name w:val="endnote reference"/>
    <w:semiHidden/>
    <w:rsid w:val="007F359D"/>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7F359D"/>
    <w:pPr>
      <w:spacing w:after="120"/>
    </w:pPr>
  </w:style>
  <w:style w:type="character" w:styleId="FootnoteReference">
    <w:name w:val="footnote reference"/>
    <w:aliases w:val="(NECG) Footnote Reference,Appel note de bas de p,FR,Footnote Reference/,Style 12,Style 124,Style 13,Style 17,Style 3,Style 6,Style 7,fr,o"/>
    <w:rsid w:val="007F359D"/>
    <w:rPr>
      <w:rFonts w:ascii="Times New Roman" w:hAnsi="Times New Roman"/>
      <w:dstrike w:val="0"/>
      <w:color w:val="auto"/>
      <w:sz w:val="20"/>
      <w:vertAlign w:val="superscript"/>
    </w:rPr>
  </w:style>
  <w:style w:type="paragraph" w:styleId="TOC1">
    <w:name w:val="toc 1"/>
    <w:basedOn w:val="Normal"/>
    <w:next w:val="Normal"/>
    <w:semiHidden/>
    <w:rsid w:val="007F35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359D"/>
    <w:pPr>
      <w:tabs>
        <w:tab w:val="left" w:pos="720"/>
        <w:tab w:val="right" w:leader="dot" w:pos="9360"/>
      </w:tabs>
      <w:suppressAutoHyphens/>
      <w:ind w:left="720" w:right="720" w:hanging="360"/>
    </w:pPr>
    <w:rPr>
      <w:noProof/>
    </w:rPr>
  </w:style>
  <w:style w:type="paragraph" w:styleId="TOC3">
    <w:name w:val="toc 3"/>
    <w:basedOn w:val="Normal"/>
    <w:next w:val="Normal"/>
    <w:semiHidden/>
    <w:rsid w:val="007F35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35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35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35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35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35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35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359D"/>
    <w:pPr>
      <w:tabs>
        <w:tab w:val="right" w:pos="9360"/>
      </w:tabs>
      <w:suppressAutoHyphens/>
    </w:pPr>
  </w:style>
  <w:style w:type="character" w:customStyle="1" w:styleId="EquationCaption">
    <w:name w:val="_Equation Caption"/>
    <w:rsid w:val="007F359D"/>
  </w:style>
  <w:style w:type="paragraph" w:styleId="Header">
    <w:name w:val="header"/>
    <w:basedOn w:val="Normal"/>
    <w:link w:val="HeaderChar"/>
    <w:autoRedefine/>
    <w:rsid w:val="007F359D"/>
    <w:pPr>
      <w:tabs>
        <w:tab w:val="center" w:pos="4680"/>
        <w:tab w:val="right" w:pos="9360"/>
      </w:tabs>
    </w:pPr>
    <w:rPr>
      <w:b/>
    </w:rPr>
  </w:style>
  <w:style w:type="paragraph" w:styleId="Footer">
    <w:name w:val="footer"/>
    <w:basedOn w:val="Normal"/>
    <w:link w:val="FooterChar"/>
    <w:uiPriority w:val="99"/>
    <w:rsid w:val="007F359D"/>
    <w:pPr>
      <w:tabs>
        <w:tab w:val="center" w:pos="4320"/>
        <w:tab w:val="right" w:pos="8640"/>
      </w:tabs>
    </w:pPr>
  </w:style>
  <w:style w:type="character" w:styleId="PageNumber">
    <w:name w:val="page number"/>
    <w:basedOn w:val="DefaultParagraphFont"/>
    <w:rsid w:val="007F359D"/>
  </w:style>
  <w:style w:type="paragraph" w:styleId="BlockText">
    <w:name w:val="Block Text"/>
    <w:basedOn w:val="Normal"/>
    <w:rsid w:val="007F359D"/>
    <w:pPr>
      <w:spacing w:after="240"/>
      <w:ind w:left="1440" w:right="1440"/>
    </w:pPr>
  </w:style>
  <w:style w:type="paragraph" w:customStyle="1" w:styleId="Paratitle">
    <w:name w:val="Para title"/>
    <w:basedOn w:val="Normal"/>
    <w:rsid w:val="007F359D"/>
    <w:pPr>
      <w:tabs>
        <w:tab w:val="center" w:pos="9270"/>
      </w:tabs>
      <w:spacing w:after="240"/>
    </w:pPr>
    <w:rPr>
      <w:spacing w:val="-2"/>
    </w:rPr>
  </w:style>
  <w:style w:type="paragraph" w:customStyle="1" w:styleId="Bullet">
    <w:name w:val="Bullet"/>
    <w:basedOn w:val="Normal"/>
    <w:rsid w:val="007F359D"/>
    <w:pPr>
      <w:tabs>
        <w:tab w:val="left" w:pos="2160"/>
      </w:tabs>
      <w:spacing w:after="220"/>
      <w:ind w:left="2160" w:hanging="720"/>
    </w:pPr>
  </w:style>
  <w:style w:type="paragraph" w:customStyle="1" w:styleId="TableFormat">
    <w:name w:val="TableFormat"/>
    <w:basedOn w:val="Bullet"/>
    <w:rsid w:val="007F359D"/>
    <w:pPr>
      <w:tabs>
        <w:tab w:val="clear" w:pos="2160"/>
        <w:tab w:val="left" w:pos="5040"/>
      </w:tabs>
      <w:ind w:left="5040" w:hanging="3600"/>
    </w:pPr>
  </w:style>
  <w:style w:type="paragraph" w:customStyle="1" w:styleId="TOCTitle">
    <w:name w:val="TOC Title"/>
    <w:basedOn w:val="Normal"/>
    <w:rsid w:val="007F35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359D"/>
    <w:pPr>
      <w:jc w:val="center"/>
    </w:pPr>
    <w:rPr>
      <w:rFonts w:ascii="Times New Roman Bold" w:hAnsi="Times New Roman Bold"/>
      <w:b/>
      <w:bCs/>
      <w:caps/>
      <w:szCs w:val="22"/>
    </w:rPr>
  </w:style>
  <w:style w:type="character" w:styleId="Hyperlink">
    <w:name w:val="Hyperlink"/>
    <w:rsid w:val="007F359D"/>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7F359D"/>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