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F52B0">
      <w:pPr>
        <w:pStyle w:val="Header"/>
        <w:tabs>
          <w:tab w:val="clear" w:pos="4320"/>
          <w:tab w:val="clear" w:pos="8640"/>
        </w:tabs>
        <w:sectPr>
          <w:footerReference w:type="default" r:id="rId5"/>
          <w:headerReference w:type="first" r:id="rId6"/>
          <w:footerReference w:type="first" r:id="rId7"/>
          <w:pgSz w:w="12240" w:h="15840" w:code="1"/>
          <w:pgMar w:top="720" w:right="720" w:bottom="1440" w:left="720" w:header="720" w:footer="1440" w:gutter="0"/>
          <w:cols w:space="720"/>
          <w:titlePg/>
        </w:sectPr>
      </w:pPr>
      <w:bookmarkStart w:id="1" w:name="_GoBack"/>
      <w:bookmarkEnd w:id="1"/>
    </w:p>
    <w:p w:rsidR="00EF52B0" w:rsidRPr="000320D9">
      <w:pPr>
        <w:jc w:val="right"/>
        <w:rPr>
          <w:b/>
          <w:sz w:val="24"/>
        </w:rPr>
      </w:pPr>
      <w:r w:rsidRPr="000320D9">
        <w:rPr>
          <w:b/>
          <w:sz w:val="24"/>
        </w:rPr>
        <w:t xml:space="preserve">DA </w:t>
      </w:r>
      <w:r w:rsidRPr="000320D9" w:rsidR="00496778">
        <w:rPr>
          <w:b/>
          <w:sz w:val="24"/>
        </w:rPr>
        <w:t>19-</w:t>
      </w:r>
      <w:r w:rsidR="000B50E5">
        <w:rPr>
          <w:b/>
          <w:sz w:val="24"/>
        </w:rPr>
        <w:t>823</w:t>
      </w:r>
    </w:p>
    <w:p w:rsidR="00EF52B0" w:rsidRPr="000320D9">
      <w:pPr>
        <w:spacing w:before="60"/>
        <w:jc w:val="right"/>
        <w:rPr>
          <w:b/>
          <w:sz w:val="24"/>
        </w:rPr>
      </w:pPr>
      <w:r>
        <w:rPr>
          <w:b/>
          <w:sz w:val="24"/>
        </w:rPr>
        <w:t xml:space="preserve">Released: </w:t>
      </w:r>
      <w:r w:rsidR="008B7517">
        <w:rPr>
          <w:b/>
          <w:sz w:val="24"/>
        </w:rPr>
        <w:t xml:space="preserve">August </w:t>
      </w:r>
      <w:r w:rsidR="00B7033F">
        <w:rPr>
          <w:b/>
          <w:sz w:val="24"/>
        </w:rPr>
        <w:t>26</w:t>
      </w:r>
      <w:r w:rsidRPr="000320D9" w:rsidR="003B248B">
        <w:rPr>
          <w:b/>
          <w:sz w:val="24"/>
        </w:rPr>
        <w:t>, 20</w:t>
      </w:r>
      <w:r w:rsidRPr="000320D9" w:rsidR="00EF4CC0">
        <w:rPr>
          <w:b/>
          <w:sz w:val="24"/>
        </w:rPr>
        <w:t>19</w:t>
      </w:r>
    </w:p>
    <w:p w:rsidR="00EF52B0">
      <w:pPr>
        <w:jc w:val="right"/>
        <w:rPr>
          <w:sz w:val="24"/>
        </w:rPr>
      </w:pPr>
    </w:p>
    <w:p w:rsidR="00EF52B0" w:rsidP="00285E2F">
      <w:pPr>
        <w:spacing w:after="240"/>
        <w:jc w:val="center"/>
        <w:rPr>
          <w:b/>
          <w:sz w:val="24"/>
        </w:rPr>
      </w:pPr>
      <w:r>
        <w:rPr>
          <w:b/>
          <w:sz w:val="24"/>
        </w:rPr>
        <w:t xml:space="preserve">WIRELESS TELECOMMUNICATIONS BUREAU SEEKS COMMENT ON </w:t>
      </w:r>
      <w:r w:rsidR="00AA2F49">
        <w:rPr>
          <w:b/>
          <w:sz w:val="24"/>
        </w:rPr>
        <w:t xml:space="preserve">VERIZON’S </w:t>
      </w:r>
      <w:r>
        <w:rPr>
          <w:b/>
          <w:sz w:val="24"/>
        </w:rPr>
        <w:t>PETITION FOR DECLAR</w:t>
      </w:r>
      <w:r w:rsidR="006C3356">
        <w:rPr>
          <w:b/>
          <w:sz w:val="24"/>
        </w:rPr>
        <w:t>ATORY RULING</w:t>
      </w:r>
      <w:r w:rsidR="006774C0">
        <w:rPr>
          <w:b/>
          <w:sz w:val="24"/>
        </w:rPr>
        <w:t xml:space="preserve"> REGARDING FEES CHARGED BY CLARK COUNTY, </w:t>
      </w:r>
      <w:r w:rsidR="0096358D">
        <w:rPr>
          <w:b/>
          <w:sz w:val="24"/>
        </w:rPr>
        <w:t>NEVADA</w:t>
      </w:r>
      <w:r w:rsidR="006774C0">
        <w:rPr>
          <w:b/>
          <w:sz w:val="24"/>
        </w:rPr>
        <w:t xml:space="preserve"> FOR SMALL WIRELESS FACILITIES</w:t>
      </w:r>
    </w:p>
    <w:p w:rsidR="00EF52B0" w:rsidP="0090620C">
      <w:pPr>
        <w:jc w:val="center"/>
        <w:rPr>
          <w:b/>
          <w:sz w:val="24"/>
        </w:rPr>
      </w:pPr>
      <w:r>
        <w:rPr>
          <w:b/>
          <w:sz w:val="24"/>
        </w:rPr>
        <w:t xml:space="preserve">WT Docket No. </w:t>
      </w:r>
      <w:r w:rsidR="0090620C">
        <w:rPr>
          <w:b/>
          <w:sz w:val="24"/>
        </w:rPr>
        <w:t>1</w:t>
      </w:r>
      <w:r w:rsidR="00560276">
        <w:rPr>
          <w:b/>
          <w:sz w:val="24"/>
        </w:rPr>
        <w:t>9</w:t>
      </w:r>
      <w:r w:rsidR="006774C0">
        <w:rPr>
          <w:b/>
          <w:sz w:val="24"/>
        </w:rPr>
        <w:t>-</w:t>
      </w:r>
      <w:r w:rsidR="00DC45BC">
        <w:rPr>
          <w:b/>
          <w:sz w:val="24"/>
        </w:rPr>
        <w:t>230</w:t>
      </w:r>
    </w:p>
    <w:p w:rsidR="0090620C" w:rsidP="003212FF">
      <w:pPr>
        <w:rPr>
          <w:b/>
          <w:szCs w:val="22"/>
        </w:rPr>
      </w:pPr>
    </w:p>
    <w:p w:rsidR="003212FF" w:rsidRPr="006C3356" w:rsidP="003212FF">
      <w:pPr>
        <w:rPr>
          <w:b/>
          <w:szCs w:val="22"/>
        </w:rPr>
      </w:pPr>
      <w:r w:rsidRPr="006C3356">
        <w:rPr>
          <w:b/>
          <w:szCs w:val="22"/>
        </w:rPr>
        <w:t xml:space="preserve">Comments Due: </w:t>
      </w:r>
      <w:r w:rsidR="00802F6B">
        <w:rPr>
          <w:b/>
          <w:szCs w:val="22"/>
        </w:rPr>
        <w:t xml:space="preserve"> </w:t>
      </w:r>
      <w:r w:rsidR="00BA01F7">
        <w:rPr>
          <w:b/>
          <w:szCs w:val="22"/>
        </w:rPr>
        <w:t>September</w:t>
      </w:r>
      <w:r w:rsidR="006774C0">
        <w:rPr>
          <w:b/>
          <w:szCs w:val="22"/>
        </w:rPr>
        <w:t xml:space="preserve"> </w:t>
      </w:r>
      <w:r w:rsidR="00B7033F">
        <w:rPr>
          <w:b/>
          <w:szCs w:val="22"/>
        </w:rPr>
        <w:t>25,</w:t>
      </w:r>
      <w:r w:rsidR="003B248B">
        <w:rPr>
          <w:b/>
          <w:szCs w:val="22"/>
        </w:rPr>
        <w:t xml:space="preserve"> 20</w:t>
      </w:r>
      <w:r w:rsidR="00AA2F49">
        <w:rPr>
          <w:b/>
          <w:szCs w:val="22"/>
        </w:rPr>
        <w:t>19</w:t>
      </w:r>
    </w:p>
    <w:p w:rsidR="003212FF" w:rsidRPr="007772AD" w:rsidP="007772AD">
      <w:pPr>
        <w:spacing w:after="120"/>
        <w:rPr>
          <w:b/>
          <w:szCs w:val="22"/>
        </w:rPr>
      </w:pPr>
      <w:r w:rsidRPr="006C3356">
        <w:rPr>
          <w:b/>
          <w:szCs w:val="22"/>
        </w:rPr>
        <w:t>Reply Comments Due:</w:t>
      </w:r>
      <w:r w:rsidR="003B248B">
        <w:rPr>
          <w:b/>
          <w:szCs w:val="22"/>
        </w:rPr>
        <w:t xml:space="preserve"> </w:t>
      </w:r>
      <w:r w:rsidR="00802F6B">
        <w:rPr>
          <w:b/>
          <w:szCs w:val="22"/>
        </w:rPr>
        <w:t xml:space="preserve"> </w:t>
      </w:r>
      <w:r w:rsidR="00B7033F">
        <w:rPr>
          <w:b/>
          <w:szCs w:val="22"/>
        </w:rPr>
        <w:t>October</w:t>
      </w:r>
      <w:r w:rsidR="006774C0">
        <w:rPr>
          <w:b/>
          <w:szCs w:val="22"/>
        </w:rPr>
        <w:t xml:space="preserve"> </w:t>
      </w:r>
      <w:r w:rsidR="00B7033F">
        <w:rPr>
          <w:b/>
          <w:szCs w:val="22"/>
        </w:rPr>
        <w:t>10</w:t>
      </w:r>
      <w:r w:rsidR="003B248B">
        <w:rPr>
          <w:b/>
          <w:szCs w:val="22"/>
        </w:rPr>
        <w:t>, 20</w:t>
      </w:r>
      <w:r w:rsidR="00AA2F49">
        <w:rPr>
          <w:b/>
          <w:szCs w:val="22"/>
        </w:rPr>
        <w:t>19</w:t>
      </w:r>
    </w:p>
    <w:p w:rsidR="00263CA3" w:rsidP="007772AD">
      <w:pPr>
        <w:spacing w:after="120"/>
        <w:ind w:firstLine="720"/>
        <w:rPr>
          <w:szCs w:val="22"/>
        </w:rPr>
      </w:pPr>
      <w:r>
        <w:rPr>
          <w:szCs w:val="22"/>
        </w:rPr>
        <w:t xml:space="preserve">By this Public Notice, the Wireless Telecommunications </w:t>
      </w:r>
      <w:r w:rsidR="00E0421D">
        <w:rPr>
          <w:szCs w:val="22"/>
        </w:rPr>
        <w:t>Bureau</w:t>
      </w:r>
      <w:r>
        <w:rPr>
          <w:szCs w:val="22"/>
        </w:rPr>
        <w:t xml:space="preserve"> seeks comment on a petition for declaratory </w:t>
      </w:r>
      <w:r w:rsidR="00E0421D">
        <w:rPr>
          <w:szCs w:val="22"/>
        </w:rPr>
        <w:t>ruling</w:t>
      </w:r>
      <w:r>
        <w:rPr>
          <w:szCs w:val="22"/>
        </w:rPr>
        <w:t xml:space="preserve"> filed by Verizon on </w:t>
      </w:r>
      <w:r w:rsidR="006015D4">
        <w:rPr>
          <w:szCs w:val="22"/>
        </w:rPr>
        <w:t>August 8</w:t>
      </w:r>
      <w:r>
        <w:rPr>
          <w:szCs w:val="22"/>
        </w:rPr>
        <w:t>, 2019</w:t>
      </w:r>
      <w:r w:rsidR="00014AFB">
        <w:rPr>
          <w:szCs w:val="22"/>
        </w:rPr>
        <w:t xml:space="preserve"> pursuant to section 1.2 of the Commission’s rules. </w:t>
      </w:r>
      <w:r w:rsidR="00390E4C">
        <w:rPr>
          <w:szCs w:val="22"/>
        </w:rPr>
        <w:t xml:space="preserve"> </w:t>
      </w:r>
      <w:r w:rsidR="00014AFB">
        <w:rPr>
          <w:szCs w:val="22"/>
        </w:rPr>
        <w:t xml:space="preserve">Verizon </w:t>
      </w:r>
      <w:r w:rsidR="0096358D">
        <w:rPr>
          <w:szCs w:val="22"/>
        </w:rPr>
        <w:t>asks</w:t>
      </w:r>
      <w:r w:rsidR="00BA01F7">
        <w:rPr>
          <w:szCs w:val="22"/>
        </w:rPr>
        <w:t xml:space="preserve"> the Commission </w:t>
      </w:r>
      <w:r w:rsidR="0096358D">
        <w:rPr>
          <w:szCs w:val="22"/>
        </w:rPr>
        <w:t xml:space="preserve">to </w:t>
      </w:r>
      <w:r w:rsidR="00BA01F7">
        <w:rPr>
          <w:szCs w:val="22"/>
        </w:rPr>
        <w:t xml:space="preserve">declare that the </w:t>
      </w:r>
      <w:r w:rsidRPr="008B34EC" w:rsidR="008B34EC">
        <w:rPr>
          <w:szCs w:val="22"/>
        </w:rPr>
        <w:t xml:space="preserve">recurring fees charged by Clark County, Nevada </w:t>
      </w:r>
      <w:r w:rsidR="00CA4714">
        <w:rPr>
          <w:szCs w:val="22"/>
        </w:rPr>
        <w:t xml:space="preserve">(County) </w:t>
      </w:r>
      <w:r w:rsidRPr="008B34EC" w:rsidR="008B34EC">
        <w:rPr>
          <w:szCs w:val="22"/>
        </w:rPr>
        <w:t>for small wireless facilities in public rights-of-way</w:t>
      </w:r>
      <w:r w:rsidR="00BA01F7">
        <w:rPr>
          <w:szCs w:val="22"/>
        </w:rPr>
        <w:t xml:space="preserve"> are unlawful</w:t>
      </w:r>
      <w:r w:rsidRPr="008B34EC" w:rsidR="008B34EC">
        <w:rPr>
          <w:szCs w:val="22"/>
        </w:rPr>
        <w:t>.</w:t>
      </w:r>
      <w:r>
        <w:rPr>
          <w:rStyle w:val="FootnoteReference"/>
          <w:szCs w:val="22"/>
        </w:rPr>
        <w:footnoteReference w:id="2"/>
      </w:r>
      <w:r w:rsidRPr="008B34EC" w:rsidR="008B34EC">
        <w:rPr>
          <w:szCs w:val="22"/>
        </w:rPr>
        <w:t xml:space="preserve"> </w:t>
      </w:r>
      <w:r w:rsidR="008B34EC">
        <w:rPr>
          <w:szCs w:val="22"/>
        </w:rPr>
        <w:t xml:space="preserve"> Specifically, Verizon </w:t>
      </w:r>
      <w:r w:rsidR="00BA01F7">
        <w:rPr>
          <w:szCs w:val="22"/>
        </w:rPr>
        <w:t xml:space="preserve">claims </w:t>
      </w:r>
      <w:r w:rsidR="00EF682E">
        <w:rPr>
          <w:szCs w:val="22"/>
        </w:rPr>
        <w:t>that t</w:t>
      </w:r>
      <w:r w:rsidRPr="008B34EC" w:rsidR="008B34EC">
        <w:rPr>
          <w:szCs w:val="22"/>
        </w:rPr>
        <w:t>hese fees materially inhibit the provision of telecommunications services by Verizon</w:t>
      </w:r>
      <w:r w:rsidR="0096358D">
        <w:rPr>
          <w:szCs w:val="22"/>
        </w:rPr>
        <w:t xml:space="preserve"> and</w:t>
      </w:r>
      <w:r w:rsidRPr="008B34EC" w:rsidR="008B34EC">
        <w:rPr>
          <w:szCs w:val="22"/>
        </w:rPr>
        <w:t xml:space="preserve"> violate Section</w:t>
      </w:r>
      <w:r w:rsidR="0096358D">
        <w:rPr>
          <w:szCs w:val="22"/>
        </w:rPr>
        <w:t>s</w:t>
      </w:r>
      <w:r w:rsidRPr="008B34EC" w:rsidR="008B34EC">
        <w:rPr>
          <w:szCs w:val="22"/>
        </w:rPr>
        <w:t xml:space="preserve"> 253</w:t>
      </w:r>
      <w:r w:rsidR="00EB14C4">
        <w:rPr>
          <w:szCs w:val="22"/>
        </w:rPr>
        <w:t>(a) and (c)</w:t>
      </w:r>
      <w:r w:rsidRPr="008B34EC" w:rsidR="008B34EC">
        <w:rPr>
          <w:szCs w:val="22"/>
        </w:rPr>
        <w:t xml:space="preserve"> of the </w:t>
      </w:r>
      <w:r w:rsidR="00EB14C4">
        <w:rPr>
          <w:szCs w:val="22"/>
        </w:rPr>
        <w:t>Telecommunications Act</w:t>
      </w:r>
      <w:r w:rsidRPr="008B34EC" w:rsidR="008B34EC">
        <w:rPr>
          <w:szCs w:val="22"/>
        </w:rPr>
        <w:t xml:space="preserve">, </w:t>
      </w:r>
      <w:r w:rsidR="00EB14C4">
        <w:rPr>
          <w:szCs w:val="22"/>
        </w:rPr>
        <w:t xml:space="preserve">as amended, </w:t>
      </w:r>
      <w:r w:rsidRPr="008B34EC" w:rsidR="008B34EC">
        <w:rPr>
          <w:szCs w:val="22"/>
        </w:rPr>
        <w:t xml:space="preserve">and </w:t>
      </w:r>
      <w:r w:rsidR="00EB14C4">
        <w:rPr>
          <w:szCs w:val="22"/>
        </w:rPr>
        <w:t xml:space="preserve">that the Commission should </w:t>
      </w:r>
      <w:r w:rsidRPr="008B34EC" w:rsidR="008B34EC">
        <w:rPr>
          <w:szCs w:val="22"/>
        </w:rPr>
        <w:t>preempt</w:t>
      </w:r>
      <w:r w:rsidR="00EB14C4">
        <w:rPr>
          <w:szCs w:val="22"/>
        </w:rPr>
        <w:t xml:space="preserve"> </w:t>
      </w:r>
      <w:r w:rsidR="0096358D">
        <w:rPr>
          <w:szCs w:val="22"/>
        </w:rPr>
        <w:t>the</w:t>
      </w:r>
      <w:r w:rsidR="00EB14C4">
        <w:rPr>
          <w:szCs w:val="22"/>
        </w:rPr>
        <w:t xml:space="preserve"> fees under Section 253(d)</w:t>
      </w:r>
      <w:r w:rsidRPr="008B34EC" w:rsidR="008B34EC">
        <w:rPr>
          <w:szCs w:val="22"/>
        </w:rPr>
        <w:t>.</w:t>
      </w:r>
      <w:r>
        <w:rPr>
          <w:rStyle w:val="FootnoteReference"/>
          <w:szCs w:val="22"/>
        </w:rPr>
        <w:footnoteReference w:id="3"/>
      </w:r>
    </w:p>
    <w:p w:rsidR="00D47FE7" w:rsidP="00745027">
      <w:pPr>
        <w:spacing w:after="120"/>
        <w:ind w:firstLine="720"/>
        <w:rPr>
          <w:szCs w:val="22"/>
        </w:rPr>
      </w:pPr>
      <w:r>
        <w:rPr>
          <w:szCs w:val="22"/>
        </w:rPr>
        <w:t xml:space="preserve">Verizon argues that </w:t>
      </w:r>
      <w:r w:rsidRPr="00D47FE7">
        <w:rPr>
          <w:szCs w:val="22"/>
        </w:rPr>
        <w:t>the County’s recurring fees materially inhibit the provision of telecommunications services by wireless providers because: (</w:t>
      </w:r>
      <w:r>
        <w:rPr>
          <w:szCs w:val="22"/>
        </w:rPr>
        <w:t>1</w:t>
      </w:r>
      <w:r w:rsidRPr="00D47FE7">
        <w:rPr>
          <w:szCs w:val="22"/>
        </w:rPr>
        <w:t>) they do not reasonably approximate the County’s actual and direct costs associated with a provider’s use of the public rights-of-way and other assets; (</w:t>
      </w:r>
      <w:r>
        <w:rPr>
          <w:szCs w:val="22"/>
        </w:rPr>
        <w:t>2</w:t>
      </w:r>
      <w:r w:rsidRPr="00D47FE7">
        <w:rPr>
          <w:szCs w:val="22"/>
        </w:rPr>
        <w:t>) they consequently are not limited to the County’s objectively reasonable costs; and (</w:t>
      </w:r>
      <w:r>
        <w:rPr>
          <w:szCs w:val="22"/>
        </w:rPr>
        <w:t>3</w:t>
      </w:r>
      <w:r w:rsidRPr="00D47FE7">
        <w:rPr>
          <w:szCs w:val="22"/>
        </w:rPr>
        <w:t>) they are inherently discriminatory.</w:t>
      </w:r>
      <w:r>
        <w:rPr>
          <w:rStyle w:val="FootnoteReference"/>
          <w:szCs w:val="22"/>
        </w:rPr>
        <w:footnoteReference w:id="4"/>
      </w:r>
      <w:r w:rsidRPr="00D47FE7">
        <w:rPr>
          <w:szCs w:val="22"/>
        </w:rPr>
        <w:t xml:space="preserve"> </w:t>
      </w:r>
      <w:r>
        <w:rPr>
          <w:szCs w:val="22"/>
        </w:rPr>
        <w:t xml:space="preserve"> </w:t>
      </w:r>
      <w:r w:rsidRPr="00D47FE7">
        <w:rPr>
          <w:szCs w:val="22"/>
        </w:rPr>
        <w:t xml:space="preserve">Verizon </w:t>
      </w:r>
      <w:r w:rsidR="00B97881">
        <w:rPr>
          <w:szCs w:val="22"/>
        </w:rPr>
        <w:t xml:space="preserve">asks </w:t>
      </w:r>
      <w:r>
        <w:rPr>
          <w:szCs w:val="22"/>
        </w:rPr>
        <w:t xml:space="preserve">that </w:t>
      </w:r>
      <w:r w:rsidRPr="00D47FE7">
        <w:rPr>
          <w:szCs w:val="22"/>
        </w:rPr>
        <w:t xml:space="preserve">the Commission declare that </w:t>
      </w:r>
      <w:r>
        <w:rPr>
          <w:szCs w:val="22"/>
        </w:rPr>
        <w:t xml:space="preserve">the </w:t>
      </w:r>
      <w:r w:rsidRPr="00D47FE7">
        <w:rPr>
          <w:szCs w:val="22"/>
        </w:rPr>
        <w:t xml:space="preserve">County may not charge recurring fees to Verizon that exceed the presumptively reasonable annual rate of $270, as set forth in the </w:t>
      </w:r>
      <w:r w:rsidRPr="00CA4714">
        <w:rPr>
          <w:i/>
          <w:szCs w:val="22"/>
        </w:rPr>
        <w:t xml:space="preserve">Small Cell </w:t>
      </w:r>
      <w:r w:rsidR="00AE74FB">
        <w:rPr>
          <w:i/>
          <w:szCs w:val="22"/>
        </w:rPr>
        <w:t>Declaratory Ruling</w:t>
      </w:r>
      <w:r>
        <w:rPr>
          <w:szCs w:val="22"/>
        </w:rPr>
        <w:t>.</w:t>
      </w:r>
      <w:r>
        <w:rPr>
          <w:rStyle w:val="FootnoteReference"/>
          <w:szCs w:val="22"/>
        </w:rPr>
        <w:footnoteReference w:id="5"/>
      </w:r>
    </w:p>
    <w:p w:rsidR="00C049D2" w:rsidRPr="00C049D2" w:rsidP="00AE74FB">
      <w:pPr>
        <w:spacing w:after="120"/>
        <w:ind w:firstLine="720"/>
        <w:rPr>
          <w:szCs w:val="22"/>
        </w:rPr>
      </w:pPr>
      <w:r>
        <w:rPr>
          <w:szCs w:val="22"/>
        </w:rPr>
        <w:t>We seek comment on th</w:t>
      </w:r>
      <w:r w:rsidR="00594D13">
        <w:rPr>
          <w:szCs w:val="22"/>
        </w:rPr>
        <w:t>e</w:t>
      </w:r>
      <w:r>
        <w:rPr>
          <w:szCs w:val="22"/>
        </w:rPr>
        <w:t>s</w:t>
      </w:r>
      <w:r w:rsidR="00594D13">
        <w:rPr>
          <w:szCs w:val="22"/>
        </w:rPr>
        <w:t>e</w:t>
      </w:r>
      <w:r>
        <w:rPr>
          <w:szCs w:val="22"/>
        </w:rPr>
        <w:t xml:space="preserve"> issue</w:t>
      </w:r>
      <w:r w:rsidR="00594D13">
        <w:rPr>
          <w:szCs w:val="22"/>
        </w:rPr>
        <w:t>s</w:t>
      </w:r>
      <w:r>
        <w:rPr>
          <w:szCs w:val="22"/>
        </w:rPr>
        <w:t xml:space="preserve"> and any other issues raised by the Petition.</w:t>
      </w:r>
    </w:p>
    <w:p w:rsidR="00263CA3" w:rsidRPr="000D7702" w:rsidP="00745027">
      <w:pPr>
        <w:spacing w:after="120"/>
        <w:ind w:firstLine="720"/>
        <w:rPr>
          <w:szCs w:val="22"/>
        </w:rPr>
      </w:pPr>
      <w:r w:rsidRPr="000D7702">
        <w:rPr>
          <w:i/>
          <w:szCs w:val="22"/>
        </w:rPr>
        <w:t xml:space="preserve">Filing Requirements.  </w:t>
      </w:r>
      <w:r w:rsidRPr="000D7702">
        <w:rPr>
          <w:szCs w:val="22"/>
        </w:rPr>
        <w:t xml:space="preserve">Interested parties may file comments </w:t>
      </w:r>
      <w:r w:rsidR="00594D13">
        <w:rPr>
          <w:szCs w:val="22"/>
        </w:rPr>
        <w:t xml:space="preserve">and replies </w:t>
      </w:r>
      <w:r w:rsidRPr="000D7702">
        <w:rPr>
          <w:szCs w:val="22"/>
        </w:rPr>
        <w:t>on or before the date</w:t>
      </w:r>
      <w:r w:rsidR="00594D13">
        <w:rPr>
          <w:szCs w:val="22"/>
        </w:rPr>
        <w:t>s</w:t>
      </w:r>
      <w:r w:rsidRPr="000D7702">
        <w:rPr>
          <w:szCs w:val="22"/>
        </w:rPr>
        <w:t xml:space="preserve"> indicated on the first page of this document.</w:t>
      </w:r>
      <w:r>
        <w:rPr>
          <w:szCs w:val="22"/>
          <w:vertAlign w:val="superscript"/>
        </w:rPr>
        <w:footnoteReference w:id="6"/>
      </w:r>
      <w:r w:rsidRPr="000D7702">
        <w:rPr>
          <w:szCs w:val="22"/>
        </w:rPr>
        <w:t xml:space="preserve">  </w:t>
      </w:r>
      <w:r w:rsidRPr="000D7702">
        <w:rPr>
          <w:iCs/>
          <w:szCs w:val="22"/>
        </w:rPr>
        <w:t>All filings mus</w:t>
      </w:r>
      <w:r>
        <w:rPr>
          <w:iCs/>
          <w:szCs w:val="22"/>
        </w:rPr>
        <w:t xml:space="preserve">t reference </w:t>
      </w:r>
      <w:r w:rsidRPr="006A7630" w:rsidR="00594D13">
        <w:rPr>
          <w:b/>
          <w:iCs/>
          <w:szCs w:val="22"/>
        </w:rPr>
        <w:t xml:space="preserve">WT </w:t>
      </w:r>
      <w:r w:rsidRPr="006A7630">
        <w:rPr>
          <w:b/>
          <w:iCs/>
          <w:szCs w:val="22"/>
        </w:rPr>
        <w:t xml:space="preserve">Docket No. </w:t>
      </w:r>
      <w:r w:rsidRPr="006A7630" w:rsidR="0015152E">
        <w:rPr>
          <w:b/>
          <w:iCs/>
          <w:szCs w:val="22"/>
        </w:rPr>
        <w:t>19</w:t>
      </w:r>
      <w:r w:rsidRPr="006A7630">
        <w:rPr>
          <w:b/>
          <w:iCs/>
          <w:szCs w:val="22"/>
        </w:rPr>
        <w:t>-</w:t>
      </w:r>
      <w:r w:rsidR="00DC45BC">
        <w:rPr>
          <w:b/>
          <w:iCs/>
          <w:szCs w:val="22"/>
        </w:rPr>
        <w:t>230</w:t>
      </w:r>
      <w:r w:rsidRPr="000D7702">
        <w:rPr>
          <w:iCs/>
          <w:szCs w:val="22"/>
        </w:rPr>
        <w:t xml:space="preserve">.  </w:t>
      </w:r>
      <w:r w:rsidRPr="000D7702">
        <w:rPr>
          <w:szCs w:val="22"/>
        </w:rPr>
        <w:t xml:space="preserve">Comments </w:t>
      </w:r>
      <w:r w:rsidR="00594D13">
        <w:rPr>
          <w:szCs w:val="22"/>
        </w:rPr>
        <w:t xml:space="preserve">and replies </w:t>
      </w:r>
      <w:r w:rsidRPr="000D7702">
        <w:rPr>
          <w:szCs w:val="22"/>
        </w:rPr>
        <w:t>may be filed using the Commission’s Electronic Comment Filing System (ECFS).</w:t>
      </w:r>
      <w:r>
        <w:rPr>
          <w:szCs w:val="22"/>
          <w:vertAlign w:val="superscript"/>
        </w:rPr>
        <w:footnoteReference w:id="7"/>
      </w:r>
    </w:p>
    <w:p w:rsidR="00263CA3" w:rsidRPr="000D7702" w:rsidP="00263CA3">
      <w:pPr>
        <w:widowControl w:val="0"/>
        <w:numPr>
          <w:ilvl w:val="0"/>
          <w:numId w:val="16"/>
        </w:numPr>
        <w:spacing w:after="120"/>
        <w:rPr>
          <w:szCs w:val="22"/>
        </w:rPr>
      </w:pPr>
      <w:r w:rsidRPr="000D7702">
        <w:rPr>
          <w:szCs w:val="22"/>
        </w:rPr>
        <w:t xml:space="preserve">Electronic Filers:  Comments may be filed electronically using the Internet by accessing ECFS:  </w:t>
      </w:r>
      <w:hyperlink r:id="rId8" w:history="1">
        <w:r w:rsidRPr="000D7702">
          <w:rPr>
            <w:color w:val="0000FF"/>
            <w:szCs w:val="22"/>
            <w:u w:val="single"/>
          </w:rPr>
          <w:t>https://www.fcc.gov/ecfs/</w:t>
        </w:r>
      </w:hyperlink>
      <w:r w:rsidRPr="000D7702">
        <w:rPr>
          <w:szCs w:val="22"/>
        </w:rPr>
        <w:t>.</w:t>
      </w:r>
    </w:p>
    <w:p w:rsidR="00263CA3" w:rsidRPr="000D7702" w:rsidP="00263CA3">
      <w:pPr>
        <w:widowControl w:val="0"/>
        <w:numPr>
          <w:ilvl w:val="0"/>
          <w:numId w:val="16"/>
        </w:numPr>
        <w:spacing w:after="120"/>
        <w:rPr>
          <w:szCs w:val="22"/>
        </w:rPr>
      </w:pPr>
      <w:r w:rsidRPr="000D7702">
        <w:rPr>
          <w:szCs w:val="22"/>
        </w:rPr>
        <w:t>Paper Filers:  Parties who choose to file by paper must file an original and one copy of each filing.</w:t>
      </w:r>
    </w:p>
    <w:p w:rsidR="00263CA3" w:rsidRPr="000D7702" w:rsidP="00263CA3">
      <w:pPr>
        <w:numPr>
          <w:ilvl w:val="0"/>
          <w:numId w:val="16"/>
        </w:numPr>
        <w:spacing w:after="120"/>
        <w:rPr>
          <w:szCs w:val="22"/>
        </w:rPr>
      </w:pPr>
      <w:r w:rsidRPr="000D770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263CA3" w:rsidRPr="000D7702" w:rsidP="00263CA3">
      <w:pPr>
        <w:widowControl w:val="0"/>
        <w:numPr>
          <w:ilvl w:val="1"/>
          <w:numId w:val="16"/>
        </w:numPr>
        <w:spacing w:after="120"/>
        <w:rPr>
          <w:szCs w:val="22"/>
        </w:rPr>
      </w:pPr>
      <w:r w:rsidRPr="000D7702">
        <w:rPr>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263CA3" w:rsidRPr="000D7702" w:rsidP="00263CA3">
      <w:pPr>
        <w:widowControl w:val="0"/>
        <w:numPr>
          <w:ilvl w:val="1"/>
          <w:numId w:val="16"/>
        </w:numPr>
        <w:spacing w:after="120"/>
        <w:rPr>
          <w:szCs w:val="22"/>
        </w:rPr>
      </w:pPr>
      <w:r w:rsidRPr="000D7702">
        <w:rPr>
          <w:szCs w:val="22"/>
        </w:rPr>
        <w:t>Commercial overnight mail (other than U.S. Postal Service Express Mail and Priority Mail) must be sent to 9050 Junction Drive, Annapolis Junction, MD 20701.</w:t>
      </w:r>
    </w:p>
    <w:p w:rsidR="00263CA3" w:rsidRPr="000D7702" w:rsidP="00263CA3">
      <w:pPr>
        <w:widowControl w:val="0"/>
        <w:numPr>
          <w:ilvl w:val="1"/>
          <w:numId w:val="16"/>
        </w:numPr>
        <w:spacing w:after="120"/>
        <w:rPr>
          <w:szCs w:val="22"/>
        </w:rPr>
      </w:pPr>
      <w:r w:rsidRPr="000D7702">
        <w:rPr>
          <w:szCs w:val="22"/>
        </w:rPr>
        <w:t>U.S. Postal Service first-class, Express, and Priority mail must be addressed to 445 12th Street, SW, Washington DC  20554.</w:t>
      </w:r>
    </w:p>
    <w:p w:rsidR="00263CA3" w:rsidRPr="000D7702" w:rsidP="00263CA3">
      <w:pPr>
        <w:spacing w:after="120"/>
        <w:ind w:firstLine="720"/>
        <w:rPr>
          <w:szCs w:val="22"/>
        </w:rPr>
      </w:pPr>
      <w:r w:rsidRPr="000D7702">
        <w:rPr>
          <w:i/>
          <w:szCs w:val="22"/>
        </w:rPr>
        <w:t>Ex Parte Rules</w:t>
      </w:r>
      <w:r w:rsidRPr="000D7702">
        <w:rPr>
          <w:szCs w:val="22"/>
        </w:rPr>
        <w:t xml:space="preserve">.  The proceeding this Notice initiates shall be treated as a “permit-but-disclose” proceeding in accordance with the Commission’s </w:t>
      </w:r>
      <w:r w:rsidRPr="000D7702">
        <w:rPr>
          <w:i/>
          <w:iCs/>
          <w:szCs w:val="22"/>
        </w:rPr>
        <w:t xml:space="preserve">ex parte </w:t>
      </w:r>
      <w:r w:rsidRPr="000D7702">
        <w:rPr>
          <w:szCs w:val="22"/>
        </w:rPr>
        <w:t>rules.</w:t>
      </w:r>
      <w:r>
        <w:rPr>
          <w:szCs w:val="22"/>
          <w:vertAlign w:val="superscript"/>
        </w:rPr>
        <w:footnoteReference w:id="8"/>
      </w:r>
      <w:r w:rsidRPr="000D7702">
        <w:rPr>
          <w:szCs w:val="22"/>
        </w:rPr>
        <w:t xml:space="preserve">  Persons making </w:t>
      </w:r>
      <w:r w:rsidRPr="000D7702">
        <w:rPr>
          <w:i/>
          <w:szCs w:val="22"/>
        </w:rPr>
        <w:t xml:space="preserve">ex parte </w:t>
      </w:r>
      <w:r w:rsidRPr="000D770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D7702">
        <w:rPr>
          <w:i/>
          <w:iCs/>
          <w:szCs w:val="22"/>
        </w:rPr>
        <w:t xml:space="preserve">ex parte </w:t>
      </w:r>
      <w:r w:rsidRPr="000D7702">
        <w:rPr>
          <w:szCs w:val="22"/>
        </w:rPr>
        <w:t xml:space="preserve">presentations are reminded that memoranda summarizing the presentation must (1) list all persons attending or otherwise participating in the meeting at which the </w:t>
      </w:r>
      <w:r w:rsidRPr="000D7702">
        <w:rPr>
          <w:i/>
          <w:iCs/>
          <w:szCs w:val="22"/>
        </w:rPr>
        <w:t xml:space="preserve">ex parte </w:t>
      </w:r>
      <w:r w:rsidRPr="000D7702">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D7702">
        <w:rPr>
          <w:i/>
          <w:iCs/>
          <w:szCs w:val="22"/>
        </w:rPr>
        <w:t xml:space="preserve">ex parte </w:t>
      </w:r>
      <w:r w:rsidRPr="000D7702">
        <w:rPr>
          <w:szCs w:val="22"/>
        </w:rPr>
        <w:t xml:space="preserve">meetings are deemed to be written </w:t>
      </w:r>
      <w:r w:rsidRPr="000D7702">
        <w:rPr>
          <w:i/>
          <w:iCs/>
          <w:szCs w:val="22"/>
        </w:rPr>
        <w:t>ex parte</w:t>
      </w:r>
      <w:r w:rsidRPr="000D7702">
        <w:rPr>
          <w:szCs w:val="22"/>
        </w:rPr>
        <w:t xml:space="preserve"> presentations and must be filed consistent with rule 1.1206(b).  In proceedings governed by rule 1.49(f) or for which the Commission has made available a method of electronic filing, written </w:t>
      </w:r>
      <w:r w:rsidRPr="000D7702">
        <w:rPr>
          <w:i/>
          <w:iCs/>
          <w:szCs w:val="22"/>
        </w:rPr>
        <w:t xml:space="preserve">ex parte </w:t>
      </w:r>
      <w:r w:rsidRPr="000D7702">
        <w:rPr>
          <w:szCs w:val="22"/>
        </w:rPr>
        <w:t xml:space="preserve">presentations and memoranda summarizing oral </w:t>
      </w:r>
      <w:r w:rsidRPr="000D7702">
        <w:rPr>
          <w:i/>
          <w:iCs/>
          <w:szCs w:val="22"/>
        </w:rPr>
        <w:t xml:space="preserve">ex parte </w:t>
      </w:r>
      <w:r w:rsidRPr="000D7702">
        <w:rPr>
          <w:szCs w:val="22"/>
        </w:rPr>
        <w:t>presentations, and all attachments thereto, must be filed through the electronic comment filing system available for that proceeding, and must be filed in their native format (</w:t>
      </w:r>
      <w:r w:rsidRPr="000D7702">
        <w:rPr>
          <w:i/>
          <w:iCs/>
          <w:szCs w:val="22"/>
        </w:rPr>
        <w:t>e.g.</w:t>
      </w:r>
      <w:r w:rsidRPr="000D7702">
        <w:rPr>
          <w:szCs w:val="22"/>
        </w:rPr>
        <w:t xml:space="preserve">, .doc, .xml, .ppt, searchable .pdf).  Participants in this proceeding should familiarize themselves with the Commission’s </w:t>
      </w:r>
      <w:r w:rsidRPr="000D7702">
        <w:rPr>
          <w:i/>
          <w:iCs/>
          <w:szCs w:val="22"/>
        </w:rPr>
        <w:t xml:space="preserve">ex parte </w:t>
      </w:r>
      <w:r w:rsidRPr="000D7702">
        <w:rPr>
          <w:szCs w:val="22"/>
        </w:rPr>
        <w:t>rules.</w:t>
      </w:r>
    </w:p>
    <w:p w:rsidR="00263CA3" w:rsidRPr="000D7702" w:rsidP="00263CA3">
      <w:pPr>
        <w:spacing w:after="120"/>
        <w:ind w:firstLine="720"/>
        <w:rPr>
          <w:szCs w:val="22"/>
        </w:rPr>
      </w:pPr>
      <w:r w:rsidRPr="000D7702">
        <w:rPr>
          <w:i/>
          <w:szCs w:val="22"/>
        </w:rPr>
        <w:t xml:space="preserve">People with Disabilities.  </w:t>
      </w:r>
      <w:r w:rsidRPr="000D7702">
        <w:rPr>
          <w:szCs w:val="22"/>
        </w:rPr>
        <w:t xml:space="preserve">To request materials in accessible formats for people with disabilities (Braille, large print, electronic files, audio format), send an e-mail to </w:t>
      </w:r>
      <w:hyperlink r:id="rId9" w:history="1">
        <w:r w:rsidRPr="000D7702">
          <w:rPr>
            <w:color w:val="0000FF"/>
            <w:szCs w:val="22"/>
            <w:u w:val="single"/>
          </w:rPr>
          <w:t>fcc504@fcc.gov</w:t>
        </w:r>
      </w:hyperlink>
      <w:r w:rsidRPr="000D7702">
        <w:rPr>
          <w:szCs w:val="22"/>
        </w:rPr>
        <w:t xml:space="preserve"> or call the </w:t>
      </w:r>
      <w:r w:rsidRPr="000D7702">
        <w:rPr>
          <w:szCs w:val="22"/>
        </w:rPr>
        <w:t>Consumer and Governmental Affairs Bureau at 202-418-0530 (voice), 844-432-2275 (videophone), or 202-418-0432 (TTY).</w:t>
      </w:r>
    </w:p>
    <w:p w:rsidR="000320D9" w:rsidRPr="000D7702" w:rsidP="00745027">
      <w:pPr>
        <w:spacing w:after="120"/>
        <w:ind w:firstLine="720"/>
        <w:rPr>
          <w:szCs w:val="22"/>
        </w:rPr>
      </w:pPr>
      <w:r w:rsidRPr="000D7702">
        <w:rPr>
          <w:i/>
          <w:szCs w:val="22"/>
        </w:rPr>
        <w:t xml:space="preserve">Additional Information.  </w:t>
      </w:r>
      <w:r w:rsidRPr="000D7702">
        <w:rPr>
          <w:szCs w:val="22"/>
        </w:rPr>
        <w:t xml:space="preserve">For further information regarding this </w:t>
      </w:r>
      <w:r>
        <w:rPr>
          <w:szCs w:val="22"/>
        </w:rPr>
        <w:t xml:space="preserve">Public </w:t>
      </w:r>
      <w:r w:rsidRPr="000D7702">
        <w:rPr>
          <w:szCs w:val="22"/>
        </w:rPr>
        <w:t>Noti</w:t>
      </w:r>
      <w:r>
        <w:rPr>
          <w:szCs w:val="22"/>
        </w:rPr>
        <w:t xml:space="preserve">ce, please contact </w:t>
      </w:r>
      <w:r w:rsidR="00802F6B">
        <w:rPr>
          <w:szCs w:val="22"/>
        </w:rPr>
        <w:t>Jiaming Shang</w:t>
      </w:r>
      <w:r>
        <w:rPr>
          <w:szCs w:val="22"/>
        </w:rPr>
        <w:t xml:space="preserve">, </w:t>
      </w:r>
      <w:r w:rsidR="00014AFB">
        <w:rPr>
          <w:szCs w:val="22"/>
        </w:rPr>
        <w:t xml:space="preserve">Acting Deputy Chief, </w:t>
      </w:r>
      <w:r w:rsidRPr="00056891" w:rsidR="00056891">
        <w:rPr>
          <w:szCs w:val="22"/>
        </w:rPr>
        <w:t>Competition and Infrastructure Policy Division</w:t>
      </w:r>
      <w:r w:rsidR="00056891">
        <w:rPr>
          <w:szCs w:val="22"/>
        </w:rPr>
        <w:t>, Wireless Telecommunications Bureau</w:t>
      </w:r>
      <w:r>
        <w:rPr>
          <w:szCs w:val="22"/>
        </w:rPr>
        <w:t>, at 202-418-</w:t>
      </w:r>
      <w:r w:rsidR="00802F6B">
        <w:rPr>
          <w:szCs w:val="22"/>
        </w:rPr>
        <w:t>1303</w:t>
      </w:r>
      <w:r w:rsidRPr="000D7702">
        <w:rPr>
          <w:szCs w:val="22"/>
        </w:rPr>
        <w:t xml:space="preserve"> or by e-mail to</w:t>
      </w:r>
      <w:r w:rsidR="00056891">
        <w:rPr>
          <w:szCs w:val="22"/>
        </w:rPr>
        <w:t xml:space="preserve"> </w:t>
      </w:r>
      <w:hyperlink r:id="rId10" w:history="1">
        <w:r w:rsidRPr="002D3F49" w:rsidR="00802F6B">
          <w:rPr>
            <w:rStyle w:val="Hyperlink"/>
            <w:szCs w:val="22"/>
          </w:rPr>
          <w:t>Jiaming.Shang@fcc.gov</w:t>
        </w:r>
      </w:hyperlink>
      <w:r w:rsidR="00056891">
        <w:rPr>
          <w:szCs w:val="22"/>
        </w:rPr>
        <w:t>.</w:t>
      </w:r>
    </w:p>
    <w:p w:rsidR="000F57C2" w:rsidRPr="00263CA3" w:rsidP="00263CA3">
      <w:pPr>
        <w:spacing w:after="120"/>
        <w:jc w:val="center"/>
        <w:rPr>
          <w:b/>
          <w:szCs w:val="22"/>
        </w:rPr>
      </w:pPr>
      <w:r w:rsidRPr="000D7702">
        <w:rPr>
          <w:b/>
          <w:szCs w:val="22"/>
        </w:rPr>
        <w:t>–FCC–</w:t>
      </w:r>
    </w:p>
    <w:sectPr w:rsidSect="00A60ED0">
      <w:type w:val="continuous"/>
      <w:pgSz w:w="12240" w:h="15840" w:code="1"/>
      <w:pgMar w:top="108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5E2F">
    <w:pPr>
      <w:pStyle w:val="Footer"/>
      <w:jc w:val="center"/>
    </w:pPr>
    <w:r>
      <w:fldChar w:fldCharType="begin"/>
    </w:r>
    <w:r>
      <w:instrText xml:space="preserve"> PAGE   \* MERGEFORMAT </w:instrText>
    </w:r>
    <w:r>
      <w:fldChar w:fldCharType="separate"/>
    </w:r>
    <w:r>
      <w:rPr>
        <w:noProof/>
      </w:rPr>
      <w:t>2</w:t>
    </w:r>
    <w:r>
      <w:rPr>
        <w:noProof/>
      </w:rPr>
      <w:fldChar w:fldCharType="end"/>
    </w:r>
  </w:p>
  <w:p w:rsidR="00285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4D13">
    <w:pPr>
      <w:pStyle w:val="Footer"/>
      <w:jc w:val="center"/>
    </w:pPr>
    <w:r>
      <w:fldChar w:fldCharType="begin"/>
    </w:r>
    <w:r>
      <w:instrText xml:space="preserve"> PAGE   \* MERGEFORMAT </w:instrText>
    </w:r>
    <w:r>
      <w:fldChar w:fldCharType="separate"/>
    </w:r>
    <w:r>
      <w:rPr>
        <w:noProof/>
      </w:rPr>
      <w:t>2</w:t>
    </w:r>
    <w:r>
      <w:rPr>
        <w:noProof/>
      </w:rPr>
      <w:fldChar w:fldCharType="end"/>
    </w:r>
  </w:p>
  <w:p w:rsidR="00594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7F2A">
      <w:r>
        <w:separator/>
      </w:r>
    </w:p>
  </w:footnote>
  <w:footnote w:type="continuationSeparator" w:id="1">
    <w:p w:rsidR="00317F2A">
      <w:r>
        <w:continuationSeparator/>
      </w:r>
    </w:p>
  </w:footnote>
  <w:footnote w:id="2">
    <w:p w:rsidR="00004030" w:rsidRPr="00004030" w:rsidP="00004030">
      <w:pPr>
        <w:pStyle w:val="Default"/>
        <w:spacing w:after="120"/>
        <w:rPr>
          <w:sz w:val="20"/>
        </w:rPr>
      </w:pPr>
      <w:r w:rsidRPr="00004030">
        <w:rPr>
          <w:rStyle w:val="FootnoteReference"/>
          <w:sz w:val="20"/>
          <w:szCs w:val="20"/>
        </w:rPr>
        <w:footnoteRef/>
      </w:r>
      <w:r>
        <w:t xml:space="preserve"> </w:t>
      </w:r>
      <w:r w:rsidRPr="00004030">
        <w:rPr>
          <w:sz w:val="20"/>
          <w:szCs w:val="20"/>
        </w:rPr>
        <w:t>Petition for Declaratory Ruling that Clark County, Nevada Ordinance No. 4659 Is Unlawful under Section 253 of the Communications Act as Interpreted by the Federal Communications Commission and Is Preempted</w:t>
      </w:r>
      <w:r w:rsidRPr="00E0421D">
        <w:rPr>
          <w:sz w:val="20"/>
        </w:rPr>
        <w:t xml:space="preserve"> (filed </w:t>
      </w:r>
      <w:r>
        <w:rPr>
          <w:sz w:val="20"/>
        </w:rPr>
        <w:t>Aug. 8</w:t>
      </w:r>
      <w:r w:rsidRPr="00E0421D">
        <w:rPr>
          <w:sz w:val="20"/>
        </w:rPr>
        <w:t>, 2019)</w:t>
      </w:r>
      <w:r w:rsidR="00F110F8">
        <w:rPr>
          <w:sz w:val="20"/>
        </w:rPr>
        <w:t xml:space="preserve">, </w:t>
      </w:r>
      <w:hyperlink r:id="rId1" w:history="1">
        <w:r w:rsidRPr="009B72FE" w:rsidR="00F110F8">
          <w:rPr>
            <w:rStyle w:val="Hyperlink"/>
            <w:sz w:val="20"/>
          </w:rPr>
          <w:t>https://ecfsapi.fcc.gov/file/1080871091743/Verizon%20-%20Petition%20for%20Declaratory%20Ruling%2008082019.pdf</w:t>
        </w:r>
      </w:hyperlink>
      <w:r w:rsidR="00F110F8">
        <w:rPr>
          <w:sz w:val="20"/>
        </w:rPr>
        <w:t xml:space="preserve"> </w:t>
      </w:r>
      <w:r>
        <w:rPr>
          <w:sz w:val="20"/>
        </w:rPr>
        <w:t>(Petition).</w:t>
      </w:r>
    </w:p>
  </w:footnote>
  <w:footnote w:id="3">
    <w:p w:rsidR="00004030" w:rsidP="00D50B3C">
      <w:pPr>
        <w:pStyle w:val="FootnoteText"/>
        <w:spacing w:after="120"/>
      </w:pPr>
      <w:r w:rsidRPr="00460003">
        <w:rPr>
          <w:rStyle w:val="FootnoteReference"/>
          <w:sz w:val="20"/>
        </w:rPr>
        <w:footnoteRef/>
      </w:r>
      <w:r w:rsidRPr="00460003">
        <w:rPr>
          <w:sz w:val="20"/>
        </w:rPr>
        <w:t xml:space="preserve"> </w:t>
      </w:r>
      <w:r w:rsidRPr="00460003">
        <w:rPr>
          <w:i/>
          <w:sz w:val="20"/>
        </w:rPr>
        <w:t>Id</w:t>
      </w:r>
      <w:r w:rsidRPr="00460003">
        <w:rPr>
          <w:sz w:val="20"/>
        </w:rPr>
        <w:t xml:space="preserve">. at </w:t>
      </w:r>
      <w:r w:rsidR="00054D84">
        <w:rPr>
          <w:sz w:val="20"/>
        </w:rPr>
        <w:t>1-2</w:t>
      </w:r>
      <w:r w:rsidRPr="00460003" w:rsidR="00460003">
        <w:rPr>
          <w:sz w:val="20"/>
        </w:rPr>
        <w:t xml:space="preserve">; </w:t>
      </w:r>
      <w:r w:rsidRPr="00460003" w:rsidR="00460003">
        <w:rPr>
          <w:i/>
          <w:sz w:val="20"/>
        </w:rPr>
        <w:t>see also</w:t>
      </w:r>
      <w:r w:rsidR="00460003">
        <w:t xml:space="preserve"> </w:t>
      </w:r>
      <w:r w:rsidRPr="00460003" w:rsidR="00460003">
        <w:rPr>
          <w:sz w:val="20"/>
        </w:rPr>
        <w:t>47 U.S.C. § 253</w:t>
      </w:r>
      <w:r w:rsidR="00460003">
        <w:rPr>
          <w:sz w:val="20"/>
        </w:rPr>
        <w:t xml:space="preserve">; </w:t>
      </w:r>
      <w:r w:rsidRPr="00460003" w:rsidR="00460003">
        <w:rPr>
          <w:i/>
          <w:sz w:val="20"/>
        </w:rPr>
        <w:t>Accelerating Wireless Broadband Deployment by Removing Barriers to Infrastructure Investment</w:t>
      </w:r>
      <w:r w:rsidRPr="00460003" w:rsidR="00460003">
        <w:rPr>
          <w:sz w:val="20"/>
        </w:rPr>
        <w:t xml:space="preserve">, </w:t>
      </w:r>
      <w:r w:rsidR="00C03FA6">
        <w:rPr>
          <w:sz w:val="20"/>
        </w:rPr>
        <w:t xml:space="preserve">Declaratory Ruling and Third Report and Order, </w:t>
      </w:r>
      <w:r w:rsidRPr="00460003" w:rsidR="00460003">
        <w:rPr>
          <w:sz w:val="20"/>
        </w:rPr>
        <w:t>33 FCC Rcd 9088 (2018)</w:t>
      </w:r>
      <w:r w:rsidR="0090620C">
        <w:rPr>
          <w:sz w:val="20"/>
        </w:rPr>
        <w:t xml:space="preserve"> </w:t>
      </w:r>
      <w:r w:rsidR="00CA4714">
        <w:rPr>
          <w:sz w:val="20"/>
        </w:rPr>
        <w:t>(</w:t>
      </w:r>
      <w:r w:rsidRPr="00CA4714" w:rsidR="00CA4714">
        <w:rPr>
          <w:i/>
          <w:sz w:val="20"/>
        </w:rPr>
        <w:t>Small Cell</w:t>
      </w:r>
      <w:r w:rsidR="00C03FA6">
        <w:rPr>
          <w:i/>
          <w:sz w:val="20"/>
        </w:rPr>
        <w:t xml:space="preserve"> Declaratory Ruling</w:t>
      </w:r>
      <w:r w:rsidR="00CA4714">
        <w:rPr>
          <w:sz w:val="20"/>
        </w:rPr>
        <w:t>)</w:t>
      </w:r>
      <w:r w:rsidR="00460003">
        <w:rPr>
          <w:sz w:val="20"/>
        </w:rPr>
        <w:t>.</w:t>
      </w:r>
    </w:p>
  </w:footnote>
  <w:footnote w:id="4">
    <w:p w:rsidR="007772AD" w:rsidP="00D50B3C">
      <w:pPr>
        <w:pStyle w:val="FootnoteText"/>
        <w:spacing w:after="120"/>
      </w:pPr>
      <w:r w:rsidRPr="007772AD">
        <w:rPr>
          <w:rStyle w:val="FootnoteReference"/>
          <w:sz w:val="20"/>
        </w:rPr>
        <w:footnoteRef/>
      </w:r>
      <w:r>
        <w:t xml:space="preserve"> </w:t>
      </w:r>
      <w:r w:rsidRPr="007772AD">
        <w:rPr>
          <w:sz w:val="20"/>
        </w:rPr>
        <w:t>Petition at 1</w:t>
      </w:r>
      <w:r>
        <w:t>.</w:t>
      </w:r>
    </w:p>
  </w:footnote>
  <w:footnote w:id="5">
    <w:p w:rsidR="00913AD4" w:rsidRPr="00913AD4" w:rsidP="00D50B3C">
      <w:pPr>
        <w:pStyle w:val="FootnoteText"/>
        <w:spacing w:after="120"/>
        <w:rPr>
          <w:sz w:val="20"/>
        </w:rPr>
      </w:pPr>
      <w:r w:rsidRPr="00913AD4">
        <w:rPr>
          <w:rStyle w:val="FootnoteReference"/>
          <w:sz w:val="20"/>
        </w:rPr>
        <w:footnoteRef/>
      </w:r>
      <w:r w:rsidRPr="00913AD4">
        <w:rPr>
          <w:sz w:val="20"/>
        </w:rPr>
        <w:t xml:space="preserve"> </w:t>
      </w:r>
      <w:r w:rsidRPr="00913AD4">
        <w:rPr>
          <w:i/>
          <w:sz w:val="20"/>
        </w:rPr>
        <w:t>Id</w:t>
      </w:r>
      <w:r w:rsidRPr="00913AD4">
        <w:rPr>
          <w:sz w:val="20"/>
        </w:rPr>
        <w:t>. at 2.</w:t>
      </w:r>
    </w:p>
  </w:footnote>
  <w:footnote w:id="6">
    <w:p w:rsidR="00263CA3" w:rsidRPr="00801F23" w:rsidP="00594D13">
      <w:pPr>
        <w:pStyle w:val="FootnoteText"/>
        <w:spacing w:after="120"/>
      </w:pPr>
      <w:r w:rsidRPr="00801F23">
        <w:rPr>
          <w:rStyle w:val="FootnoteReference"/>
        </w:rPr>
        <w:footnoteRef/>
      </w:r>
      <w:r w:rsidRPr="00801F23">
        <w:t xml:space="preserve"> </w:t>
      </w:r>
      <w:r w:rsidRPr="00594D13">
        <w:rPr>
          <w:sz w:val="20"/>
        </w:rPr>
        <w:t>47 CFR §</w:t>
      </w:r>
      <w:r w:rsidR="00594D13">
        <w:rPr>
          <w:sz w:val="20"/>
        </w:rPr>
        <w:t xml:space="preserve"> </w:t>
      </w:r>
      <w:r w:rsidRPr="00594D13">
        <w:rPr>
          <w:sz w:val="20"/>
        </w:rPr>
        <w:t>1.2.</w:t>
      </w:r>
    </w:p>
  </w:footnote>
  <w:footnote w:id="7">
    <w:p w:rsidR="00263CA3" w:rsidRPr="00801F23" w:rsidP="00594D13">
      <w:pPr>
        <w:pStyle w:val="FootnoteText"/>
        <w:spacing w:after="120"/>
      </w:pPr>
      <w:r w:rsidRPr="00801F23">
        <w:rPr>
          <w:rStyle w:val="FootnoteReference"/>
        </w:rPr>
        <w:footnoteRef/>
      </w:r>
      <w:r w:rsidRPr="00801F23">
        <w:t xml:space="preserve"> </w:t>
      </w:r>
      <w:r w:rsidRPr="00594D13">
        <w:rPr>
          <w:i/>
          <w:sz w:val="20"/>
        </w:rPr>
        <w:t>See Electronic Filing of Documents in Rulemaking Proceedings</w:t>
      </w:r>
      <w:r w:rsidRPr="00594D13">
        <w:rPr>
          <w:sz w:val="20"/>
        </w:rPr>
        <w:t>, 63 FR 24121 (1998).</w:t>
      </w:r>
    </w:p>
  </w:footnote>
  <w:footnote w:id="8">
    <w:p w:rsidR="00263CA3" w:rsidRPr="00801F23" w:rsidP="00594D13">
      <w:pPr>
        <w:pStyle w:val="FootnoteText"/>
        <w:spacing w:after="120"/>
        <w:rPr>
          <w:i/>
          <w:iCs/>
        </w:rPr>
      </w:pPr>
      <w:r w:rsidRPr="00801F23">
        <w:rPr>
          <w:rStyle w:val="FootnoteReference"/>
        </w:rPr>
        <w:footnoteRef/>
      </w:r>
      <w:r w:rsidRPr="00801F23">
        <w:t xml:space="preserve"> </w:t>
      </w:r>
      <w:r w:rsidRPr="00594D13">
        <w:rPr>
          <w:sz w:val="20"/>
        </w:rPr>
        <w:t>47 CFR §§</w:t>
      </w:r>
      <w:r w:rsidRPr="00594D13" w:rsidR="00594D13">
        <w:rPr>
          <w:sz w:val="20"/>
        </w:rPr>
        <w:t xml:space="preserve"> </w:t>
      </w:r>
      <w:r w:rsidRPr="00594D13">
        <w:rPr>
          <w:sz w:val="20"/>
        </w:rPr>
        <w:t xml:space="preserve">1.1200 </w:t>
      </w:r>
      <w:r w:rsidRPr="00594D13">
        <w:rPr>
          <w:i/>
          <w:iCs/>
          <w:sz w:val="20"/>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6C8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2.4pt;position:absolute;z-index:251661312"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width:244.8pt;height:50.4pt;margin-top:57.6pt;margin-left:47.6pt;position:absolute;z-index:251658240" o:allowincell="f" stroked="f">
          <v:textbox>
            <w:txbxContent>
              <w:p w:rsidR="00C46C88">
                <w:pPr>
                  <w:rPr>
                    <w:rFonts w:ascii="Arial" w:hAnsi="Arial"/>
                    <w:b/>
                  </w:rPr>
                </w:pPr>
                <w:r>
                  <w:rPr>
                    <w:rFonts w:ascii="Arial" w:hAnsi="Arial"/>
                    <w:b/>
                  </w:rPr>
                  <w:t>Federal Communications Commission</w:t>
                </w:r>
              </w:p>
              <w:p w:rsidR="00C46C88">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46C88">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kern w:val="28"/>
        <w:sz w:val="96"/>
      </w:rPr>
      <w:t>PUBLIC NOTICE</w:t>
    </w:r>
  </w:p>
  <w:p w:rsidR="00C46C88">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1" style="position:absolute;z-index:251659264" from="0,54.95pt" to="540pt,55.15pt" o:allowincell="f"/>
      </w:pict>
    </w:r>
    <w:r>
      <w:rPr>
        <w:rFonts w:ascii="News Gothic MT" w:hAnsi="News Gothic MT"/>
        <w:b/>
        <w:noProof/>
        <w:sz w:val="24"/>
      </w:rPr>
      <w:pict>
        <v:shape id="_x0000_s2052" type="#_x0000_t202" style="width:207.95pt;height:43.2pt;margin-top:10.25pt;margin-left:336.7pt;position:absolute;z-index:251660288" o:allowincell="f" stroked="f">
          <v:textbox inset=",0,,0">
            <w:txbxContent>
              <w:p w:rsidR="00C46C88">
                <w:pPr>
                  <w:spacing w:before="40"/>
                  <w:jc w:val="right"/>
                  <w:rPr>
                    <w:rFonts w:ascii="Arial" w:hAnsi="Arial"/>
                    <w:b/>
                    <w:sz w:val="16"/>
                  </w:rPr>
                </w:pPr>
                <w:r>
                  <w:rPr>
                    <w:rFonts w:ascii="Arial" w:hAnsi="Arial"/>
                    <w:b/>
                    <w:sz w:val="16"/>
                  </w:rPr>
                  <w:t>News Media Information 202 / 418-0500</w:t>
                </w:r>
              </w:p>
              <w:p w:rsidR="00C46C88">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46C88">
                <w:pPr>
                  <w:jc w:val="right"/>
                  <w:rPr>
                    <w:rFonts w:ascii="Arial" w:hAnsi="Arial"/>
                    <w:b/>
                    <w:sz w:val="16"/>
                  </w:rPr>
                </w:pPr>
                <w:r>
                  <w:rPr>
                    <w:rFonts w:ascii="Arial" w:hAnsi="Arial"/>
                    <w:b/>
                    <w:sz w:val="16"/>
                  </w:rPr>
                  <w:t>TTY: 1-888-835-5322</w:t>
                </w:r>
              </w:p>
              <w:p w:rsidR="00C46C88">
                <w:pPr>
                  <w:jc w:val="right"/>
                </w:pPr>
              </w:p>
            </w:txbxContent>
          </v:textbox>
        </v:shape>
      </w:pict>
    </w:r>
  </w:p>
  <w:p w:rsidR="00C46C88">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35B0FFA2"/>
    <w:lvl w:ilvl="0">
      <w:start w:val="1"/>
      <w:numFmt w:val="decimal"/>
      <w:pStyle w:val="ParaNum0"/>
      <w:lvlText w:val="%1."/>
      <w:lvlJc w:val="left"/>
      <w:pPr>
        <w:tabs>
          <w:tab w:val="num" w:pos="1080"/>
        </w:tabs>
        <w:ind w:left="0" w:firstLine="720"/>
      </w:pPr>
      <w:rPr>
        <w:b w:val="0"/>
        <w:i w:val="0"/>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color w:val="auto"/>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E302163"/>
    <w:multiLevelType w:val="hybridMultilevel"/>
    <w:tmpl w:val="FA729E7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color w:val="auto"/>
        <w:sz w:val="22"/>
        <w:u w:val="none"/>
        <w:vertAlign w:val="base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370266C"/>
    <w:multiLevelType w:val="hybridMultilevel"/>
    <w:tmpl w:val="930A4E2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color w:val="auto"/>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4"/>
  </w:num>
  <w:num w:numId="12">
    <w:abstractNumId w:val="3"/>
  </w:num>
  <w:num w:numId="13">
    <w:abstractNumId w:val="0"/>
  </w:num>
  <w:num w:numId="14">
    <w:abstractNumId w:val="5"/>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61"/>
    <w:rsid w:val="00004030"/>
    <w:rsid w:val="0000783D"/>
    <w:rsid w:val="00014AFB"/>
    <w:rsid w:val="000320D9"/>
    <w:rsid w:val="00054D84"/>
    <w:rsid w:val="00056891"/>
    <w:rsid w:val="00062DC6"/>
    <w:rsid w:val="00064615"/>
    <w:rsid w:val="0008119C"/>
    <w:rsid w:val="000B50E5"/>
    <w:rsid w:val="000B56BB"/>
    <w:rsid w:val="000D7702"/>
    <w:rsid w:val="000E1DB4"/>
    <w:rsid w:val="000E67FB"/>
    <w:rsid w:val="000F55A2"/>
    <w:rsid w:val="000F57C2"/>
    <w:rsid w:val="001178E9"/>
    <w:rsid w:val="00147828"/>
    <w:rsid w:val="0015152E"/>
    <w:rsid w:val="00165E03"/>
    <w:rsid w:val="00171206"/>
    <w:rsid w:val="001A4845"/>
    <w:rsid w:val="001D109F"/>
    <w:rsid w:val="001E3CE0"/>
    <w:rsid w:val="00200533"/>
    <w:rsid w:val="002307F5"/>
    <w:rsid w:val="00234BDA"/>
    <w:rsid w:val="00236A3F"/>
    <w:rsid w:val="00237B18"/>
    <w:rsid w:val="00263CA3"/>
    <w:rsid w:val="00267388"/>
    <w:rsid w:val="0028117C"/>
    <w:rsid w:val="00281EF4"/>
    <w:rsid w:val="00285E2F"/>
    <w:rsid w:val="002917EA"/>
    <w:rsid w:val="002A597B"/>
    <w:rsid w:val="002C243E"/>
    <w:rsid w:val="002D3F49"/>
    <w:rsid w:val="00317F2A"/>
    <w:rsid w:val="003212FF"/>
    <w:rsid w:val="0032243A"/>
    <w:rsid w:val="00334ADE"/>
    <w:rsid w:val="0036558C"/>
    <w:rsid w:val="003766F5"/>
    <w:rsid w:val="00390E4C"/>
    <w:rsid w:val="003B1072"/>
    <w:rsid w:val="003B248B"/>
    <w:rsid w:val="003B732C"/>
    <w:rsid w:val="003D1620"/>
    <w:rsid w:val="004071C2"/>
    <w:rsid w:val="00422AAA"/>
    <w:rsid w:val="00456960"/>
    <w:rsid w:val="00456A9D"/>
    <w:rsid w:val="00460003"/>
    <w:rsid w:val="00484A70"/>
    <w:rsid w:val="00496778"/>
    <w:rsid w:val="004C5459"/>
    <w:rsid w:val="005076F2"/>
    <w:rsid w:val="0051069B"/>
    <w:rsid w:val="00525A45"/>
    <w:rsid w:val="00534D4F"/>
    <w:rsid w:val="005448B2"/>
    <w:rsid w:val="00551A8F"/>
    <w:rsid w:val="00556855"/>
    <w:rsid w:val="00560276"/>
    <w:rsid w:val="005611C8"/>
    <w:rsid w:val="005668E0"/>
    <w:rsid w:val="0057372E"/>
    <w:rsid w:val="00594A1D"/>
    <w:rsid w:val="00594D13"/>
    <w:rsid w:val="005A4BB8"/>
    <w:rsid w:val="005F1589"/>
    <w:rsid w:val="005F1927"/>
    <w:rsid w:val="005F3E96"/>
    <w:rsid w:val="006015D4"/>
    <w:rsid w:val="00613A81"/>
    <w:rsid w:val="00616DF7"/>
    <w:rsid w:val="006232CD"/>
    <w:rsid w:val="0063022D"/>
    <w:rsid w:val="0064066E"/>
    <w:rsid w:val="00650967"/>
    <w:rsid w:val="006774C0"/>
    <w:rsid w:val="006877BF"/>
    <w:rsid w:val="006A1442"/>
    <w:rsid w:val="006A350B"/>
    <w:rsid w:val="006A7630"/>
    <w:rsid w:val="006C3356"/>
    <w:rsid w:val="006F3C25"/>
    <w:rsid w:val="007007A2"/>
    <w:rsid w:val="0071555C"/>
    <w:rsid w:val="00726029"/>
    <w:rsid w:val="00745027"/>
    <w:rsid w:val="007635D3"/>
    <w:rsid w:val="007772AD"/>
    <w:rsid w:val="0080139A"/>
    <w:rsid w:val="00801F23"/>
    <w:rsid w:val="00802ECA"/>
    <w:rsid w:val="00802F6B"/>
    <w:rsid w:val="0083473A"/>
    <w:rsid w:val="00850151"/>
    <w:rsid w:val="00852B5A"/>
    <w:rsid w:val="00854775"/>
    <w:rsid w:val="0086676B"/>
    <w:rsid w:val="00886107"/>
    <w:rsid w:val="00887ABD"/>
    <w:rsid w:val="008A2491"/>
    <w:rsid w:val="008A2861"/>
    <w:rsid w:val="008B34EC"/>
    <w:rsid w:val="008B7517"/>
    <w:rsid w:val="0090620C"/>
    <w:rsid w:val="00907938"/>
    <w:rsid w:val="00913AD4"/>
    <w:rsid w:val="00921B73"/>
    <w:rsid w:val="0092323E"/>
    <w:rsid w:val="00931290"/>
    <w:rsid w:val="0094667E"/>
    <w:rsid w:val="00947ED0"/>
    <w:rsid w:val="00952D39"/>
    <w:rsid w:val="0096358D"/>
    <w:rsid w:val="0098728A"/>
    <w:rsid w:val="009A334F"/>
    <w:rsid w:val="009B72FE"/>
    <w:rsid w:val="009C4802"/>
    <w:rsid w:val="009F366F"/>
    <w:rsid w:val="00A5515A"/>
    <w:rsid w:val="00A56A27"/>
    <w:rsid w:val="00A60ED0"/>
    <w:rsid w:val="00A6569C"/>
    <w:rsid w:val="00A81AE0"/>
    <w:rsid w:val="00A8272B"/>
    <w:rsid w:val="00A873EF"/>
    <w:rsid w:val="00AA2F49"/>
    <w:rsid w:val="00AD2E99"/>
    <w:rsid w:val="00AD501C"/>
    <w:rsid w:val="00AD60A1"/>
    <w:rsid w:val="00AE20DD"/>
    <w:rsid w:val="00AE4EA4"/>
    <w:rsid w:val="00AE74FB"/>
    <w:rsid w:val="00AF20C7"/>
    <w:rsid w:val="00AF73C9"/>
    <w:rsid w:val="00B2154F"/>
    <w:rsid w:val="00B2237F"/>
    <w:rsid w:val="00B24F8D"/>
    <w:rsid w:val="00B5021B"/>
    <w:rsid w:val="00B7033F"/>
    <w:rsid w:val="00B960FD"/>
    <w:rsid w:val="00B97881"/>
    <w:rsid w:val="00BA01F7"/>
    <w:rsid w:val="00BA631F"/>
    <w:rsid w:val="00BB7095"/>
    <w:rsid w:val="00BD4AC5"/>
    <w:rsid w:val="00BD67AF"/>
    <w:rsid w:val="00BD6E68"/>
    <w:rsid w:val="00BE0BD3"/>
    <w:rsid w:val="00BF7E9B"/>
    <w:rsid w:val="00C03FA6"/>
    <w:rsid w:val="00C049D2"/>
    <w:rsid w:val="00C343AF"/>
    <w:rsid w:val="00C40259"/>
    <w:rsid w:val="00C451D8"/>
    <w:rsid w:val="00C46C88"/>
    <w:rsid w:val="00C5355D"/>
    <w:rsid w:val="00C56592"/>
    <w:rsid w:val="00C6472B"/>
    <w:rsid w:val="00C90801"/>
    <w:rsid w:val="00C93FC0"/>
    <w:rsid w:val="00C942AF"/>
    <w:rsid w:val="00CA4714"/>
    <w:rsid w:val="00CA4E69"/>
    <w:rsid w:val="00CB3042"/>
    <w:rsid w:val="00CB5430"/>
    <w:rsid w:val="00CC3847"/>
    <w:rsid w:val="00D474F1"/>
    <w:rsid w:val="00D47FE7"/>
    <w:rsid w:val="00D50B3C"/>
    <w:rsid w:val="00D6448E"/>
    <w:rsid w:val="00D768B1"/>
    <w:rsid w:val="00DC45BC"/>
    <w:rsid w:val="00E0421D"/>
    <w:rsid w:val="00E369CB"/>
    <w:rsid w:val="00E44A33"/>
    <w:rsid w:val="00E44E3B"/>
    <w:rsid w:val="00E57AC8"/>
    <w:rsid w:val="00E82EDA"/>
    <w:rsid w:val="00E87897"/>
    <w:rsid w:val="00EA00FD"/>
    <w:rsid w:val="00EA51D2"/>
    <w:rsid w:val="00EB14C4"/>
    <w:rsid w:val="00EC0906"/>
    <w:rsid w:val="00EF387E"/>
    <w:rsid w:val="00EF4CC0"/>
    <w:rsid w:val="00EF52B0"/>
    <w:rsid w:val="00EF682E"/>
    <w:rsid w:val="00F0182D"/>
    <w:rsid w:val="00F110F8"/>
    <w:rsid w:val="00F17FCC"/>
    <w:rsid w:val="00F2611A"/>
    <w:rsid w:val="00F32A21"/>
    <w:rsid w:val="00F43102"/>
    <w:rsid w:val="00FC2E1A"/>
    <w:rsid w:val="00FD243C"/>
    <w:rsid w:val="00FD4B3F"/>
    <w:rsid w:val="00FD4D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Appel note de bas de p,FR,Footnote Reference/,Footnote Reference1,Style 12,Style 124,Style 13,Style 17,Style 3,Style 34,Style 4,Style 6,Style 7,Style 9,fr,o"/>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basedOn w:val="Normal"/>
    <w:link w:val="FootnoteTextChar2"/>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rsid w:val="00947ED0"/>
    <w:pPr>
      <w:widowControl w:val="0"/>
      <w:numPr>
        <w:numId w:val="13"/>
      </w:numPr>
      <w:tabs>
        <w:tab w:val="clear" w:pos="1080"/>
      </w:tabs>
      <w:spacing w:after="220"/>
      <w:jc w:val="both"/>
    </w:pPr>
    <w:rPr>
      <w:snapToGrid w:val="0"/>
      <w:kern w:val="28"/>
    </w:rPr>
  </w:style>
  <w:style w:type="paragraph" w:styleId="BalloonText">
    <w:name w:val="Balloon Text"/>
    <w:basedOn w:val="Normal"/>
    <w:semiHidden/>
    <w:rsid w:val="00BE0BD3"/>
    <w:rPr>
      <w:rFonts w:ascii="Tahoma" w:hAnsi="Tahoma" w:cs="Tahoma"/>
      <w:sz w:val="16"/>
      <w:szCs w:val="16"/>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263CA3"/>
    <w:rPr>
      <w:sz w:val="22"/>
    </w:rPr>
  </w:style>
  <w:style w:type="character" w:customStyle="1" w:styleId="UnresolvedMention">
    <w:name w:val="Unresolved Mention"/>
    <w:uiPriority w:val="99"/>
    <w:semiHidden/>
    <w:unhideWhenUsed/>
    <w:rsid w:val="00056891"/>
    <w:rPr>
      <w:color w:val="605E5C"/>
      <w:shd w:val="clear" w:color="auto" w:fill="E1DFDD"/>
    </w:rPr>
  </w:style>
  <w:style w:type="character" w:customStyle="1" w:styleId="FooterChar">
    <w:name w:val="Footer Char"/>
    <w:link w:val="Footer"/>
    <w:uiPriority w:val="99"/>
    <w:rsid w:val="00594D13"/>
    <w:rPr>
      <w:sz w:val="22"/>
    </w:rPr>
  </w:style>
  <w:style w:type="character" w:styleId="CommentReference">
    <w:name w:val="annotation reference"/>
    <w:rsid w:val="00334ADE"/>
    <w:rPr>
      <w:sz w:val="16"/>
      <w:szCs w:val="16"/>
    </w:rPr>
  </w:style>
  <w:style w:type="paragraph" w:styleId="CommentText">
    <w:name w:val="annotation text"/>
    <w:basedOn w:val="Normal"/>
    <w:link w:val="CommentTextChar"/>
    <w:rsid w:val="00334ADE"/>
    <w:rPr>
      <w:sz w:val="20"/>
    </w:rPr>
  </w:style>
  <w:style w:type="character" w:customStyle="1" w:styleId="CommentTextChar">
    <w:name w:val="Comment Text Char"/>
    <w:basedOn w:val="DefaultParagraphFont"/>
    <w:link w:val="CommentText"/>
    <w:rsid w:val="00334ADE"/>
  </w:style>
  <w:style w:type="paragraph" w:styleId="CommentSubject">
    <w:name w:val="annotation subject"/>
    <w:basedOn w:val="CommentText"/>
    <w:next w:val="CommentText"/>
    <w:link w:val="CommentSubjectChar"/>
    <w:rsid w:val="00334ADE"/>
    <w:rPr>
      <w:b/>
      <w:bCs/>
    </w:rPr>
  </w:style>
  <w:style w:type="character" w:customStyle="1" w:styleId="CommentSubjectChar">
    <w:name w:val="Comment Subject Char"/>
    <w:link w:val="CommentSubject"/>
    <w:rsid w:val="00334ADE"/>
    <w:rPr>
      <w:b/>
      <w:bCs/>
    </w:rPr>
  </w:style>
  <w:style w:type="paragraph" w:customStyle="1" w:styleId="Default">
    <w:name w:val="Default"/>
    <w:rsid w:val="0000403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aming.Shang@fcc.gov"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hyperlink" Target="https://www.fcc.gov/ecfs/" TargetMode="External" /><Relationship Id="rId9" Type="http://schemas.openxmlformats.org/officeDocument/2006/relationships/hyperlink" Target="mailto:fcc504@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80871091743/Verizon%20-%20Petition%20for%20Declaratory%20Ruling%2008082019.pdf"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